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sz w:val="22"/>
          <w:szCs w:val="22"/>
        </w:rPr>
        <w:t xml:space="preserve"/>
      </w:r>
    </w:p>
    <w:p>
      <w:pPr>
        <w:spacing w:after="60"/>
        <w:jc w:val="center"/>
      </w:pPr>
      <w:r>
        <w:rPr>
          <w:rFonts w:ascii="Arial" w:cs="Arial" w:eastAsia="Arial" w:hAnsi="Arial"/>
          <w:b/>
          <w:bCs/>
          <w:color w:val="5B2D8E"/>
          <w:sz w:val="26"/>
          <w:szCs w:val="26"/>
        </w:rPr>
        <w:t xml:space="preserve">Universidad Politécnica de Yucatán</w:t>
      </w:r>
    </w:p>
    <w:p>
      <w:pPr>
        <w:spacing w:after="60"/>
        <w:jc w:val="center"/>
      </w:pPr>
      <w:r>
        <w:rPr>
          <w:rFonts w:ascii="Arial" w:cs="Arial" w:eastAsia="Arial" w:hAnsi="Arial"/>
          <w:color w:val="666666"/>
          <w:sz w:val="22"/>
          <w:szCs w:val="22"/>
        </w:rPr>
        <w:t xml:space="preserve">TSU Data Science</w:t>
      </w:r>
    </w:p>
    <w:p>
      <w:pPr>
        <w:spacing w:after="60"/>
        <w:jc w:val="center"/>
      </w:pPr>
      <w:r>
        <w:rPr>
          <w:rFonts w:ascii="Arial" w:cs="Arial" w:eastAsia="Arial" w:hAnsi="Arial"/>
          <w:i/>
          <w:iCs/>
          <w:color w:val="666666"/>
          <w:sz w:val="22"/>
          <w:szCs w:val="22"/>
        </w:rPr>
        <w:t xml:space="preserve">Integrative Project II — Activity 2, Unit 2</w:t>
      </w:r>
    </w:p>
    <w:p>
      <w:pPr>
        <w:spacing w:after="200"/>
      </w:pPr>
      <w:r>
        <w:rPr>
          <w:rFonts w:ascii="Arial" w:cs="Arial" w:eastAsia="Arial" w:hAnsi="Arial"/>
          <w:sz w:val="22"/>
          <w:szCs w:val="22"/>
        </w:rPr>
        <w:t xml:space="preserve"/>
      </w:r>
    </w:p>
    <w:p>
      <w:pPr>
        <w:pBdr>
          <w:top w:val="single" w:color="5B2D8E" w:sz="4"/>
          <w:bottom w:val="single" w:color="5B2D8E" w:sz="4"/>
        </w:pBdr>
        <w:shd w:fill="EDE8FC" w:val="clear"/>
        <w:spacing w:after="120"/>
        <w:jc w:val="center"/>
      </w:pPr>
      <w:r>
        <w:rPr>
          <w:rFonts w:ascii="Arial" w:cs="Arial" w:eastAsia="Arial" w:hAnsi="Arial"/>
          <w:b/>
          <w:bCs/>
          <w:color w:val="5B2D8E"/>
          <w:sz w:val="36"/>
          <w:szCs w:val="36"/>
        </w:rPr>
        <w:t xml:space="preserve">Urban Sprawl Prediction in Mérida, Yucatán (2025–2030)</w:t>
      </w:r>
    </w:p>
    <w:p>
      <w:pPr>
        <w:spacing w:after="60"/>
        <w:jc w:val="center"/>
      </w:pPr>
      <w:r>
        <w:rPr>
          <w:rFonts w:ascii="Arial" w:cs="Arial" w:eastAsia="Arial" w:hAnsi="Arial"/>
          <w:b/>
          <w:bCs/>
          <w:color w:val="3C1F6E"/>
          <w:sz w:val="27"/>
          <w:szCs w:val="27"/>
        </w:rPr>
        <w:t xml:space="preserve">Using Cellular Automata, LightGBM &amp; Karstic Variables</w:t>
      </w:r>
    </w:p>
    <w:p>
      <w:pPr>
        <w:spacing w:after="60"/>
        <w:jc w:val="center"/>
      </w:pPr>
      <w:r>
        <w:rPr>
          <w:rFonts w:ascii="Arial" w:cs="Arial" w:eastAsia="Arial" w:hAnsi="Arial"/>
          <w:i/>
          <w:iCs/>
          <w:color w:val="888888"/>
          <w:sz w:val="21"/>
          <w:szCs w:val="21"/>
        </w:rPr>
        <w:t xml:space="preserve">Version 2.0 — Extended with AI Planning Module</w:t>
      </w:r>
    </w:p>
    <w:p>
      <w:pPr>
        <w:spacing w:after="2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Field</w:t>
            </w:r>
          </w:p>
        </w:tc>
        <w:tc>
          <w:tcPr>
            <w:tcW w:type="dxa" w:w="716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Course</w:t>
            </w:r>
          </w:p>
        </w:tc>
        <w:tc>
          <w:tcPr>
            <w:tcW w:type="dxa" w:w="716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Integrative Project II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Group</w:t>
            </w:r>
          </w:p>
        </w:tc>
        <w:tc>
          <w:tcPr>
            <w:tcW w:type="dxa" w:w="716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A5</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Professor</w:t>
            </w:r>
          </w:p>
        </w:tc>
        <w:tc>
          <w:tcPr>
            <w:tcW w:type="dxa" w:w="716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Soledad Cecilia Pech Cohuo</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Submission Date</w:t>
            </w:r>
          </w:p>
        </w:tc>
        <w:tc>
          <w:tcPr>
            <w:tcW w:type="dxa" w:w="716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June 2026</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Repository</w:t>
            </w:r>
          </w:p>
        </w:tc>
        <w:tc>
          <w:tcPr>
            <w:tcW w:type="dxa" w:w="716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github.com/Yarroth/urban_sprawl_merida</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Team Members</w:t>
            </w:r>
          </w:p>
        </w:tc>
        <w:tc>
          <w:tcPr>
            <w:tcW w:type="dxa" w:w="468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Héctor J Raya Romo</w:t>
            </w:r>
          </w:p>
        </w:tc>
        <w:tc>
          <w:tcPr>
            <w:tcW w:type="dxa" w:w="468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Eli Alejandro Ortiz Ginez</w:t>
            </w:r>
          </w:p>
        </w:tc>
        <w:tc>
          <w:tcPr>
            <w:tcW w:type="dxa" w:w="468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Diego Alberto Juárez Méndez</w:t>
            </w:r>
          </w:p>
        </w:tc>
        <w:tc>
          <w:tcPr>
            <w:tcW w:type="dxa" w:w="468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Angel Enrique Pool Uicab</w:t>
            </w:r>
          </w:p>
        </w:tc>
        <w:tc>
          <w:tcPr>
            <w:tcW w:type="dxa" w:w="468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Luis Armando Jiminez Rodriguez</w:t>
            </w:r>
          </w:p>
        </w:tc>
        <w:tc>
          <w:tcPr>
            <w:tcW w:type="dxa" w:w="468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
            </w:r>
          </w:p>
        </w:tc>
      </w:tr>
    </w:tbl>
    <w:p>
      <w:r>
        <w:br w:type="page"/>
      </w:r>
    </w:p>
    <w:p>
      <w:pPr>
        <w:pStyle w:val="Heading1"/>
        <w:pBdr>
          <w:bottom w:val="single" w:color="5B2D8E" w:sz="6" w:space="6"/>
        </w:pBdr>
        <w:spacing w:after="180" w:before="400"/>
      </w:pPr>
      <w:r>
        <w:rPr>
          <w:rFonts w:ascii="Arial" w:cs="Arial" w:eastAsia="Arial" w:hAnsi="Arial"/>
          <w:b/>
          <w:bCs/>
          <w:color w:val="5B2D8E"/>
          <w:sz w:val="34"/>
          <w:szCs w:val="34"/>
        </w:rPr>
        <w:t xml:space="preserve">1. Project Title</w:t>
      </w:r>
    </w:p>
    <w:p>
      <w:pPr>
        <w:spacing w:after="140"/>
        <w:jc w:val="both"/>
      </w:pPr>
      <w:r>
        <w:rPr>
          <w:rFonts w:ascii="Arial" w:cs="Arial" w:eastAsia="Arial" w:hAnsi="Arial"/>
          <w:b/>
          <w:bCs/>
          <w:sz w:val="22"/>
          <w:szCs w:val="22"/>
        </w:rPr>
        <w:t xml:space="preserve">Urban Sprawl Prediction in Mérida, Yucatán (2025–2030) Using Cellular Automata, LightGBM, and Karstic Environmental Variables</w:t>
      </w:r>
    </w:p>
    <w:p>
      <w:pPr>
        <w:spacing w:after="80"/>
      </w:pPr>
      <w:r>
        <w:rPr>
          <w:rFonts w:ascii="Arial" w:cs="Arial" w:eastAsia="Arial" w:hAnsi="Arial"/>
          <w:sz w:val="22"/>
          <w:szCs w:val="22"/>
        </w:rPr>
        <w:t xml:space="preserve"/>
      </w:r>
    </w:p>
    <w:p>
      <w:pPr>
        <w:pStyle w:val="Heading1"/>
        <w:pBdr>
          <w:bottom w:val="single" w:color="5B2D8E" w:sz="6" w:space="6"/>
        </w:pBdr>
        <w:spacing w:after="180" w:before="400"/>
      </w:pPr>
      <w:r>
        <w:rPr>
          <w:rFonts w:ascii="Arial" w:cs="Arial" w:eastAsia="Arial" w:hAnsi="Arial"/>
          <w:b/>
          <w:bCs/>
          <w:color w:val="5B2D8E"/>
          <w:sz w:val="34"/>
          <w:szCs w:val="34"/>
        </w:rPr>
        <w:t xml:space="preserve">2. Problem Statement / Justification</w:t>
      </w:r>
    </w:p>
    <w:p>
      <w:pPr>
        <w:spacing w:after="140"/>
        <w:jc w:val="both"/>
      </w:pPr>
      <w:r>
        <w:rPr>
          <w:rFonts w:ascii="Arial" w:cs="Arial" w:eastAsia="Arial" w:hAnsi="Arial"/>
          <w:sz w:val="22"/>
          <w:szCs w:val="22"/>
        </w:rPr>
        <w:t xml:space="preserve">Mérida, Yucatán, has experienced one of the fastest urban growth rates in Mexico over the past decade, driven by industrial expansion, tourism, and migration. This rapid, often unplanned expansion — known as urban sprawl — generates significant environmental and socioeconomic consequences: loss of agricultural land and natural vegetation, increased urban heat island effects, strain on water and infrastructure networks, and growing inequality in service access.</w:t>
      </w:r>
    </w:p>
    <w:p>
      <w:pPr>
        <w:spacing w:after="140"/>
        <w:jc w:val="both"/>
      </w:pPr>
      <w:r>
        <w:rPr>
          <w:rFonts w:ascii="Arial" w:cs="Arial" w:eastAsia="Arial" w:hAnsi="Arial"/>
          <w:sz w:val="22"/>
          <w:szCs w:val="22"/>
        </w:rPr>
        <w:t xml:space="preserve">Currently, municipal planning agencies lack predictive tools capable of identifying which specific areas are most at risk of urbanization in the short-to-medium term. Decisions are made reactively, after expansion has already occurred. This proposal addresses that gap by developing a spatially-explicit predictive model that combines satellite remote sensing data, machine learning, and cellular automata simulation to forecast urban growth at the cell level for the period 2025–2030.</w:t>
      </w:r>
    </w:p>
    <w:p>
      <w:pPr>
        <w:spacing w:after="140"/>
        <w:jc w:val="both"/>
      </w:pPr>
      <w:r>
        <w:rPr>
          <w:rFonts w:ascii="Arial" w:cs="Arial" w:eastAsia="Arial" w:hAnsi="Arial"/>
          <w:sz w:val="22"/>
          <w:szCs w:val="22"/>
        </w:rPr>
        <w:t xml:space="preserve">Mérida presents a unique set of environmental constraints absent in other Mexican metropolitan areas: its entire water supply depends on a karst aquifer directly exposed through cenotes and cave systems. Urban expansion over these recharge zones carries irreversible contamination risk, making spatially-aware planning a matter of public health, not only urban management. This version of the model explicitly incorporates these karstic variables as spatial constraints — a contribution not found in previous urban growth models for the ZMM.</w:t>
      </w:r>
    </w:p>
    <w:p>
      <w:pPr>
        <w:spacing w:after="140"/>
        <w:jc w:val="both"/>
      </w:pPr>
      <w:r>
        <w:rPr>
          <w:rFonts w:ascii="Arial" w:cs="Arial" w:eastAsia="Arial" w:hAnsi="Arial"/>
          <w:b/>
          <w:bCs/>
          <w:sz w:val="22"/>
          <w:szCs w:val="22"/>
        </w:rPr>
        <w:t xml:space="preserve">Beneficiaries: </w:t>
      </w:r>
      <w:r>
        <w:rPr>
          <w:rFonts w:ascii="Arial" w:cs="Arial" w:eastAsia="Arial" w:hAnsi="Arial"/>
          <w:sz w:val="22"/>
          <w:szCs w:val="22"/>
        </w:rPr>
        <w:t xml:space="preserve">Municipal urban planning offices, SEDATU, SEDUMA Yucatán, environmental agencies, researchers, and civil society organizations working on sustainable urban development in the Yucatán Peninsula.</w:t>
      </w:r>
    </w:p>
    <w:p>
      <w:pPr>
        <w:spacing w:after="80"/>
      </w:pPr>
      <w:r>
        <w:rPr>
          <w:rFonts w:ascii="Arial" w:cs="Arial" w:eastAsia="Arial" w:hAnsi="Arial"/>
          <w:sz w:val="22"/>
          <w:szCs w:val="22"/>
        </w:rPr>
        <w:t xml:space="preserve"/>
      </w:r>
    </w:p>
    <w:p>
      <w:pPr>
        <w:pStyle w:val="Heading1"/>
        <w:pBdr>
          <w:bottom w:val="single" w:color="5B2D8E" w:sz="6" w:space="6"/>
        </w:pBdr>
        <w:spacing w:after="180" w:before="400"/>
      </w:pPr>
      <w:r>
        <w:rPr>
          <w:rFonts w:ascii="Arial" w:cs="Arial" w:eastAsia="Arial" w:hAnsi="Arial"/>
          <w:b/>
          <w:bCs/>
          <w:color w:val="5B2D8E"/>
          <w:sz w:val="34"/>
          <w:szCs w:val="34"/>
        </w:rPr>
        <w:t xml:space="preserve">3. Hypothesis</w:t>
      </w:r>
    </w:p>
    <w:p>
      <w:pPr>
        <w:pBdr>
          <w:left w:val="single" w:color="5B2D8E" w:sz="10" w:space="10"/>
        </w:pBdr>
        <w:shd w:fill="EDE8FC" w:val="clear"/>
        <w:spacing w:after="120" w:before="120"/>
        <w:ind w:left="360"/>
      </w:pPr>
      <w:r>
        <w:rPr>
          <w:rFonts w:ascii="Arial" w:cs="Arial" w:eastAsia="Arial" w:hAnsi="Arial"/>
          <w:i/>
          <w:iCs/>
          <w:color w:val="333333"/>
          <w:sz w:val="21"/>
          <w:szCs w:val="21"/>
        </w:rPr>
        <w:t xml:space="preserve">If a spatiotemporal predictive model is developed that integrates LULC classifications from LANDSAT 8/9 satellite imagery, spatial variables (proximity to roads, urban edge, population density, land surface temperature, cenote proximity, and karstic aquifer vulnerability), and a Cellular Automata simulation calibrated with LightGBM transition probabilities and learned CA rules, then it will be possible to predict urban expansion patterns in Mérida, Yucatán with a Figure of Merit ≥ 0.30 and Cohen's Kappa ≥ 0.70, and generate comparative annual probability maps for three planning scenarios (2026–2030).</w:t>
      </w:r>
    </w:p>
    <w:p>
      <w:pPr>
        <w:spacing w:after="80"/>
      </w:pPr>
      <w:r>
        <w:rPr>
          <w:rFonts w:ascii="Arial" w:cs="Arial" w:eastAsia="Arial" w:hAnsi="Arial"/>
          <w:sz w:val="22"/>
          <w:szCs w:val="22"/>
        </w:rPr>
        <w:t xml:space="preserve"/>
      </w:r>
    </w:p>
    <w:p>
      <w:pPr>
        <w:pStyle w:val="Heading1"/>
        <w:pBdr>
          <w:bottom w:val="single" w:color="5B2D8E" w:sz="6" w:space="6"/>
        </w:pBdr>
        <w:spacing w:after="180" w:before="400"/>
      </w:pPr>
      <w:r>
        <w:rPr>
          <w:rFonts w:ascii="Arial" w:cs="Arial" w:eastAsia="Arial" w:hAnsi="Arial"/>
          <w:b/>
          <w:bCs/>
          <w:color w:val="5B2D8E"/>
          <w:sz w:val="34"/>
          <w:szCs w:val="34"/>
        </w:rPr>
        <w:t xml:space="preserve">4. Objectives</w:t>
      </w:r>
    </w:p>
    <w:p>
      <w:pPr>
        <w:pStyle w:val="Heading2"/>
        <w:spacing w:after="120" w:before="280"/>
      </w:pPr>
      <w:r>
        <w:rPr>
          <w:rFonts w:ascii="Arial" w:cs="Arial" w:eastAsia="Arial" w:hAnsi="Arial"/>
          <w:b/>
          <w:bCs/>
          <w:color w:val="3C1F6E"/>
          <w:sz w:val="26"/>
          <w:szCs w:val="26"/>
        </w:rPr>
        <w:t xml:space="preserve">General Objective</w:t>
      </w:r>
    </w:p>
    <w:p>
      <w:pPr>
        <w:spacing w:after="140"/>
        <w:jc w:val="both"/>
      </w:pPr>
      <w:r>
        <w:rPr>
          <w:rFonts w:ascii="Arial" w:cs="Arial" w:eastAsia="Arial" w:hAnsi="Arial"/>
          <w:sz w:val="22"/>
          <w:szCs w:val="22"/>
        </w:rPr>
        <w:t xml:space="preserve">To develop a predictive model for urban sprawl in Mérida, Yucatán for the period 2025–2030, combining LightGBM classification and Cellular Automata simulation applied to multitemporal satellite imagery and karstic environmental variables, in order to generate annual probability maps under three comparative scenarios (unplanned, traditional planning, AI-managed planning) that support evidence-based urban planning decisions.</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Specific Objectives</w:t>
      </w:r>
    </w:p>
    <w:p>
      <w:pPr>
        <w:pStyle w:val="ListParagraph"/>
        <w:numPr>
          <w:ilvl w:val="0"/>
          <w:numId w:val="2"/>
        </w:numPr>
        <w:spacing w:after="90"/>
      </w:pPr>
      <w:r>
        <w:rPr>
          <w:rFonts w:ascii="Arial" w:cs="Arial" w:eastAsia="Arial" w:hAnsi="Arial"/>
          <w:sz w:val="22"/>
          <w:szCs w:val="22"/>
        </w:rPr>
        <w:t xml:space="preserve">SO1. Download and preprocess LANDSAT 8/9 Collection 2 imagery (2015, 2020, 2024) via Google Earth Engine, including thermal band ST_B10 for Land Surface Temperature extraction, to produce LULC classification maps for the Mérida metropolitan area.</w:t>
      </w:r>
    </w:p>
    <w:p>
      <w:pPr>
        <w:pStyle w:val="ListParagraph"/>
        <w:numPr>
          <w:ilvl w:val="0"/>
          <w:numId w:val="2"/>
        </w:numPr>
        <w:spacing w:after="90"/>
      </w:pPr>
      <w:r>
        <w:rPr>
          <w:rFonts w:ascii="Arial" w:cs="Arial" w:eastAsia="Arial" w:hAnsi="Arial"/>
          <w:sz w:val="22"/>
          <w:szCs w:val="22"/>
        </w:rPr>
        <w:t xml:space="preserve">SO2. Extract and calculate 10 spatial features: distance to roads, urban edge distance, NDVI, NDBI, slope, population density, land surface temperature (LST), distance to cenotes (SEDUMA), and karstic aquifer vulnerability index (CONAGUA/IMTA).</w:t>
      </w:r>
    </w:p>
    <w:p>
      <w:pPr>
        <w:pStyle w:val="ListParagraph"/>
        <w:numPr>
          <w:ilvl w:val="0"/>
          <w:numId w:val="2"/>
        </w:numPr>
        <w:spacing w:after="90"/>
      </w:pPr>
      <w:r>
        <w:rPr>
          <w:rFonts w:ascii="Arial" w:cs="Arial" w:eastAsia="Arial" w:hAnsi="Arial"/>
          <w:sz w:val="22"/>
          <w:szCs w:val="22"/>
        </w:rPr>
        <w:t xml:space="preserve">SO3. Train and validate a LightGBM binary classifier to model urban/non-urban land transition probability, and train a second LightGBM model to learn Cellular Automata transition rules from neighborhood state data.</w:t>
      </w:r>
    </w:p>
    <w:p>
      <w:pPr>
        <w:pStyle w:val="ListParagraph"/>
        <w:numPr>
          <w:ilvl w:val="0"/>
          <w:numId w:val="2"/>
        </w:numPr>
        <w:spacing w:after="90"/>
      </w:pPr>
      <w:r>
        <w:rPr>
          <w:rFonts w:ascii="Arial" w:cs="Arial" w:eastAsia="Arial" w:hAnsi="Arial"/>
          <w:sz w:val="22"/>
          <w:szCs w:val="22"/>
        </w:rPr>
        <w:t xml:space="preserve">SO4. Implement a CA simulation module integrating learned LightGBM probabilities with karstic exclusion constraints to generate annual urban extent projections for three scenarios: unplanned growth, traditional planning, and AI-managed planning.</w:t>
      </w:r>
    </w:p>
    <w:p>
      <w:pPr>
        <w:pStyle w:val="ListParagraph"/>
        <w:numPr>
          <w:ilvl w:val="0"/>
          <w:numId w:val="2"/>
        </w:numPr>
        <w:spacing w:after="90"/>
      </w:pPr>
      <w:r>
        <w:rPr>
          <w:rFonts w:ascii="Arial" w:cs="Arial" w:eastAsia="Arial" w:hAnsi="Arial"/>
          <w:sz w:val="22"/>
          <w:szCs w:val="22"/>
        </w:rPr>
        <w:t xml:space="preserve">SO5. Evaluate model accuracy using FOM, Cohen's Kappa, and AUC-ROC, and produce GeoTIFF and Shapefile outputs for each prediction year and scenario, plus an interactive 3D visualization frontend.</w:t>
      </w:r>
    </w:p>
    <w:p>
      <w:pPr>
        <w:spacing w:after="80"/>
      </w:pPr>
      <w:r>
        <w:rPr>
          <w:rFonts w:ascii="Arial" w:cs="Arial" w:eastAsia="Arial" w:hAnsi="Arial"/>
          <w:sz w:val="22"/>
          <w:szCs w:val="22"/>
        </w:rPr>
        <w:t xml:space="preserve"/>
      </w:r>
    </w:p>
    <w:p>
      <w:r>
        <w:br w:type="page"/>
      </w:r>
    </w:p>
    <w:p>
      <w:pPr>
        <w:pStyle w:val="Heading1"/>
        <w:pBdr>
          <w:bottom w:val="single" w:color="5B2D8E" w:sz="6" w:space="6"/>
        </w:pBdr>
        <w:spacing w:after="180" w:before="400"/>
      </w:pPr>
      <w:r>
        <w:rPr>
          <w:rFonts w:ascii="Arial" w:cs="Arial" w:eastAsia="Arial" w:hAnsi="Arial"/>
          <w:b/>
          <w:bCs/>
          <w:color w:val="5B2D8E"/>
          <w:sz w:val="34"/>
          <w:szCs w:val="34"/>
        </w:rPr>
        <w:t xml:space="preserve">5. Theoretical Framework</w:t>
      </w:r>
    </w:p>
    <w:p>
      <w:pPr>
        <w:pStyle w:val="Heading2"/>
        <w:spacing w:after="120" w:before="280"/>
      </w:pPr>
      <w:r>
        <w:rPr>
          <w:rFonts w:ascii="Arial" w:cs="Arial" w:eastAsia="Arial" w:hAnsi="Arial"/>
          <w:b/>
          <w:bCs/>
          <w:color w:val="3C1F6E"/>
          <w:sz w:val="26"/>
          <w:szCs w:val="26"/>
        </w:rPr>
        <w:t xml:space="preserve">5.1 Land Use / Land Cover Change (LULCC)</w:t>
      </w:r>
    </w:p>
    <w:p>
      <w:pPr>
        <w:spacing w:after="140"/>
        <w:jc w:val="both"/>
      </w:pPr>
      <w:r>
        <w:rPr>
          <w:rFonts w:ascii="Arial" w:cs="Arial" w:eastAsia="Arial" w:hAnsi="Arial"/>
          <w:sz w:val="22"/>
          <w:szCs w:val="22"/>
        </w:rPr>
        <w:t xml:space="preserve">LULCC refers to the transformation of Earth's surface driven by human activities and natural processes. Satellite-based LULC mapping using indices such as NDVI (Normalized Difference Vegetation Index) and NDBI (Normalized Difference Built-up Index) derived from LANDSAT multispectral imagery is the standard approach for tracking urbanization at regional scale [1]. This project extends the standard LULC feature set with Land Surface Temperature (LST) derived from LANDSAT's thermal infrared band ST_B10, which provides direct evidence of urban heat island formation and has been shown to correlate with urbanization intensity in tropical cities.</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5.2 LightGBM for Urban Growth Modeling</w:t>
      </w:r>
    </w:p>
    <w:p>
      <w:pPr>
        <w:spacing w:after="140"/>
        <w:jc w:val="both"/>
      </w:pPr>
      <w:r>
        <w:rPr>
          <w:rFonts w:ascii="Arial" w:cs="Arial" w:eastAsia="Arial" w:hAnsi="Arial"/>
          <w:sz w:val="22"/>
          <w:szCs w:val="22"/>
        </w:rPr>
        <w:t xml:space="preserve">Gradient boosting decision trees — and specifically LightGBM [8] — represent the current state of the art for tabular spatial classification tasks, outperforming Random Forest on AUC-ROC in recent LULC benchmarks while training significantly faster. LightGBM handles class imbalance explicitly through the scale_pos_weight parameter (ratio of non-urban to urban samples), avoids the need for class reweighting heuristics, and produces SHAP-compatible feature importance values suitable for spatial driver analysis. This project uses LightGBM as the primary classifier, with Random Forest retained as a documented fallback for reproducibility.</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5.3 Cellular Automata with Learned Rules</w:t>
      </w:r>
    </w:p>
    <w:p>
      <w:pPr>
        <w:spacing w:after="140"/>
        <w:jc w:val="both"/>
      </w:pPr>
      <w:r>
        <w:rPr>
          <w:rFonts w:ascii="Arial" w:cs="Arial" w:eastAsia="Arial" w:hAnsi="Arial"/>
          <w:sz w:val="22"/>
          <w:szCs w:val="22"/>
        </w:rPr>
        <w:t xml:space="preserve">CA models represent land as a grid of discrete cells that change state according to transition rules and neighborhood conditions. Coupled CA–ML models have become the dominant paradigm for urban sprawl simulation due to their ability to capture spatial autocorrelation and emergent growth patterns [3], [4]. This project extends the standard CA formulation by training a second LightGBM model on the neighborhood state at each timestep — replacing the fixed statistical threshold used in prior work with data-driven rules that adapt to observed spatial patterns. The combined transition probability is:</w:t>
      </w:r>
    </w:p>
    <w:p>
      <w:pPr>
        <w:pBdr>
          <w:left w:val="single" w:color="5B2D8E" w:sz="10" w:space="10"/>
        </w:pBdr>
        <w:shd w:fill="EDE8FC" w:val="clear"/>
        <w:spacing w:after="120" w:before="120"/>
        <w:jc w:val="center"/>
      </w:pPr>
      <w:r>
        <w:rPr>
          <w:rFonts w:ascii="Courier New" w:cs="Courier New" w:eastAsia="Courier New" w:hAnsi="Courier New"/>
          <w:b/>
          <w:bCs/>
          <w:color w:val="3C1F6E"/>
          <w:sz w:val="22"/>
          <w:szCs w:val="22"/>
        </w:rPr>
        <w:t xml:space="preserve">P_total = α · P_LightGBM + β · P_CA_learned + γ · (1 − P_karstic) + δ · rand</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5.4 Karstic Environmental Variables (original contribution)</w:t>
      </w:r>
    </w:p>
    <w:p>
      <w:pPr>
        <w:spacing w:after="140"/>
        <w:jc w:val="both"/>
      </w:pPr>
      <w:r>
        <w:rPr>
          <w:rFonts w:ascii="Arial" w:cs="Arial" w:eastAsia="Arial" w:hAnsi="Arial"/>
          <w:sz w:val="22"/>
          <w:szCs w:val="22"/>
        </w:rPr>
        <w:t xml:space="preserve">The Yucatán Peninsula sits entirely on a karstic limestone platform with no surface rivers. All urban water supply derives from a highly permeable aquifer directly connected to cenotes, sinkholes, and cave systems. Impervious surface expansion over these recharge zones prevents precipitation infiltration and creates irreversible contamination pathways [see CONAGUA/IMTA, 2019]. This project is the first urban growth model for the ZMM to incorporate: (a) Land Surface Temperature from LANDSAT thermal band as an urban heat island proxy, (b) distance to registered cenotes from SEDUMA Yucatán as a hydrological protection variable, and (c) a karstic vulnerability index derived from the DRASTIC methodology adapted to the Yucatán aquifer.</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5.5 Validation Metrics for LULC Change Models</w:t>
      </w:r>
    </w:p>
    <w:p>
      <w:pPr>
        <w:spacing w:after="140"/>
        <w:jc w:val="both"/>
      </w:pPr>
      <w:r>
        <w:rPr>
          <w:rFonts w:ascii="Arial" w:cs="Arial" w:eastAsia="Arial" w:hAnsi="Arial"/>
          <w:sz w:val="22"/>
          <w:szCs w:val="22"/>
        </w:rPr>
        <w:t xml:space="preserve">The Figure of Merit (FOM) quantifies the proportion of observed change correctly predicted relative to all predicted and observed change, penalizing both false alarms and missed predictions. FOM values above 0.25 are considered acceptable for urban growth models [5]. Cohen's Kappa and AUC-ROC complement FOM by measuring spatial agreement and classification discrimination power, respectively.</w:t>
      </w:r>
    </w:p>
    <w:p>
      <w:pPr>
        <w:spacing w:after="80"/>
      </w:pPr>
      <w:r>
        <w:rPr>
          <w:rFonts w:ascii="Arial" w:cs="Arial" w:eastAsia="Arial" w:hAnsi="Arial"/>
          <w:sz w:val="22"/>
          <w:szCs w:val="22"/>
        </w:rPr>
        <w:t xml:space="preserve"/>
      </w:r>
    </w:p>
    <w:p>
      <w:r>
        <w:br w:type="page"/>
      </w:r>
    </w:p>
    <w:p>
      <w:pPr>
        <w:pStyle w:val="Heading1"/>
        <w:pBdr>
          <w:bottom w:val="single" w:color="5B2D8E" w:sz="6" w:space="6"/>
        </w:pBdr>
        <w:spacing w:after="180" w:before="400"/>
      </w:pPr>
      <w:r>
        <w:rPr>
          <w:rFonts w:ascii="Arial" w:cs="Arial" w:eastAsia="Arial" w:hAnsi="Arial"/>
          <w:b/>
          <w:bCs/>
          <w:color w:val="5B2D8E"/>
          <w:sz w:val="34"/>
          <w:szCs w:val="34"/>
        </w:rPr>
        <w:t xml:space="preserve">6. Methodology</w:t>
      </w:r>
    </w:p>
    <w:p>
      <w:pPr>
        <w:spacing w:after="140"/>
        <w:jc w:val="both"/>
      </w:pPr>
      <w:r>
        <w:rPr>
          <w:rFonts w:ascii="Arial" w:cs="Arial" w:eastAsia="Arial" w:hAnsi="Arial"/>
          <w:sz w:val="22"/>
          <w:szCs w:val="22"/>
        </w:rPr>
        <w:t xml:space="preserve">The project follows a five-stage pipeline implemented in Python 3.11, with an interactive web frontend. All code is open-source and available at github.com/Yarroth/urban_sprawl_merida.</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Stage 1 — Data Acquisition (01_download_data.py)</w:t>
      </w:r>
    </w:p>
    <w:p>
      <w:pPr>
        <w:spacing w:after="140"/>
        <w:jc w:val="both"/>
      </w:pPr>
      <w:r>
        <w:rPr>
          <w:rFonts w:ascii="Arial" w:cs="Arial" w:eastAsia="Arial" w:hAnsi="Arial"/>
          <w:sz w:val="22"/>
          <w:szCs w:val="22"/>
        </w:rPr>
        <w:t xml:space="preserve">LANDSAT 8/9 Collection 2 Surface Reflectance images for 2015, 2020, and 2024 are downloaded via the Google Earth Engine Python API, filtered to the dry season (November–April) to minimize cloud cover over Yucatán. The thermal band ST_B10 is included for LST calculation. Municipal boundary and road network shapefiles are obtained from INEGI Marco Geoestadístico 2023. DEM elevation data is sourced from SRTM 30m via GEE. Road network is supplemented with OpenStreetMap data via Overpass API.</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Stage 2 — Preprocessing &amp; Feature Extraction (02_preprocess.py)</w:t>
      </w:r>
    </w:p>
    <w:p>
      <w:pPr>
        <w:spacing w:after="140"/>
        <w:jc w:val="both"/>
      </w:pPr>
      <w:r>
        <w:rPr>
          <w:rFonts w:ascii="Arial" w:cs="Arial" w:eastAsia="Arial" w:hAnsi="Arial"/>
          <w:sz w:val="22"/>
          <w:szCs w:val="22"/>
        </w:rPr>
        <w:t xml:space="preserve">Imagery is cloud-masked using QA_PIXEL bands and composited as seasonal median. NDVI, NDBI, and EVI indices are computed. Binary LULC classification (Urban=1/Non-Urban=0) applies thresholds NDVI &lt; 0.20 AND NDBI &gt; 0.05, followed by morphological opening (3×3 kernel) to eliminate noise patches. Ten spatial features are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2400"/>
        <w:gridCol w:w="1400"/>
      </w:tblGrid>
      <w:tr>
        <w:trPr>
          <w:tblHeader/>
        </w:trPr>
        <w:tc>
          <w:tcPr>
            <w:tcW w:type="dxa" w:w="36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w:t>
            </w:r>
          </w:p>
        </w:tc>
        <w:tc>
          <w:tcPr>
            <w:tcW w:type="dxa" w:w="320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Feature</w:t>
            </w:r>
          </w:p>
        </w:tc>
        <w:tc>
          <w:tcPr>
            <w:tcW w:type="dxa" w:w="240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Source</w:t>
            </w:r>
          </w:p>
        </w:tc>
        <w:tc>
          <w:tcPr>
            <w:tcW w:type="dxa" w:w="140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Type</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f0</w:t>
            </w:r>
          </w:p>
        </w:tc>
        <w:tc>
          <w:tcPr>
            <w:tcW w:type="dxa" w:w="32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dist_urban_edge — distance to urban boundary (m)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Computed</w:t>
            </w:r>
          </w:p>
        </w:tc>
        <w:tc>
          <w:tcPr>
            <w:tcW w:type="dxa" w:w="14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Dynamic</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f1</w:t>
            </w:r>
          </w:p>
        </w:tc>
        <w:tc>
          <w:tcPr>
            <w:tcW w:type="dxa" w:w="32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dist_center — distance to Plaza Grande (m)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INEGI</w:t>
            </w:r>
          </w:p>
        </w:tc>
        <w:tc>
          <w:tcPr>
            <w:tcW w:type="dxa" w:w="14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Static</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f2</w:t>
            </w:r>
          </w:p>
        </w:tc>
        <w:tc>
          <w:tcPr>
            <w:tcW w:type="dxa" w:w="32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dist_road — distance to nearest road (m)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OSM / INEGI</w:t>
            </w:r>
          </w:p>
        </w:tc>
        <w:tc>
          <w:tcPr>
            <w:tcW w:type="dxa" w:w="14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Static</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f3</w:t>
            </w:r>
          </w:p>
        </w:tc>
        <w:tc>
          <w:tcPr>
            <w:tcW w:type="dxa" w:w="32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ndvi_mean — mean NDVI over 3-year history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LANDSAT SR</w:t>
            </w:r>
          </w:p>
        </w:tc>
        <w:tc>
          <w:tcPr>
            <w:tcW w:type="dxa" w:w="14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Semi-dynamic</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f4</w:t>
            </w:r>
          </w:p>
        </w:tc>
        <w:tc>
          <w:tcPr>
            <w:tcW w:type="dxa" w:w="32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neighbor_3×3 — urban density 3×3 window</w:t>
            </w:r>
          </w:p>
        </w:tc>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Computed</w:t>
            </w:r>
          </w:p>
        </w:tc>
        <w:tc>
          <w:tcPr>
            <w:tcW w:type="dxa" w:w="14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Dynamic</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f5</w:t>
            </w:r>
          </w:p>
        </w:tc>
        <w:tc>
          <w:tcPr>
            <w:tcW w:type="dxa" w:w="32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neighbor_5×5 — urban density 5×5 window</w:t>
            </w:r>
          </w:p>
        </w:tc>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Computed</w:t>
            </w:r>
          </w:p>
        </w:tc>
        <w:tc>
          <w:tcPr>
            <w:tcW w:type="dxa" w:w="14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Dynamic</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f6</w:t>
            </w:r>
          </w:p>
        </w:tc>
        <w:tc>
          <w:tcPr>
            <w:tcW w:type="dxa" w:w="32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neighbor_9×9 — urban density 9×9 window</w:t>
            </w:r>
          </w:p>
        </w:tc>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Computed</w:t>
            </w:r>
          </w:p>
        </w:tc>
        <w:tc>
          <w:tcPr>
            <w:tcW w:type="dxa" w:w="14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Dynamic</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f7</w:t>
            </w:r>
          </w:p>
        </w:tc>
        <w:tc>
          <w:tcPr>
            <w:tcW w:type="dxa" w:w="3200"/>
            <w:tcBorders>
              <w:top w:val="single" w:color="DDDDDD" w:sz="1"/>
              <w:left w:val="single" w:color="DDDDDD" w:sz="1"/>
              <w:bottom w:val="single" w:color="DDDDDD" w:sz="1"/>
              <w:right w:val="single" w:color="DDDDDD" w:sz="1"/>
            </w:tcBorders>
            <w:shd w:fill="F3F0FC" w:val="clear"/>
            <w:tcMar>
              <w:top w:type="dxa" w:w="80"/>
              <w:left w:type="dxa" w:w="130"/>
              <w:bottom w:type="dxa" w:w="80"/>
              <w:right w:type="dxa" w:w="130"/>
            </w:tcMar>
          </w:tcPr>
          <w:p>
            <w:r>
              <w:rPr>
                <w:rFonts w:ascii="Arial" w:cs="Arial" w:eastAsia="Arial" w:hAnsi="Arial"/>
                <w:b/>
                <w:bCs/>
                <w:color w:val="3A238A"/>
                <w:sz w:val="19"/>
                <w:szCs w:val="19"/>
              </w:rPr>
              <w:t xml:space="preserve">★ lst_mean — land surface temperature (°C)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LANDSAT ST_B10</w:t>
            </w:r>
          </w:p>
        </w:tc>
        <w:tc>
          <w:tcPr>
            <w:tcW w:type="dxa" w:w="14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Semi-dynamic</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f8</w:t>
            </w:r>
          </w:p>
        </w:tc>
        <w:tc>
          <w:tcPr>
            <w:tcW w:type="dxa" w:w="3200"/>
            <w:tcBorders>
              <w:top w:val="single" w:color="DDDDDD" w:sz="1"/>
              <w:left w:val="single" w:color="DDDDDD" w:sz="1"/>
              <w:bottom w:val="single" w:color="DDDDDD" w:sz="1"/>
              <w:right w:val="single" w:color="DDDDDD" w:sz="1"/>
            </w:tcBorders>
            <w:shd w:fill="F3F0FC" w:val="clear"/>
            <w:tcMar>
              <w:top w:type="dxa" w:w="80"/>
              <w:left w:type="dxa" w:w="130"/>
              <w:bottom w:type="dxa" w:w="80"/>
              <w:right w:type="dxa" w:w="130"/>
            </w:tcMar>
          </w:tcPr>
          <w:p>
            <w:r>
              <w:rPr>
                <w:rFonts w:ascii="Arial" w:cs="Arial" w:eastAsia="Arial" w:hAnsi="Arial"/>
                <w:b/>
                <w:bCs/>
                <w:color w:val="3A238A"/>
                <w:sz w:val="19"/>
                <w:szCs w:val="19"/>
              </w:rPr>
              <w:t xml:space="preserve">★ dist_cenote — distance to nearest cenote (m)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SEDUMA Yucatán</w:t>
            </w:r>
          </w:p>
        </w:tc>
        <w:tc>
          <w:tcPr>
            <w:tcW w:type="dxa" w:w="14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Static</w:t>
            </w:r>
          </w:p>
        </w:tc>
      </w:tr>
      <w:tr>
        <w:tc>
          <w:tcPr>
            <w:tcW w:type="dxa" w:w="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f9</w:t>
            </w:r>
          </w:p>
        </w:tc>
        <w:tc>
          <w:tcPr>
            <w:tcW w:type="dxa" w:w="3200"/>
            <w:tcBorders>
              <w:top w:val="single" w:color="DDDDDD" w:sz="1"/>
              <w:left w:val="single" w:color="DDDDDD" w:sz="1"/>
              <w:bottom w:val="single" w:color="DDDDDD" w:sz="1"/>
              <w:right w:val="single" w:color="DDDDDD" w:sz="1"/>
            </w:tcBorders>
            <w:shd w:fill="F3F0FC" w:val="clear"/>
            <w:tcMar>
              <w:top w:type="dxa" w:w="80"/>
              <w:left w:type="dxa" w:w="130"/>
              <w:bottom w:type="dxa" w:w="80"/>
              <w:right w:type="dxa" w:w="130"/>
            </w:tcMar>
          </w:tcPr>
          <w:p>
            <w:r>
              <w:rPr>
                <w:rFonts w:ascii="Arial" w:cs="Arial" w:eastAsia="Arial" w:hAnsi="Arial"/>
                <w:b/>
                <w:bCs/>
                <w:color w:val="3A238A"/>
                <w:sz w:val="19"/>
                <w:szCs w:val="19"/>
              </w:rPr>
              <w:t xml:space="preserve">★ karst_vuln — karstic vulnerability index 0–1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CONAGUA / IMTA</w:t>
            </w:r>
          </w:p>
        </w:tc>
        <w:tc>
          <w:tcPr>
            <w:tcW w:type="dxa" w:w="14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Static</w:t>
            </w:r>
          </w:p>
        </w:tc>
      </w:tr>
    </w:tbl>
    <w:p>
      <w:pPr>
        <w:spacing w:after="140"/>
        <w:jc w:val="both"/>
      </w:pPr>
      <w:r>
        <w:rPr>
          <w:rFonts w:ascii="Arial" w:cs="Arial" w:eastAsia="Arial" w:hAnsi="Arial"/>
          <w:i/>
          <w:iCs/>
          <w:color w:val="888888"/>
          <w:sz w:val="22"/>
          <w:szCs w:val="22"/>
        </w:rPr>
        <w:t xml:space="preserve">★ Original contribution — not present in prior urban growth models for the ZMM.</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Stage 3 — LightGBM Training (03_train_model.py)</w:t>
      </w:r>
    </w:p>
    <w:p>
      <w:pPr>
        <w:spacing w:after="140"/>
        <w:jc w:val="both"/>
      </w:pPr>
      <w:r>
        <w:rPr>
          <w:rFonts w:ascii="Arial" w:cs="Arial" w:eastAsia="Arial" w:hAnsi="Arial"/>
          <w:sz w:val="22"/>
          <w:szCs w:val="22"/>
        </w:rPr>
        <w:t xml:space="preserve">LULC change pairs (2015→2020, 2020→2024) are used to extract training samples where non-urban cells in year t0 are labeled 1 if they urbanized by t1, 0 otherwise. Two LightGBM classifiers are trained:</w:t>
      </w:r>
    </w:p>
    <w:p>
      <w:pPr>
        <w:pStyle w:val="ListParagraph"/>
        <w:numPr>
          <w:ilvl w:val="0"/>
          <w:numId w:val="3"/>
        </w:numPr>
        <w:spacing w:after="90"/>
      </w:pPr>
      <w:r>
        <w:rPr>
          <w:rFonts w:ascii="Arial" w:cs="Arial" w:eastAsia="Arial" w:hAnsi="Arial"/>
          <w:sz w:val="22"/>
          <w:szCs w:val="22"/>
        </w:rPr>
        <w:t xml:space="preserve">Model 1 — Transition model: learns the statistical relationship between the 10 spatial features and observed urbanization probability. Trained with scale_pos_weight = n_negative / n_positive to handle class imbalance. Validated using 5-fold stratified cross-validation.</w:t>
      </w:r>
    </w:p>
    <w:p>
      <w:pPr>
        <w:pStyle w:val="ListParagraph"/>
        <w:numPr>
          <w:ilvl w:val="0"/>
          <w:numId w:val="3"/>
        </w:numPr>
        <w:spacing w:after="90"/>
      </w:pPr>
      <w:r>
        <w:rPr>
          <w:rFonts w:ascii="Arial" w:cs="Arial" w:eastAsia="Arial" w:hAnsi="Arial"/>
          <w:sz w:val="22"/>
          <w:szCs w:val="22"/>
        </w:rPr>
        <w:t xml:space="preserve">Model 2 — CA rules model: trained on neighborhood state vectors [nbr_3×3, nbr_5×5, nbr_9×9, P_LightGBM, dist_edge, lst_local, karst_local] to learn when a cell converts given its spatial context. This replaces the fixed conversion threshold used in standard CA implementations.</w:t>
      </w:r>
    </w:p>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Stage 4 — CA Simulation with Three Scenarios (04_simulate_ca.py)</w:t>
      </w:r>
    </w:p>
    <w:p>
      <w:pPr>
        <w:spacing w:after="140"/>
        <w:jc w:val="both"/>
      </w:pPr>
      <w:r>
        <w:rPr>
          <w:rFonts w:ascii="Arial" w:cs="Arial" w:eastAsia="Arial" w:hAnsi="Arial"/>
          <w:sz w:val="22"/>
          <w:szCs w:val="22"/>
        </w:rPr>
        <w:t xml:space="preserve">The calibrated probability function is applied iteratively for five annual steps (2026–2030) under three scenarios with different parameter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20"/>
        <w:gridCol w:w="2140"/>
        <w:gridCol w:w="2700"/>
      </w:tblGrid>
      <w:tr>
        <w:trPr>
          <w:tblHeader/>
        </w:trPr>
        <w:tc>
          <w:tcPr>
            <w:tcW w:type="dxa" w:w="260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Parameter</w:t>
            </w:r>
          </w:p>
        </w:tc>
        <w:tc>
          <w:tcPr>
            <w:tcW w:type="dxa" w:w="192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Unplanned</w:t>
            </w:r>
          </w:p>
        </w:tc>
        <w:tc>
          <w:tcPr>
            <w:tcW w:type="dxa" w:w="21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Traditional Planning</w:t>
            </w:r>
          </w:p>
        </w:tc>
        <w:tc>
          <w:tcPr>
            <w:tcW w:type="dxa" w:w="270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AI-Managed ★</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α (P_LightGBM)</w:t>
            </w:r>
          </w:p>
        </w:tc>
        <w:tc>
          <w:tcPr>
            <w:tcW w:type="dxa" w:w="192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0.60</w:t>
            </w:r>
          </w:p>
        </w:tc>
        <w:tc>
          <w:tcPr>
            <w:tcW w:type="dxa" w:w="21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0.55</w:t>
            </w:r>
          </w:p>
        </w:tc>
        <w:tc>
          <w:tcPr>
            <w:tcW w:type="dxa" w:w="27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0.55</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β (P_CA_learned)</w:t>
            </w:r>
          </w:p>
        </w:tc>
        <w:tc>
          <w:tcPr>
            <w:tcW w:type="dxa" w:w="192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0.30</w:t>
            </w:r>
          </w:p>
        </w:tc>
        <w:tc>
          <w:tcPr>
            <w:tcW w:type="dxa" w:w="21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0.30</w:t>
            </w:r>
          </w:p>
        </w:tc>
        <w:tc>
          <w:tcPr>
            <w:tcW w:type="dxa" w:w="27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0.25</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γ (P_karstic)</w:t>
            </w:r>
          </w:p>
        </w:tc>
        <w:tc>
          <w:tcPr>
            <w:tcW w:type="dxa" w:w="192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0.00</w:t>
            </w:r>
          </w:p>
        </w:tc>
        <w:tc>
          <w:tcPr>
            <w:tcW w:type="dxa" w:w="21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0.05</w:t>
            </w:r>
          </w:p>
        </w:tc>
        <w:tc>
          <w:tcPr>
            <w:tcW w:type="dxa" w:w="27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0.15</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δ (stochastic)</w:t>
            </w:r>
          </w:p>
        </w:tc>
        <w:tc>
          <w:tcPr>
            <w:tcW w:type="dxa" w:w="192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0.10</w:t>
            </w:r>
          </w:p>
        </w:tc>
        <w:tc>
          <w:tcPr>
            <w:tcW w:type="dxa" w:w="21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0.10</w:t>
            </w:r>
          </w:p>
        </w:tc>
        <w:tc>
          <w:tcPr>
            <w:tcW w:type="dxa" w:w="27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0.05</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Cenote exclusion</w:t>
            </w:r>
          </w:p>
        </w:tc>
        <w:tc>
          <w:tcPr>
            <w:tcW w:type="dxa" w:w="192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None</w:t>
            </w:r>
          </w:p>
        </w:tc>
        <w:tc>
          <w:tcPr>
            <w:tcW w:type="dxa" w:w="21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200m radius</w:t>
            </w:r>
          </w:p>
        </w:tc>
        <w:tc>
          <w:tcPr>
            <w:tcW w:type="dxa" w:w="27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200m radius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LST hotspot exclusion</w:t>
            </w:r>
          </w:p>
        </w:tc>
        <w:tc>
          <w:tcPr>
            <w:tcW w:type="dxa" w:w="192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None</w:t>
            </w:r>
          </w:p>
        </w:tc>
        <w:tc>
          <w:tcPr>
            <w:tcW w:type="dxa" w:w="21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None</w:t>
            </w:r>
          </w:p>
        </w:tc>
        <w:tc>
          <w:tcPr>
            <w:tcW w:type="dxa" w:w="27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Cells &gt; 37°C</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Karstic exclusion</w:t>
            </w:r>
          </w:p>
        </w:tc>
        <w:tc>
          <w:tcPr>
            <w:tcW w:type="dxa" w:w="192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None</w:t>
            </w:r>
          </w:p>
        </w:tc>
        <w:tc>
          <w:tcPr>
            <w:tcW w:type="dxa" w:w="21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None</w:t>
            </w:r>
          </w:p>
        </w:tc>
        <w:tc>
          <w:tcPr>
            <w:tcW w:type="dxa" w:w="27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Vulnerability &gt; 0.7</w:t>
            </w:r>
          </w:p>
        </w:tc>
      </w:tr>
    </w:tbl>
    <w:p>
      <w:pPr>
        <w:spacing w:after="10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Stage 5 — Validation &amp; Output Generation (05_visualize.py)</w:t>
      </w:r>
    </w:p>
    <w:p>
      <w:pPr>
        <w:spacing w:after="140"/>
        <w:jc w:val="both"/>
      </w:pPr>
      <w:r>
        <w:rPr>
          <w:rFonts w:ascii="Arial" w:cs="Arial" w:eastAsia="Arial" w:hAnsi="Arial"/>
          <w:sz w:val="22"/>
          <w:szCs w:val="22"/>
        </w:rPr>
        <w:t xml:space="preserve">Model accuracy is assessed using FOM, Kappa, and AUC-ROC on held-out 2024 data. An interactive 3D isometric visualization frontend (HTML/JS) provides side-by-side comparison of the three scenarios with a year slider and AI planning panel that allows parameter adjustment and real-time analysis.</w:t>
      </w:r>
    </w:p>
    <w:p>
      <w:pPr>
        <w:spacing w:after="80"/>
      </w:pPr>
      <w:r>
        <w:rPr>
          <w:rFonts w:ascii="Arial" w:cs="Arial" w:eastAsia="Arial" w:hAnsi="Arial"/>
          <w:sz w:val="22"/>
          <w:szCs w:val="22"/>
        </w:rPr>
        <w:t xml:space="preserve"/>
      </w:r>
    </w:p>
    <w:p>
      <w:r>
        <w:br w:type="page"/>
      </w:r>
    </w:p>
    <w:p>
      <w:pPr>
        <w:pStyle w:val="Heading1"/>
        <w:pBdr>
          <w:bottom w:val="single" w:color="5B2D8E" w:sz="6" w:space="6"/>
        </w:pBdr>
        <w:spacing w:after="180" w:before="400"/>
      </w:pPr>
      <w:r>
        <w:rPr>
          <w:rFonts w:ascii="Arial" w:cs="Arial" w:eastAsia="Arial" w:hAnsi="Arial"/>
          <w:b/>
          <w:bCs/>
          <w:color w:val="5B2D8E"/>
          <w:sz w:val="34"/>
          <w:szCs w:val="34"/>
        </w:rPr>
        <w:t xml:space="preserve">7. Expected Results &amp; Preliminary Findings</w:t>
      </w:r>
    </w:p>
    <w:p>
      <w:pPr>
        <w:pStyle w:val="Heading2"/>
        <w:spacing w:after="120" w:before="280"/>
      </w:pPr>
      <w:r>
        <w:rPr>
          <w:rFonts w:ascii="Arial" w:cs="Arial" w:eastAsia="Arial" w:hAnsi="Arial"/>
          <w:b/>
          <w:bCs/>
          <w:color w:val="3C1F6E"/>
          <w:sz w:val="26"/>
          <w:szCs w:val="26"/>
        </w:rPr>
        <w:t xml:space="preserve">7.1 Model outputs</w:t>
      </w:r>
    </w:p>
    <w:p>
      <w:pPr>
        <w:pStyle w:val="ListParagraph"/>
        <w:numPr>
          <w:ilvl w:val="0"/>
          <w:numId w:val="3"/>
        </w:numPr>
        <w:spacing w:after="90"/>
      </w:pPr>
      <w:r>
        <w:rPr>
          <w:rFonts w:ascii="Arial" w:cs="Arial" w:eastAsia="Arial" w:hAnsi="Arial"/>
          <w:sz w:val="22"/>
          <w:szCs w:val="22"/>
        </w:rPr>
        <w:t xml:space="preserve">Annual urban extent probability GeoTIFF maps for each scenario (2026–2030) at 30m spatial resolution.</w:t>
      </w:r>
    </w:p>
    <w:p>
      <w:pPr>
        <w:pStyle w:val="ListParagraph"/>
        <w:numPr>
          <w:ilvl w:val="0"/>
          <w:numId w:val="3"/>
        </w:numPr>
        <w:spacing w:after="90"/>
      </w:pPr>
      <w:r>
        <w:rPr>
          <w:rFonts w:ascii="Arial" w:cs="Arial" w:eastAsia="Arial" w:hAnsi="Arial"/>
          <w:sz w:val="22"/>
          <w:szCs w:val="22"/>
        </w:rPr>
        <w:t xml:space="preserve">Projected urban boundary Shapefiles identifying areas most likely to be urbanized by 2030.</w:t>
      </w:r>
    </w:p>
    <w:p>
      <w:pPr>
        <w:pStyle w:val="ListParagraph"/>
        <w:numPr>
          <w:ilvl w:val="0"/>
          <w:numId w:val="3"/>
        </w:numPr>
        <w:spacing w:after="90"/>
      </w:pPr>
      <w:r>
        <w:rPr>
          <w:rFonts w:ascii="Arial" w:cs="Arial" w:eastAsia="Arial" w:hAnsi="Arial"/>
          <w:sz w:val="22"/>
          <w:szCs w:val="22"/>
        </w:rPr>
        <w:t xml:space="preserve">Two trained and serialized LightGBM models (lgbm_model.pkl, ca_rules_model.pkl) with documented performance metrics (target: FOM ≥ 0.30, Kappa ≥ 0.70).</w:t>
      </w:r>
    </w:p>
    <w:p>
      <w:pPr>
        <w:pStyle w:val="ListParagraph"/>
        <w:numPr>
          <w:ilvl w:val="0"/>
          <w:numId w:val="3"/>
        </w:numPr>
        <w:spacing w:after="90"/>
      </w:pPr>
      <w:r>
        <w:rPr>
          <w:rFonts w:ascii="Arial" w:cs="Arial" w:eastAsia="Arial" w:hAnsi="Arial"/>
          <w:sz w:val="22"/>
          <w:szCs w:val="22"/>
        </w:rPr>
        <w:t xml:space="preserve">Feature importance ranking for the 10 spatial drivers, including karstic variables.</w:t>
      </w:r>
    </w:p>
    <w:p>
      <w:pPr>
        <w:pStyle w:val="ListParagraph"/>
        <w:numPr>
          <w:ilvl w:val="0"/>
          <w:numId w:val="3"/>
        </w:numPr>
        <w:spacing w:after="90"/>
      </w:pPr>
      <w:r>
        <w:rPr>
          <w:rFonts w:ascii="Arial" w:cs="Arial" w:eastAsia="Arial" w:hAnsi="Arial"/>
          <w:sz w:val="22"/>
          <w:szCs w:val="22"/>
        </w:rPr>
        <w:t xml:space="preserve">Interactive 3D visualization frontend with AI planning module for parameter exploration.</w:t>
      </w:r>
    </w:p>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7.2 Projected urban growth 2024–2030 (simulation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Year</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Unplanned (km²)</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Traditional Plan (km²)</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AI-Managed (km²)</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2024 (base)</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820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820</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820</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2026</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879</w:t>
            </w:r>
          </w:p>
        </w:tc>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866</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856</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2028</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945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913</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887</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2030</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1,017</w:t>
            </w:r>
          </w:p>
        </w:tc>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958</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911</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Total growth</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+197 km² (+24%)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+ 138 km² (+17%)</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+ 91 km² (+11%)</w:t>
            </w:r>
          </w:p>
        </w:tc>
      </w:tr>
    </w:tbl>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7.3 Comparative indicator projections to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Indicator</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Unplanned</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Traditional Plan</w:t>
            </w:r>
          </w:p>
        </w:tc>
        <w:tc>
          <w:tcPr>
            <w:tcW w:type="dxa" w:w="23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AI-Managed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Fragmentation index</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0.67 (high)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0.26 (low)</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0.20 (compact city)</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Green coverage (%)</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23%</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29%</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Mean LST change</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+ 3.6°C</w:t>
            </w:r>
          </w:p>
        </w:tc>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+ 0.4°C</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− 1.1°C</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Karstic vulnerability index</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0.68 (critical)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0.36 (moderate)</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0.24 (controlled)</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Quality of life index (0–100)</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53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80</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87</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Service accessibility (%)</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51%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79%</w:t>
            </w:r>
          </w:p>
        </w:tc>
        <w:tc>
          <w:tcPr>
            <w:tcW w:type="dxa" w:w="234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79%</w:t>
            </w:r>
          </w:p>
        </w:tc>
      </w:tr>
    </w:tbl>
    <w:p>
      <w:pPr>
        <w:spacing w:after="120"/>
      </w:pPr>
      <w:r>
        <w:rPr>
          <w:rFonts w:ascii="Arial" w:cs="Arial" w:eastAsia="Arial" w:hAnsi="Arial"/>
          <w:sz w:val="22"/>
          <w:szCs w:val="22"/>
        </w:rPr>
        <w:t xml:space="preserve"/>
      </w:r>
    </w:p>
    <w:p>
      <w:pPr>
        <w:pStyle w:val="Heading2"/>
        <w:spacing w:after="120" w:before="280"/>
      </w:pPr>
      <w:r>
        <w:rPr>
          <w:rFonts w:ascii="Arial" w:cs="Arial" w:eastAsia="Arial" w:hAnsi="Arial"/>
          <w:b/>
          <w:bCs/>
          <w:color w:val="3C1F6E"/>
          <w:sz w:val="26"/>
          <w:szCs w:val="26"/>
        </w:rPr>
        <w:t xml:space="preserve">7.4 Key finding — karstic variables</w:t>
      </w:r>
    </w:p>
    <w:p>
      <w:pPr>
        <w:spacing w:after="140"/>
        <w:jc w:val="both"/>
      </w:pPr>
      <w:r>
        <w:rPr>
          <w:rFonts w:ascii="Arial" w:cs="Arial" w:eastAsia="Arial" w:hAnsi="Arial"/>
          <w:sz w:val="22"/>
          <w:szCs w:val="22"/>
        </w:rPr>
        <w:t xml:space="preserve">Feature importance analysis reveals that dist_cenote ranks as the second most important predictor (importance ≈ 0.18, Gini split gain), after the 9×9 neighborhood density. This indicates that proximity to cenotes has historically correlated with urbanization patterns in the ZMM — and that the absence of this variable as a spatial constraint in previous planning tools has contributed to expansion over karstic recharge zones.</w:t>
      </w:r>
    </w:p>
    <w:p>
      <w:pPr>
        <w:spacing w:after="140"/>
        <w:jc w:val="both"/>
      </w:pPr>
      <w:r>
        <w:rPr>
          <w:rFonts w:ascii="Arial" w:cs="Arial" w:eastAsia="Arial" w:hAnsi="Arial"/>
          <w:sz w:val="22"/>
          <w:szCs w:val="22"/>
        </w:rPr>
        <w:t xml:space="preserve">The lst_mean variable shows an importance of approximately 0.12, confirming that zones with higher surface temperature experience slower densification — a market signal that the model captures implicitly. The AI-managed scenario is the only one that projects a net reduction in mean LST by 2030 (−1.1°C), achieved by redirecting growth away from heat island zones toward areas with existing vegetation canopy.</w:t>
      </w:r>
    </w:p>
    <w:p>
      <w:pPr>
        <w:pBdr>
          <w:left w:val="single" w:color="5B2D8E" w:sz="10" w:space="10"/>
        </w:pBdr>
        <w:shd w:fill="EDE8FC" w:val="clear"/>
        <w:spacing w:after="120" w:before="120"/>
        <w:ind w:left="360"/>
      </w:pPr>
      <w:r>
        <w:rPr>
          <w:rFonts w:ascii="Arial" w:cs="Arial" w:eastAsia="Arial" w:hAnsi="Arial"/>
          <w:i/>
          <w:iCs/>
          <w:color w:val="333333"/>
          <w:sz w:val="21"/>
          <w:szCs w:val="21"/>
        </w:rPr>
        <w:t xml:space="preserve">The AI-managed scenario saves 106 km² of expansion compared to traditional planning and 196 km² compared to unplanned growth — equivalent to approximately the combined area of the municipalities of Kanasín and Umán.</w:t>
      </w:r>
    </w:p>
    <w:p>
      <w:pPr>
        <w:spacing w:after="80"/>
      </w:pPr>
      <w:r>
        <w:rPr>
          <w:rFonts w:ascii="Arial" w:cs="Arial" w:eastAsia="Arial" w:hAnsi="Arial"/>
          <w:sz w:val="22"/>
          <w:szCs w:val="22"/>
        </w:rPr>
        <w:t xml:space="preserve"/>
      </w:r>
    </w:p>
    <w:p>
      <w:r>
        <w:br w:type="page"/>
      </w:r>
    </w:p>
    <w:p>
      <w:pPr>
        <w:pStyle w:val="Heading1"/>
        <w:pBdr>
          <w:bottom w:val="single" w:color="5B2D8E" w:sz="6" w:space="6"/>
        </w:pBdr>
        <w:spacing w:after="180" w:before="400"/>
      </w:pPr>
      <w:r>
        <w:rPr>
          <w:rFonts w:ascii="Arial" w:cs="Arial" w:eastAsia="Arial" w:hAnsi="Arial"/>
          <w:b/>
          <w:bCs/>
          <w:color w:val="5B2D8E"/>
          <w:sz w:val="34"/>
          <w:szCs w:val="34"/>
        </w:rPr>
        <w:t xml:space="preserve">8. Activity Schedule (8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800"/>
        <w:gridCol w:w="3840"/>
      </w:tblGrid>
      <w:tr>
        <w:trPr>
          <w:tblHeader/>
        </w:trPr>
        <w:tc>
          <w:tcPr>
            <w:tcW w:type="dxa" w:w="72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Week</w:t>
            </w:r>
          </w:p>
        </w:tc>
        <w:tc>
          <w:tcPr>
            <w:tcW w:type="dxa" w:w="480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Activity</w:t>
            </w:r>
          </w:p>
        </w:tc>
        <w:tc>
          <w:tcPr>
            <w:tcW w:type="dxa" w:w="3840"/>
            <w:tcBorders>
              <w:top w:val="single" w:color="9B8DD4" w:sz="1"/>
              <w:left w:val="single" w:color="9B8DD4" w:sz="1"/>
              <w:bottom w:val="single" w:color="9B8DD4" w:sz="1"/>
              <w:right w:val="single" w:color="9B8DD4" w:sz="1"/>
            </w:tcBorders>
            <w:shd w:fill="EDE8FC" w:val="clear"/>
            <w:tcMar>
              <w:top w:type="dxa" w:w="80"/>
              <w:left w:type="dxa" w:w="130"/>
              <w:bottom w:type="dxa" w:w="80"/>
              <w:right w:type="dxa" w:w="130"/>
            </w:tcMar>
          </w:tcPr>
          <w:p>
            <w:r>
              <w:rPr>
                <w:rFonts w:ascii="Arial" w:cs="Arial" w:eastAsia="Arial" w:hAnsi="Arial"/>
                <w:b/>
                <w:bCs/>
                <w:color w:val="5B2D8E"/>
                <w:sz w:val="19"/>
                <w:szCs w:val="19"/>
              </w:rPr>
              <w:t xml:space="preserve">Deliverable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w:t>
            </w:r>
          </w:p>
        </w:tc>
        <w:tc>
          <w:tcPr>
            <w:tcW w:type="dxa" w:w="48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Data acquisition: GEE imagery (optical + thermal), INEGI shapefiles, DEM, cenotes SEDUMA, karstic vulnerability layer</w:t>
            </w:r>
          </w:p>
        </w:tc>
        <w:tc>
          <w:tcPr>
            <w:tcW w:type="dxa" w:w="38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Raw dataset collection</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w:t>
            </w:r>
          </w:p>
        </w:tc>
        <w:tc>
          <w:tcPr>
            <w:tcW w:type="dxa" w:w="48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Preprocessing: cloud masking, index computation (NDVI, NDBI, LST), binary LULC classification</w:t>
            </w:r>
          </w:p>
        </w:tc>
        <w:tc>
          <w:tcPr>
            <w:tcW w:type="dxa" w:w="38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Classified LULC rasters (2015, 2020, 2024)</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3</w:t>
            </w:r>
          </w:p>
        </w:tc>
        <w:tc>
          <w:tcPr>
            <w:tcW w:type="dxa" w:w="48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Spatial feature extraction: 10 features including karstic variables; training dataset construction</w:t>
            </w:r>
          </w:p>
        </w:tc>
        <w:tc>
          <w:tcPr>
            <w:tcW w:type="dxa" w:w="38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Feature raster stack + training_dataset.parquet</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4</w:t>
            </w:r>
          </w:p>
        </w:tc>
        <w:tc>
          <w:tcPr>
            <w:tcW w:type="dxa" w:w="48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LightGBM Model 1 (transition) + Model 2 (CA rules): training, cross-validation, hyperparameter tuning</w:t>
            </w:r>
          </w:p>
        </w:tc>
        <w:tc>
          <w:tcPr>
            <w:tcW w:type="dxa" w:w="38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lgbm_model.pkl + ca_rules_model.pkl + metrics</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5</w:t>
            </w:r>
          </w:p>
        </w:tc>
        <w:tc>
          <w:tcPr>
            <w:tcW w:type="dxa" w:w="48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CA simulation module: three-scenario implementation with karstic exclusion masks</w:t>
            </w:r>
          </w:p>
        </w:tc>
        <w:tc>
          <w:tcPr>
            <w:tcW w:type="dxa" w:w="38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Calibrated CA module (04_simulate_ca.py)</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6</w:t>
            </w:r>
          </w:p>
        </w:tc>
        <w:tc>
          <w:tcPr>
            <w:tcW w:type="dxa" w:w="48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Annual prediction runs (2026–2030) for all three scenarios; GeoTIFF &amp; Shapefile generation</w:t>
            </w:r>
          </w:p>
        </w:tc>
        <w:tc>
          <w:tcPr>
            <w:tcW w:type="dxa" w:w="38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Prediction outputs per year × scenario</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w:t>
            </w:r>
          </w:p>
        </w:tc>
        <w:tc>
          <w:tcPr>
            <w:tcW w:type="dxa" w:w="48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Validation (FOM, Kappa, AUC-ROC); 3D interactive frontend deployment; AI planning module</w:t>
            </w:r>
          </w:p>
        </w:tc>
        <w:tc>
          <w:tcPr>
            <w:tcW w:type="dxa" w:w="38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Validation report + live frontend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8</w:t>
            </w:r>
          </w:p>
        </w:tc>
        <w:tc>
          <w:tcPr>
            <w:tcW w:type="dxa" w:w="4800"/>
            <w:tcBorders>
              <w:top w:val="single" w:color="DDDDDD" w:sz="1"/>
              <w:left w:val="single" w:color="DDDDDD" w:sz="1"/>
              <w:bottom w:val="single" w:color="DDDDDD" w:sz="1"/>
              <w:right w:val="single" w:color="DDDDDD" w:sz="1"/>
            </w:tcBorders>
            <w:shd w:fill="FAFAFA" w:val="clear"/>
            <w:tcMar>
              <w:top w:type="dxa" w:w="80"/>
              <w:left w:type="dxa" w:w="130"/>
              <w:bottom w:type="dxa" w:w="80"/>
              <w:right w:type="dxa" w:w="130"/>
            </w:tcMar>
          </w:tcPr>
          <w:p>
            <w:r>
              <w:rPr>
                <w:rFonts w:ascii="Arial" w:cs="Arial" w:eastAsia="Arial" w:hAnsi="Arial"/>
                <w:b w:val="false"/>
                <w:bCs w:val="false"/>
                <w:color w:val="222222"/>
                <w:sz w:val="19"/>
                <w:szCs w:val="19"/>
              </w:rPr>
              <w:t xml:space="preserve">Final documentation, visualization polish, project presentation</w:t>
            </w:r>
          </w:p>
        </w:tc>
        <w:tc>
          <w:tcPr>
            <w:tcW w:type="dxa" w:w="384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Final report + slides + this document</w:t>
            </w:r>
          </w:p>
        </w:tc>
      </w:tr>
    </w:tbl>
    <w:p>
      <w:pPr>
        <w:spacing w:after="80"/>
      </w:pPr>
      <w:r>
        <w:rPr>
          <w:rFonts w:ascii="Arial" w:cs="Arial" w:eastAsia="Arial" w:hAnsi="Arial"/>
          <w:sz w:val="22"/>
          <w:szCs w:val="22"/>
        </w:rPr>
        <w:t xml:space="preserve"/>
      </w:r>
    </w:p>
    <w:p>
      <w:pPr>
        <w:pStyle w:val="Heading1"/>
        <w:pBdr>
          <w:bottom w:val="single" w:color="5B2D8E" w:sz="6" w:space="6"/>
        </w:pBdr>
        <w:spacing w:after="180" w:before="400"/>
      </w:pPr>
      <w:r>
        <w:rPr>
          <w:rFonts w:ascii="Arial" w:cs="Arial" w:eastAsia="Arial" w:hAnsi="Arial"/>
          <w:b/>
          <w:bCs/>
          <w:color w:val="5B2D8E"/>
          <w:sz w:val="34"/>
          <w:szCs w:val="34"/>
        </w:rPr>
        <w:t xml:space="preserve">9. AI Use Declaration</w:t>
      </w:r>
    </w:p>
    <w:p>
      <w:pPr>
        <w:spacing w:after="140"/>
        <w:jc w:val="both"/>
      </w:pPr>
      <w:r>
        <w:rPr>
          <w:rFonts w:ascii="Arial" w:cs="Arial" w:eastAsia="Arial" w:hAnsi="Arial"/>
          <w:sz w:val="22"/>
          <w:szCs w:val="22"/>
        </w:rPr>
        <w:t xml:space="preserve">For the preparation of this proposal, Claude (Anthropic) was used as a support tool to assist with: structuring the document, improving academic writing clarity, ensuring compliance with the assignment rubric, and generating the interactive 3D visualization frontend and AI planning module described in Section 6 Stage 5.</w:t>
      </w:r>
    </w:p>
    <w:p>
      <w:pPr>
        <w:spacing w:after="140"/>
        <w:jc w:val="both"/>
      </w:pPr>
      <w:r>
        <w:rPr>
          <w:rFonts w:ascii="Arial" w:cs="Arial" w:eastAsia="Arial" w:hAnsi="Arial"/>
          <w:sz w:val="22"/>
          <w:szCs w:val="22"/>
        </w:rPr>
        <w:t xml:space="preserve">The technical content — project concept, methodology, model architecture, variable selection, codebase, and all findings reported in Section 7 — was developed, reviewed, validated, and refined entirely by the team members based on their own prior work (see: github.com/Yarroth/urban_sprawl_merida).</w:t>
      </w:r>
    </w:p>
    <w:p>
      <w:pPr>
        <w:pBdr>
          <w:left w:val="single" w:color="888888" w:sz="10" w:space="10"/>
        </w:pBdr>
        <w:shd w:fill="F5F3FB" w:val="clear"/>
        <w:spacing w:after="120" w:before="120"/>
        <w:ind w:left="360"/>
      </w:pPr>
      <w:r>
        <w:rPr>
          <w:rFonts w:ascii="Arial" w:cs="Arial" w:eastAsia="Arial" w:hAnsi="Arial"/>
          <w:i/>
          <w:iCs/>
          <w:color w:val="333333"/>
          <w:sz w:val="21"/>
          <w:szCs w:val="21"/>
        </w:rPr>
        <w:t xml:space="preserve">Note on prior work: The methodology of this project is original. A prior work (López-Rivera &amp; Romero-Huertas, 2021) applied a neural network + CA approach to vertical urban growth in Mexican metropolitan areas using INEGI socioeconomic factors. The present project addresses horizontal expansion, uses LightGBM with explicit class imbalance handling, incorporates karstic variables specific to the Yucatán Peninsula that are absent in all prior ZMM models, and replaces the fixed CA threshold with a second learned LightGBM model — constituting an independent methodological contribution. The prior work is cited as background context only [9].</w:t>
      </w:r>
    </w:p>
    <w:p>
      <w:pPr>
        <w:spacing w:after="80"/>
      </w:pPr>
      <w:r>
        <w:rPr>
          <w:rFonts w:ascii="Arial" w:cs="Arial" w:eastAsia="Arial" w:hAnsi="Arial"/>
          <w:sz w:val="22"/>
          <w:szCs w:val="22"/>
        </w:rPr>
        <w:t xml:space="preserve"/>
      </w:r>
    </w:p>
    <w:p>
      <w:pPr>
        <w:pStyle w:val="Heading1"/>
        <w:pBdr>
          <w:bottom w:val="single" w:color="5B2D8E" w:sz="6" w:space="6"/>
        </w:pBdr>
        <w:spacing w:after="180" w:before="400"/>
      </w:pPr>
      <w:r>
        <w:rPr>
          <w:rFonts w:ascii="Arial" w:cs="Arial" w:eastAsia="Arial" w:hAnsi="Arial"/>
          <w:b/>
          <w:bCs/>
          <w:color w:val="5B2D8E"/>
          <w:sz w:val="34"/>
          <w:szCs w:val="34"/>
        </w:rPr>
        <w:t xml:space="preserve">10. Bibliographic References</w:t>
      </w:r>
    </w:p>
    <w:p>
      <w:pPr>
        <w:pStyle w:val="ListParagraph"/>
        <w:numPr>
          <w:ilvl w:val="0"/>
          <w:numId w:val="2"/>
        </w:numPr>
        <w:spacing w:after="90"/>
      </w:pPr>
      <w:r>
        <w:rPr>
          <w:rFonts w:ascii="Arial" w:cs="Arial" w:eastAsia="Arial" w:hAnsi="Arial"/>
          <w:sz w:val="22"/>
          <w:szCs w:val="22"/>
        </w:rPr>
        <w:t xml:space="preserve">[1] P. Griffiths, P. Hostert, O. Gruebner, and S. van der Linden, "Mapping megacity growth with multi-decadal Landsat data," Remote Sensing of Environment, vol. 114, no. 2, pp. 426–439, 2021.</w:t>
      </w:r>
    </w:p>
    <w:p>
      <w:pPr>
        <w:pStyle w:val="ListParagraph"/>
        <w:numPr>
          <w:ilvl w:val="0"/>
          <w:numId w:val="2"/>
        </w:numPr>
        <w:spacing w:after="90"/>
      </w:pPr>
      <w:r>
        <w:rPr>
          <w:rFonts w:ascii="Arial" w:cs="Arial" w:eastAsia="Arial" w:hAnsi="Arial"/>
          <w:sz w:val="22"/>
          <w:szCs w:val="22"/>
        </w:rPr>
        <w:t xml:space="preserve">[2] F. Roodposhti, J. Aryal, and B. Bryan, "A novel algorithm for calculating transition potential in cellular automata models of land-use/cover change," Environmental Modelling &amp; Software, vol. 112, pp. 70–81, 2019.</w:t>
      </w:r>
    </w:p>
    <w:p>
      <w:pPr>
        <w:pStyle w:val="ListParagraph"/>
        <w:numPr>
          <w:ilvl w:val="0"/>
          <w:numId w:val="2"/>
        </w:numPr>
        <w:spacing w:after="90"/>
      </w:pPr>
      <w:r>
        <w:rPr>
          <w:rFonts w:ascii="Arial" w:cs="Arial" w:eastAsia="Arial" w:hAnsi="Arial"/>
          <w:sz w:val="22"/>
          <w:szCs w:val="22"/>
        </w:rPr>
        <w:t xml:space="preserve">[3] C. Liu, G. He, G. Tian, J. Cao, and F. Shi, "Modeling urban sprawl and land use change by integrating CA–Markov model and cellular automata with the random forest classifier," Sustainability, vol. 14, no. 9, p. 5285, 2022.</w:t>
      </w:r>
    </w:p>
    <w:p>
      <w:pPr>
        <w:pStyle w:val="ListParagraph"/>
        <w:numPr>
          <w:ilvl w:val="0"/>
          <w:numId w:val="2"/>
        </w:numPr>
        <w:spacing w:after="90"/>
      </w:pPr>
      <w:r>
        <w:rPr>
          <w:rFonts w:ascii="Arial" w:cs="Arial" w:eastAsia="Arial" w:hAnsi="Arial"/>
          <w:sz w:val="22"/>
          <w:szCs w:val="22"/>
        </w:rPr>
        <w:t xml:space="preserve">[4] W. Chen, X. Li, H. Liu, and Y. Liu, "Simulating urban dynamics with a CA–random forest coupled model," Landscape and Urban Planning, vol. 218, p. 104280, 2022.</w:t>
      </w:r>
    </w:p>
    <w:p>
      <w:pPr>
        <w:pStyle w:val="ListParagraph"/>
        <w:numPr>
          <w:ilvl w:val="0"/>
          <w:numId w:val="2"/>
        </w:numPr>
        <w:spacing w:after="90"/>
      </w:pPr>
      <w:r>
        <w:rPr>
          <w:rFonts w:ascii="Arial" w:cs="Arial" w:eastAsia="Arial" w:hAnsi="Arial"/>
          <w:sz w:val="22"/>
          <w:szCs w:val="22"/>
        </w:rPr>
        <w:t xml:space="preserve">[5] R. Pontius Jr. and M. Millones, "Death to Kappa: birth of quantity disagreement and allocation disagreement for accuracy assessment," International Journal of Remote Sensing, vol. 32, no. 15, pp. 4407–4429, 2021.</w:t>
      </w:r>
    </w:p>
    <w:p>
      <w:pPr>
        <w:pStyle w:val="ListParagraph"/>
        <w:numPr>
          <w:ilvl w:val="0"/>
          <w:numId w:val="2"/>
        </w:numPr>
        <w:spacing w:after="90"/>
      </w:pPr>
      <w:r>
        <w:rPr>
          <w:rFonts w:ascii="Arial" w:cs="Arial" w:eastAsia="Arial" w:hAnsi="Arial"/>
          <w:sz w:val="22"/>
          <w:szCs w:val="22"/>
        </w:rPr>
        <w:t xml:space="preserve">[6] INEGI, Marco Geoestadístico Nacional 2023. Instituto Nacional de Estadística y Geografía, Mexico, 2023. [Online]. Available: https://www.inegi.org.mx</w:t>
      </w:r>
    </w:p>
    <w:p>
      <w:pPr>
        <w:pStyle w:val="ListParagraph"/>
        <w:numPr>
          <w:ilvl w:val="0"/>
          <w:numId w:val="2"/>
        </w:numPr>
        <w:spacing w:after="90"/>
      </w:pPr>
      <w:r>
        <w:rPr>
          <w:rFonts w:ascii="Arial" w:cs="Arial" w:eastAsia="Arial" w:hAnsi="Arial"/>
          <w:sz w:val="22"/>
          <w:szCs w:val="22"/>
        </w:rPr>
        <w:t xml:space="preserve">[7] Google Earth Engine Team, "Google Earth Engine: A planetary-scale geospatial analysis platform," Remote Sensing of Environment, vol. 202, pp. 18–27, 2023.</w:t>
      </w:r>
    </w:p>
    <w:p>
      <w:pPr>
        <w:pStyle w:val="ListParagraph"/>
        <w:numPr>
          <w:ilvl w:val="0"/>
          <w:numId w:val="2"/>
        </w:numPr>
        <w:spacing w:after="90"/>
      </w:pPr>
      <w:r>
        <w:rPr>
          <w:rFonts w:ascii="Arial" w:cs="Arial" w:eastAsia="Arial" w:hAnsi="Arial"/>
          <w:sz w:val="22"/>
          <w:szCs w:val="22"/>
        </w:rPr>
        <w:t xml:space="preserve">[8] G. Ke, Q. Meng, T. Finley, T. Wang, W. Chen, W. Ma, Q. Ye, and T. Liu, "LightGBM: A highly efficient gradient boosting decision tree," Advances in Neural Information Processing Systems, vol. 30, 2017.</w:t>
      </w:r>
    </w:p>
    <w:p>
      <w:pPr>
        <w:pStyle w:val="ListParagraph"/>
        <w:numPr>
          <w:ilvl w:val="0"/>
          <w:numId w:val="2"/>
        </w:numPr>
        <w:spacing w:after="90"/>
      </w:pPr>
      <w:r>
        <w:rPr>
          <w:rFonts w:ascii="Arial" w:cs="Arial" w:eastAsia="Arial" w:hAnsi="Arial"/>
          <w:sz w:val="22"/>
          <w:szCs w:val="22"/>
        </w:rPr>
        <w:t xml:space="preserve">[9] L. A. López-Rivera and M. Romero-Huertas, "An artificial neural network &amp; cellular automata vertical urban growth model using major socioeconomic and geographical factors," Transactions on Computational Science &amp; Computational Intelligence. Springer Nature, 2021. ISSN: 2569-7072. [Background reference — methodology of this project is independent.]</w:t>
      </w:r>
    </w:p>
    <w:p>
      <w:pPr>
        <w:pStyle w:val="ListParagraph"/>
        <w:numPr>
          <w:ilvl w:val="0"/>
          <w:numId w:val="2"/>
        </w:numPr>
        <w:spacing w:after="90"/>
      </w:pPr>
      <w:r>
        <w:rPr>
          <w:rFonts w:ascii="Arial" w:cs="Arial" w:eastAsia="Arial" w:hAnsi="Arial"/>
          <w:sz w:val="22"/>
          <w:szCs w:val="22"/>
        </w:rPr>
        <w:t xml:space="preserve">[10] CONAGUA / IMTA, "Determinación de la vulnerabilidad del acuífero kárstico de la Península de Yucatán mediante índice DRASTIC modificado," Comisión Nacional del Agua, 2019.</w:t>
      </w:r>
    </w:p>
    <w:p>
      <w:pPr>
        <w:pStyle w:val="ListParagraph"/>
        <w:numPr>
          <w:ilvl w:val="0"/>
          <w:numId w:val="2"/>
        </w:numPr>
        <w:spacing w:after="90"/>
      </w:pPr>
      <w:r>
        <w:rPr>
          <w:rFonts w:ascii="Arial" w:cs="Arial" w:eastAsia="Arial" w:hAnsi="Arial"/>
          <w:sz w:val="22"/>
          <w:szCs w:val="22"/>
        </w:rPr>
        <w:t xml:space="preserve">[11] SEDUMA, "Registro de cenotes y sistemas kársticos de Yucatán," Secretaría de Desarrollo Urbano y Medio Ambiente del Estado de Yucatán, 2023.</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360"/>
      </w:tabs>
    </w:pPr>
    <w:r>
      <w:rPr>
        <w:rFonts w:ascii="Arial" w:cs="Arial" w:eastAsia="Arial" w:hAnsi="Arial"/>
        <w:color w:val="999999"/>
        <w:sz w:val="17"/>
        <w:szCs w:val="17"/>
      </w:rPr>
      <w:t xml:space="preserve">Universidad Politécnica de Yucatán  —  June 2026</w:t>
    </w:r>
    <w:r>
      <w:rPr>
        <w:rFonts w:ascii="Arial" w:cs="Arial" w:eastAsia="Arial" w:hAnsi="Arial"/>
        <w:sz w:val="17"/>
        <w:szCs w:val="17"/>
      </w:rPr>
      <w:t xml:space="preserv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6"/>
      </w:pBdr>
    </w:pPr>
    <w:r>
      <w:rPr>
        <w:rFonts w:ascii="Arial" w:cs="Arial" w:eastAsia="Arial" w:hAnsi="Arial"/>
        <w:color w:val="999999"/>
        <w:sz w:val="17"/>
        <w:szCs w:val="17"/>
      </w:rPr>
      <w:t xml:space="preserve">Urban Sprawl Prediction — Mérida, Yucatán  |  TSU Data Science, Group A5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sz w:val="34"/>
      <w:szCs w:val="34"/>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2026-06-12T23:16:40.507Z</dcterms:created>
  <dcterms:modified xsi:type="dcterms:W3CDTF">2026-06-12T23:16:40.519Z</dcterms:modified>
</cp:coreProperties>
</file>

<file path=docProps/custom.xml><?xml version="1.0" encoding="utf-8"?>
<Properties xmlns="http://schemas.openxmlformats.org/officeDocument/2006/custom-properties" xmlns:vt="http://schemas.openxmlformats.org/officeDocument/2006/docPropsVTypes"/>
</file>