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Calibri" w:cs="Calibri" w:eastAsia="Calibri" w:hAnsi="Calibri"/>
          <w:b/>
          <w:bCs/>
          <w:color w:val="1E2761"/>
          <w:sz w:val="52"/>
          <w:szCs w:val="52"/>
        </w:rPr>
        <w:t xml:space="preserve">Student Learning Pattern Analysis</w:t>
      </w:r>
    </w:p>
    <w:p>
      <w:pPr>
        <w:spacing w:after="200" w:before="0"/>
        <w:jc w:val="center"/>
      </w:pPr>
      <w:r>
        <w:rPr>
          <w:rFonts w:ascii="Calibri" w:cs="Calibri" w:eastAsia="Calibri" w:hAnsi="Calibri"/>
          <w:color w:val="028090"/>
          <w:sz w:val="28"/>
          <w:szCs w:val="28"/>
        </w:rPr>
        <w:t xml:space="preserve">Course Enrollment Mining, Link Analysis &amp; BERT Semantic Similarity</w:t>
      </w:r>
    </w:p>
    <w:p>
      <w:pPr>
        <w:spacing w:after="2400" w:before="0"/>
        <w:jc w:val="center"/>
      </w:pPr>
      <w:r>
        <w:rPr>
          <w:rFonts w:ascii="Calibri" w:cs="Calibri" w:eastAsia="Calibri" w:hAnsi="Calibri"/>
          <w:color w:val="666666"/>
          <w:sz w:val="22"/>
          <w:szCs w:val="22"/>
        </w:rPr>
        <w:t xml:space="preserve">HarvardX &amp; MITx — Coursera MOOC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Dataset</w:t>
            </w:r>
          </w:p>
        </w:tc>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Cleaned_Enrollments.csv + Course_Descriptions.csv</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Records</w:t>
            </w:r>
          </w:p>
        </w:tc>
        <w:tc>
          <w:tcPr>
            <w:tcW w:type="dxa" w:w="468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641,138 enrollment events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Students</w:t>
            </w:r>
          </w:p>
        </w:tc>
        <w:tc>
          <w:tcPr>
            <w:tcW w:type="dxa" w:w="468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476,532 unique users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Courses</w:t>
            </w:r>
          </w:p>
        </w:tc>
        <w:tc>
          <w:tcPr>
            <w:tcW w:type="dxa" w:w="468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13 unique courses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Methods</w:t>
            </w:r>
          </w:p>
        </w:tc>
        <w:tc>
          <w:tcPr>
            <w:tcW w:type="dxa" w:w="468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Apriori, FP-Growth, PageRank, BERT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Outputs</w:t>
            </w:r>
          </w:p>
        </w:tc>
        <w:tc>
          <w:tcPr>
            <w:tcW w:type="dxa" w:w="468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7 CSVs, 2 notebooks, PPTX, Report</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b/>
          <w:bCs/>
          <w:color w:val="000000"/>
        </w:rPr>
        <w:t xml:space="preserve">1. Introduction</w:t>
      </w:r>
    </w:p>
    <w:p>
      <w:pPr>
        <w:spacing w:after="80" w:before="60"/>
      </w:pPr>
      <w:r>
        <w:rPr>
          <w:rFonts w:ascii="Calibri" w:cs="Calibri" w:eastAsia="Calibri" w:hAnsi="Calibri"/>
          <w:b w:val="false"/>
          <w:bCs w:val="false"/>
          <w:color w:val="333333"/>
          <w:sz w:val="22"/>
          <w:szCs w:val="22"/>
        </w:rPr>
        <w:t xml:space="preserve">Massive Open Online Courses (MOOCs) generate rich behavioural data about how learners engage with educational content. This project analyses 641,138 enrollment records from HarvardX and MITx courses on Coursera to extract student learning patterns, identify influential courses, and recommend structured learning paths.</w:t>
      </w:r>
    </w:p>
    <w:p>
      <w:pPr>
        <w:spacing w:after="80" w:before="60"/>
      </w:pPr>
      <w:r>
        <w:rPr>
          <w:rFonts w:ascii="Calibri" w:cs="Calibri" w:eastAsia="Calibri" w:hAnsi="Calibri"/>
          <w:b w:val="false"/>
          <w:bCs w:val="false"/>
          <w:color w:val="333333"/>
          <w:sz w:val="22"/>
          <w:szCs w:val="22"/>
        </w:rPr>
        <w:t xml:space="preserve">The analysis is structured into two main tasks:</w:t>
      </w:r>
    </w:p>
    <w:p>
      <w:pPr>
        <w:pStyle w:val="ListParagraph"/>
        <w:numPr>
          <w:ilvl w:val="0"/>
          <w:numId w:val="2"/>
        </w:numPr>
        <w:spacing w:after="40" w:before="40"/>
      </w:pPr>
      <w:r>
        <w:rPr>
          <w:rFonts w:ascii="Calibri" w:cs="Calibri" w:eastAsia="Calibri" w:hAnsi="Calibri"/>
          <w:color w:val="333333"/>
          <w:sz w:val="21"/>
          <w:szCs w:val="21"/>
        </w:rPr>
        <w:t xml:space="preserve">Task 1 — Pattern &amp; Graph Analysis: applying Apriori and FP-Growth algorithms to discover frequent course co-enrollment combinations, and PageRank to identify the most influential courses in the co-enrollment network.</w:t>
      </w:r>
    </w:p>
    <w:p>
      <w:pPr>
        <w:pStyle w:val="ListParagraph"/>
        <w:numPr>
          <w:ilvl w:val="0"/>
          <w:numId w:val="2"/>
        </w:numPr>
        <w:spacing w:after="40" w:before="40"/>
      </w:pPr>
      <w:r>
        <w:rPr>
          <w:rFonts w:ascii="Calibri" w:cs="Calibri" w:eastAsia="Calibri" w:hAnsi="Calibri"/>
          <w:color w:val="333333"/>
          <w:sz w:val="21"/>
          <w:szCs w:val="21"/>
        </w:rPr>
        <w:t xml:space="preserve">Task 2 — BERT Semantic Analysis: using BERT-based embeddings on course descriptions to compute semantic similarity between courses, independently validating the clusters found in Task 1.</w:t>
      </w:r>
    </w:p>
    <w:p>
      <w:pPr>
        <w:spacing w:after="80" w:before="60"/>
      </w:pPr>
      <w:r>
        <w:rPr>
          <w:rFonts w:ascii="Calibri" w:cs="Calibri" w:eastAsia="Calibri" w:hAnsi="Calibri"/>
          <w:b w:val="false"/>
          <w:bCs w:val="false"/>
          <w:color w:val="333333"/>
          <w:sz w:val="22"/>
          <w:szCs w:val="22"/>
        </w:rPr>
        <w:t xml:space="preserve">The final output combines both tasks into recommended 3-step learning paths scored by a composite metric (PageRank + association confidence + BERT similarity).</w:t>
      </w:r>
    </w:p>
    <w:p>
      <w:pPr>
        <w:pBdr>
          <w:bottom w:val="single" w:color="028090" w:sz="6" w:space="4"/>
        </w:pBdr>
        <w:spacing w:after="180" w:before="180"/>
      </w:pPr>
    </w:p>
    <w:p>
      <w:pPr>
        <w:pStyle w:val="Heading1"/>
        <w:spacing w:after="120" w:before="240"/>
      </w:pPr>
      <w:r>
        <w:rPr>
          <w:b/>
          <w:bCs/>
          <w:color w:val="000000"/>
        </w:rPr>
        <w:t xml:space="preserve">2. Data Collection &amp; Understanding</w:t>
      </w:r>
    </w:p>
    <w:p>
      <w:pPr>
        <w:pStyle w:val="Heading2"/>
        <w:spacing w:after="120" w:before="240"/>
      </w:pPr>
      <w:r>
        <w:rPr>
          <w:b/>
          <w:bCs/>
          <w:color w:val="000000"/>
        </w:rPr>
        <w:t xml:space="preserve">2.1 Datasets</w:t>
      </w:r>
    </w:p>
    <w:p>
      <w:pPr>
        <w:spacing w:after="80" w:before="60"/>
      </w:pPr>
      <w:r>
        <w:rPr>
          <w:rFonts w:ascii="Calibri" w:cs="Calibri" w:eastAsia="Calibri" w:hAnsi="Calibri"/>
          <w:b w:val="false"/>
          <w:bCs w:val="false"/>
          <w:color w:val="333333"/>
          <w:sz w:val="22"/>
          <w:szCs w:val="22"/>
        </w:rPr>
        <w:t xml:space="preserve">Two CSV files were used:</w:t>
      </w:r>
    </w:p>
    <w:p>
      <w:pPr>
        <w:pStyle w:val="ListParagraph"/>
        <w:numPr>
          <w:ilvl w:val="0"/>
          <w:numId w:val="2"/>
        </w:numPr>
        <w:spacing w:after="40" w:before="40"/>
      </w:pPr>
      <w:r>
        <w:rPr>
          <w:rFonts w:ascii="Calibri" w:cs="Calibri" w:eastAsia="Calibri" w:hAnsi="Calibri"/>
          <w:color w:val="333333"/>
          <w:sz w:val="21"/>
          <w:szCs w:val="21"/>
        </w:rPr>
        <w:t xml:space="preserve">Cleaned_Enrollments.csv — the main enrollment file with columns: course_id, userid_DI, course_name, course_description. Contains 641,138 rows representing individual course enrollments across 476,532 unique students.</w:t>
      </w:r>
    </w:p>
    <w:p>
      <w:pPr>
        <w:pStyle w:val="ListParagraph"/>
        <w:numPr>
          <w:ilvl w:val="0"/>
          <w:numId w:val="2"/>
        </w:numPr>
        <w:spacing w:after="40" w:before="40"/>
      </w:pPr>
      <w:r>
        <w:rPr>
          <w:rFonts w:ascii="Calibri" w:cs="Calibri" w:eastAsia="Calibri" w:hAnsi="Calibri"/>
          <w:color w:val="333333"/>
          <w:sz w:val="21"/>
          <w:szCs w:val="21"/>
        </w:rPr>
        <w:t xml:space="preserve">Course_Descriptions.csv — a deduplicated course catalogue with columns: course_id, course_name, course_description. Contains 13 unique courses used by the BERT model.</w:t>
      </w:r>
    </w:p>
    <w:p>
      <w:pPr>
        <w:pStyle w:val="Heading2"/>
        <w:spacing w:after="120" w:before="240"/>
      </w:pPr>
      <w:r>
        <w:rPr>
          <w:b/>
          <w:bCs/>
          <w:color w:val="000000"/>
        </w:rPr>
        <w:t xml:space="preserve">2.2 Data Preprocessing</w:t>
      </w:r>
    </w:p>
    <w:p>
      <w:pPr>
        <w:spacing w:after="80" w:before="60"/>
      </w:pPr>
      <w:r>
        <w:rPr>
          <w:rFonts w:ascii="Calibri" w:cs="Calibri" w:eastAsia="Calibri" w:hAnsi="Calibri"/>
          <w:b w:val="false"/>
          <w:bCs w:val="false"/>
          <w:color w:val="333333"/>
          <w:sz w:val="22"/>
          <w:szCs w:val="22"/>
        </w:rPr>
        <w:t xml:space="preserve">The following preprocessing steps were applied:</w:t>
      </w:r>
    </w:p>
    <w:p>
      <w:pPr>
        <w:pStyle w:val="ListParagraph"/>
        <w:numPr>
          <w:ilvl w:val="0"/>
          <w:numId w:val="2"/>
        </w:numPr>
        <w:spacing w:after="40" w:before="40"/>
      </w:pPr>
      <w:r>
        <w:rPr>
          <w:rFonts w:ascii="Calibri" w:cs="Calibri" w:eastAsia="Calibri" w:hAnsi="Calibri"/>
          <w:color w:val="333333"/>
          <w:sz w:val="21"/>
          <w:szCs w:val="21"/>
        </w:rPr>
        <w:t xml:space="preserve">Enrollment data was grouped by student ID (userid_DI) to form transaction baskets — each transaction is one student's set of enrolled courses.</w:t>
      </w:r>
    </w:p>
    <w:p>
      <w:pPr>
        <w:pStyle w:val="ListParagraph"/>
        <w:numPr>
          <w:ilvl w:val="0"/>
          <w:numId w:val="2"/>
        </w:numPr>
        <w:spacing w:after="40" w:before="40"/>
      </w:pPr>
      <w:r>
        <w:rPr>
          <w:rFonts w:ascii="Calibri" w:cs="Calibri" w:eastAsia="Calibri" w:hAnsi="Calibri"/>
          <w:color w:val="333333"/>
          <w:sz w:val="21"/>
          <w:szCs w:val="21"/>
        </w:rPr>
        <w:t xml:space="preserve">A TransactionEncoder from mlxtend was used to transform the transaction list into a boolean matrix of shape (476,532 × 13).</w:t>
      </w:r>
    </w:p>
    <w:p>
      <w:pPr>
        <w:pStyle w:val="ListParagraph"/>
        <w:numPr>
          <w:ilvl w:val="0"/>
          <w:numId w:val="2"/>
        </w:numPr>
        <w:spacing w:after="40" w:before="40"/>
      </w:pPr>
      <w:r>
        <w:rPr>
          <w:rFonts w:ascii="Calibri" w:cs="Calibri" w:eastAsia="Calibri" w:hAnsi="Calibri"/>
          <w:color w:val="333333"/>
          <w:sz w:val="21"/>
          <w:szCs w:val="21"/>
        </w:rPr>
        <w:t xml:space="preserve">Course descriptions were deduplicated on course_name for BERT input (13 unique courses retained).</w:t>
      </w:r>
    </w:p>
    <w:p>
      <w:pPr>
        <w:pStyle w:val="ListParagraph"/>
        <w:numPr>
          <w:ilvl w:val="0"/>
          <w:numId w:val="2"/>
        </w:numPr>
        <w:spacing w:after="40" w:before="40"/>
      </w:pPr>
      <w:r>
        <w:rPr>
          <w:rFonts w:ascii="Calibri" w:cs="Calibri" w:eastAsia="Calibri" w:hAnsi="Calibri"/>
          <w:color w:val="333333"/>
          <w:sz w:val="21"/>
          <w:szCs w:val="21"/>
        </w:rPr>
        <w:t xml:space="preserve">No missing values were found in either file after deduplication.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Total records</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641,138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All enrollment events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Unique users</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476,532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Distinct student IDs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Unique courses</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After deduplication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Transaction matrix</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476,532 × 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Boolean user-course matrix</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Min support threshold</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0.01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For Apriori &amp; FP-Growth</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Min confidence threshold</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0.05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For rule generation</w:t>
            </w:r>
          </w:p>
        </w:tc>
      </w:tr>
    </w:tbl>
    <w:p>
      <w:pPr>
        <w:pBdr>
          <w:bottom w:val="single" w:color="028090" w:sz="6" w:space="4"/>
        </w:pBdr>
        <w:spacing w:after="180" w:before="180"/>
      </w:pPr>
    </w:p>
    <w:p>
      <w:pPr>
        <w:pStyle w:val="Heading1"/>
        <w:spacing w:after="120" w:before="240"/>
      </w:pPr>
      <w:r>
        <w:rPr>
          <w:b/>
          <w:bCs/>
          <w:color w:val="000000"/>
        </w:rPr>
        <w:t xml:space="preserve">3. Task 1: Pattern &amp; Graph Analysis</w:t>
      </w:r>
    </w:p>
    <w:p>
      <w:pPr>
        <w:pStyle w:val="Heading2"/>
        <w:spacing w:after="120" w:before="240"/>
      </w:pPr>
      <w:r>
        <w:rPr>
          <w:b/>
          <w:bCs/>
          <w:color w:val="000000"/>
        </w:rPr>
        <w:t xml:space="preserve">3.1 Association Rule Mining — Apriori</w:t>
      </w:r>
    </w:p>
    <w:p>
      <w:pPr>
        <w:spacing w:after="80" w:before="60"/>
      </w:pPr>
      <w:r>
        <w:rPr>
          <w:rFonts w:ascii="Calibri" w:cs="Calibri" w:eastAsia="Calibri" w:hAnsi="Calibri"/>
          <w:b w:val="false"/>
          <w:bCs w:val="false"/>
          <w:color w:val="333333"/>
          <w:sz w:val="22"/>
          <w:szCs w:val="22"/>
        </w:rPr>
        <w:t xml:space="preserve">The Apriori algorithm was applied to the transaction matrix with min_support=0.01 and min_confidence=0.05. Apriori works by iteratively generating candidate itemsets of increasing length, pruning those below the support threshold at each level.</w:t>
      </w:r>
    </w:p>
    <w:p>
      <w:pPr>
        <w:spacing w:after="80" w:before="60"/>
      </w:pPr>
      <w:r>
        <w:rPr>
          <w:rFonts w:ascii="Calibri" w:cs="Calibri" w:eastAsia="Calibri" w:hAnsi="Calibri"/>
          <w:b w:val="false"/>
          <w:bCs w:val="false"/>
          <w:color w:val="333333"/>
          <w:sz w:val="22"/>
          <w:szCs w:val="22"/>
        </w:rPr>
        <w:t xml:space="preserve">Results: 27 frequent itemsets were identified, generating 27 association rules. Key metrics computed for each rule:</w:t>
      </w:r>
    </w:p>
    <w:p>
      <w:pPr>
        <w:pStyle w:val="ListParagraph"/>
        <w:numPr>
          <w:ilvl w:val="0"/>
          <w:numId w:val="2"/>
        </w:numPr>
        <w:spacing w:after="40" w:before="40"/>
      </w:pPr>
      <w:r>
        <w:rPr>
          <w:rFonts w:ascii="Calibri" w:cs="Calibri" w:eastAsia="Calibri" w:hAnsi="Calibri"/>
          <w:color w:val="333333"/>
          <w:sz w:val="21"/>
          <w:szCs w:val="21"/>
        </w:rPr>
        <w:t xml:space="preserve">Support — proportion of students enrolled in both courses simultaneously.</w:t>
      </w:r>
    </w:p>
    <w:p>
      <w:pPr>
        <w:pStyle w:val="ListParagraph"/>
        <w:numPr>
          <w:ilvl w:val="0"/>
          <w:numId w:val="2"/>
        </w:numPr>
        <w:spacing w:after="40" w:before="40"/>
      </w:pPr>
      <w:r>
        <w:rPr>
          <w:rFonts w:ascii="Calibri" w:cs="Calibri" w:eastAsia="Calibri" w:hAnsi="Calibri"/>
          <w:color w:val="333333"/>
          <w:sz w:val="21"/>
          <w:szCs w:val="21"/>
        </w:rPr>
        <w:t xml:space="preserve">Confidence — P(Y | X): conditional probability of enrolling in Y given X.</w:t>
      </w:r>
    </w:p>
    <w:p>
      <w:pPr>
        <w:pStyle w:val="ListParagraph"/>
        <w:numPr>
          <w:ilvl w:val="0"/>
          <w:numId w:val="2"/>
        </w:numPr>
        <w:spacing w:after="40" w:before="40"/>
      </w:pPr>
      <w:r>
        <w:rPr>
          <w:rFonts w:ascii="Calibri" w:cs="Calibri" w:eastAsia="Calibri" w:hAnsi="Calibri"/>
          <w:color w:val="333333"/>
          <w:sz w:val="21"/>
          <w:szCs w:val="21"/>
        </w:rPr>
        <w:t xml:space="preserve">Lift — Confidence / Expected(Confidence). Lift &gt; 1 indicates positive association.</w:t>
      </w:r>
    </w:p>
    <w:p>
      <w:pPr>
        <w:pStyle w:val="ListParagraph"/>
        <w:numPr>
          <w:ilvl w:val="0"/>
          <w:numId w:val="2"/>
        </w:numPr>
        <w:spacing w:after="40" w:before="40"/>
      </w:pPr>
      <w:r>
        <w:rPr>
          <w:rFonts w:ascii="Calibri" w:cs="Calibri" w:eastAsia="Calibri" w:hAnsi="Calibri"/>
          <w:color w:val="333333"/>
          <w:sz w:val="21"/>
          <w:szCs w:val="21"/>
        </w:rPr>
        <w:t xml:space="preserve">Leverage — Support(X,Y) − Support(X) × Support(Y). Measures deviation from independence.</w:t>
      </w:r>
    </w:p>
    <w:p>
      <w:pPr>
        <w:pStyle w:val="ListParagraph"/>
        <w:numPr>
          <w:ilvl w:val="0"/>
          <w:numId w:val="2"/>
        </w:numPr>
        <w:spacing w:after="40" w:before="40"/>
      </w:pPr>
      <w:r>
        <w:rPr>
          <w:rFonts w:ascii="Calibri" w:cs="Calibri" w:eastAsia="Calibri" w:hAnsi="Calibri"/>
          <w:color w:val="333333"/>
          <w:sz w:val="21"/>
          <w:szCs w:val="21"/>
        </w:rPr>
        <w:t xml:space="preserve">Conviction — (1 − Support(Y)) / (1 − Confidence). Measures implication strength.</w:t>
      </w:r>
    </w:p>
    <w:p>
      <w:pPr>
        <w:pStyle w:val="ListParagraph"/>
        <w:numPr>
          <w:ilvl w:val="0"/>
          <w:numId w:val="2"/>
        </w:numPr>
        <w:spacing w:after="40" w:before="40"/>
      </w:pPr>
      <w:r>
        <w:rPr>
          <w:rFonts w:ascii="Calibri" w:cs="Calibri" w:eastAsia="Calibri" w:hAnsi="Calibri"/>
          <w:color w:val="333333"/>
          <w:sz w:val="21"/>
          <w:szCs w:val="21"/>
        </w:rPr>
        <w:t xml:space="preserve">Certainty Factor — (Confidence − Support) / (1 − Support). Normalised rule reliability.</w:t>
      </w:r>
    </w:p>
    <w:p>
      <w:pPr>
        <w:pStyle w:val="Heading2"/>
        <w:spacing w:after="120" w:before="240"/>
      </w:pPr>
      <w:r>
        <w:rPr>
          <w:b/>
          <w:bCs/>
          <w:color w:val="000000"/>
        </w:rPr>
        <w:t xml:space="preserve">3.2 FP-Growth</w:t>
      </w:r>
    </w:p>
    <w:p>
      <w:pPr>
        <w:spacing w:after="80" w:before="60"/>
      </w:pPr>
      <w:r>
        <w:rPr>
          <w:rFonts w:ascii="Calibri" w:cs="Calibri" w:eastAsia="Calibri" w:hAnsi="Calibri"/>
          <w:b w:val="false"/>
          <w:bCs w:val="false"/>
          <w:color w:val="333333"/>
          <w:sz w:val="22"/>
          <w:szCs w:val="22"/>
        </w:rPr>
        <w:t xml:space="preserve">FP-Growth was applied with the same thresholds. Unlike Apriori, FP-Growth builds a compact FP-Tree structure requiring only two database scans, making it significantly more memory-efficient. Both algorithms produced identical outputs (27 itemsets, 27 rules), confirming consistency.</w:t>
      </w:r>
    </w:p>
    <w:p>
      <w:pPr>
        <w:pStyle w:val="Heading2"/>
        <w:spacing w:after="120" w:before="240"/>
      </w:pPr>
      <w:r>
        <w:rPr>
          <w:b/>
          <w:bCs/>
          <w:color w:val="000000"/>
        </w:rPr>
        <w:t xml:space="preserve">3.3 Top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900"/>
        <w:gridCol w:w="980"/>
        <w:gridCol w:w="700"/>
        <w:gridCol w:w="800"/>
        <w:gridCol w:w="780"/>
      </w:tblGrid>
      <w:tr>
        <w:trPr>
          <w:tblHeader/>
        </w:trPr>
        <w:tc>
          <w:tcPr>
            <w:tcW w:type="dxa" w:w="1337"/>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Antecedent</w:t>
            </w:r>
          </w:p>
        </w:tc>
        <w:tc>
          <w:tcPr>
            <w:tcW w:type="dxa" w:w="1337"/>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Consequent</w:t>
            </w:r>
          </w:p>
        </w:tc>
        <w:tc>
          <w:tcPr>
            <w:tcW w:type="dxa" w:w="1337"/>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Support</w:t>
            </w:r>
          </w:p>
        </w:tc>
        <w:tc>
          <w:tcPr>
            <w:tcW w:type="dxa" w:w="1337"/>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Confidence</w:t>
            </w:r>
          </w:p>
        </w:tc>
        <w:tc>
          <w:tcPr>
            <w:tcW w:type="dxa" w:w="1337"/>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Lift</w:t>
            </w:r>
          </w:p>
        </w:tc>
        <w:tc>
          <w:tcPr>
            <w:tcW w:type="dxa" w:w="1337"/>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Certainty</w:t>
            </w:r>
          </w:p>
        </w:tc>
        <w:tc>
          <w:tcPr>
            <w:tcW w:type="dxa" w:w="1337"/>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Count</w:t>
            </w:r>
          </w:p>
        </w:tc>
      </w:tr>
      <w:tr>
        <w:trPr>
          <w:tblHeader w:val="false"/>
        </w:trP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Human Health &amp; Global Env. Change</w:t>
            </w:r>
          </w:p>
        </w:tc>
        <w:tc>
          <w:tcPr>
            <w:tcW w:type="dxa" w:w="1337"/>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Challenges of Global Poverty</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0.0112</w:t>
            </w:r>
          </w:p>
        </w:tc>
        <w:tc>
          <w:tcPr>
            <w:tcW w:type="dxa" w:w="1337"/>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0.191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2.30</w:t>
            </w:r>
          </w:p>
        </w:tc>
        <w:tc>
          <w:tcPr>
            <w:tcW w:type="dxa" w:w="1337"/>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0.118</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5,330</w:t>
            </w:r>
          </w:p>
        </w:tc>
      </w:tr>
      <w:tr>
        <w:trPr>
          <w:tblHeader w:val="false"/>
        </w:trP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Electricity and Magnetism</w:t>
            </w:r>
          </w:p>
        </w:tc>
        <w:tc>
          <w:tcPr>
            <w:tcW w:type="dxa" w:w="1337"/>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Circuits and Electronics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0.0190</w:t>
            </w:r>
          </w:p>
        </w:tc>
        <w:tc>
          <w:tcPr>
            <w:tcW w:type="dxa" w:w="1337"/>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0.292</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2.30</w:t>
            </w:r>
          </w:p>
        </w:tc>
        <w:tc>
          <w:tcPr>
            <w:tcW w:type="dxa" w:w="1337"/>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0.189</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9,053</w:t>
            </w:r>
          </w:p>
        </w:tc>
      </w:tr>
      <w:tr>
        <w:trPr>
          <w:tblHeader w:val="false"/>
        </w:trP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CS50 + Circuits &amp; Electronics</w:t>
            </w:r>
          </w:p>
        </w:tc>
        <w:tc>
          <w:tcPr>
            <w:tcW w:type="dxa" w:w="1337"/>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Intro to CS &amp; Programming</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0.0154</w:t>
            </w:r>
          </w:p>
        </w:tc>
        <w:tc>
          <w:tcPr>
            <w:tcW w:type="dxa" w:w="1337"/>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0.585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2.29</w:t>
            </w:r>
          </w:p>
        </w:tc>
        <w:tc>
          <w:tcPr>
            <w:tcW w:type="dxa" w:w="1337"/>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0.443</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7,334</w:t>
            </w:r>
          </w:p>
        </w:tc>
      </w:tr>
      <w:tr>
        <w:trPr>
          <w:tblHeader w:val="false"/>
        </w:trP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Justice</w:t>
            </w:r>
          </w:p>
        </w:tc>
        <w:tc>
          <w:tcPr>
            <w:tcW w:type="dxa" w:w="1337"/>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Health in Numbers: Quant.</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0.0166</w:t>
            </w:r>
          </w:p>
        </w:tc>
        <w:tc>
          <w:tcPr>
            <w:tcW w:type="dxa" w:w="1337"/>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0.263</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2.19</w:t>
            </w:r>
          </w:p>
        </w:tc>
        <w:tc>
          <w:tcPr>
            <w:tcW w:type="dxa" w:w="1337"/>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0.162</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7,898</w:t>
            </w:r>
          </w:p>
        </w:tc>
      </w:tr>
      <w:tr>
        <w:trPr>
          <w:tblHeader w:val="false"/>
        </w:trP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Challenges of Global Poverty</w:t>
            </w:r>
          </w:p>
        </w:tc>
        <w:tc>
          <w:tcPr>
            <w:tcW w:type="dxa" w:w="1337"/>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Health in Numbers: Quant.</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0.0128</w:t>
            </w:r>
          </w:p>
        </w:tc>
        <w:tc>
          <w:tcPr>
            <w:tcW w:type="dxa" w:w="1337"/>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0.219</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1.82</w:t>
            </w:r>
          </w:p>
        </w:tc>
        <w:tc>
          <w:tcPr>
            <w:tcW w:type="dxa" w:w="1337"/>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0.112</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6,101</w:t>
            </w:r>
          </w:p>
        </w:tc>
      </w:tr>
    </w:tbl>
    <w:p>
      <w:pPr>
        <w:pStyle w:val="Heading2"/>
        <w:spacing w:after="120" w:before="240"/>
      </w:pPr>
      <w:r>
        <w:rPr>
          <w:b/>
          <w:bCs/>
          <w:color w:val="000000"/>
        </w:rPr>
        <w:t xml:space="preserve">3.4 PageRank / Link Analysis</w:t>
      </w:r>
    </w:p>
    <w:p>
      <w:pPr>
        <w:spacing w:after="80" w:before="60"/>
      </w:pPr>
      <w:r>
        <w:rPr>
          <w:rFonts w:ascii="Calibri" w:cs="Calibri" w:eastAsia="Calibri" w:hAnsi="Calibri"/>
          <w:b w:val="false"/>
          <w:bCs w:val="false"/>
          <w:color w:val="333333"/>
          <w:sz w:val="22"/>
          <w:szCs w:val="22"/>
        </w:rPr>
        <w:t xml:space="preserve">A co-enrollment graph was constructed where each node is a course and each edge between two courses is weighted by the number of students enrolled in both. NetworkX's PageRank algorithm was then applied to identify the most influential courses in this network.</w:t>
      </w:r>
    </w:p>
    <w:p>
      <w:pPr>
        <w:spacing w:after="80" w:before="60"/>
      </w:pPr>
      <w:r>
        <w:rPr>
          <w:rFonts w:ascii="Calibri" w:cs="Calibri" w:eastAsia="Calibri" w:hAnsi="Calibri"/>
          <w:b w:val="false"/>
          <w:bCs w:val="false"/>
          <w:color w:val="333333"/>
          <w:sz w:val="22"/>
          <w:szCs w:val="22"/>
        </w:rPr>
        <w:t xml:space="preserve">The resulting graph contains 13 nodes and 78 edges (fully connected), reflecting the fact that every pair of courses shares at least some co-enrolled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1800"/>
        <w:gridCol w:w="1800"/>
      </w:tblGrid>
      <w:tr>
        <w:trPr>
          <w:tblHeader/>
        </w:trPr>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Rank</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Course</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PageRank Score</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Interpretation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1</w:t>
            </w:r>
          </w:p>
        </w:tc>
        <w:tc>
          <w:tcPr>
            <w:tcW w:type="dxa" w:w="234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CS50: Introduction to Computer Science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0.1706</w:t>
            </w:r>
          </w:p>
        </w:tc>
        <w:tc>
          <w:tcPr>
            <w:tcW w:type="dxa" w:w="234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Gateway STEM hub</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2</w:t>
            </w:r>
          </w:p>
        </w:tc>
        <w:tc>
          <w:tcPr>
            <w:tcW w:type="dxa" w:w="234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Introduction to Computer Science &amp; Programming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0.1565</w:t>
            </w:r>
          </w:p>
        </w:tc>
        <w:tc>
          <w:tcPr>
            <w:tcW w:type="dxa" w:w="234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Core CS gateway</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3</w:t>
            </w:r>
          </w:p>
        </w:tc>
        <w:tc>
          <w:tcPr>
            <w:tcW w:type="dxa" w:w="234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Circuits and Electronics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0.0988</w:t>
            </w:r>
          </w:p>
        </w:tc>
        <w:tc>
          <w:tcPr>
            <w:tcW w:type="dxa" w:w="234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EE/Hardware hub</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4</w:t>
            </w:r>
          </w:p>
        </w:tc>
        <w:tc>
          <w:tcPr>
            <w:tcW w:type="dxa" w:w="234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Health in Numbers: Quantitative Methods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0.0910</w:t>
            </w:r>
          </w:p>
        </w:tc>
        <w:tc>
          <w:tcPr>
            <w:tcW w:type="dxa" w:w="234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Health/Stats hub</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5</w:t>
            </w:r>
          </w:p>
        </w:tc>
        <w:tc>
          <w:tcPr>
            <w:tcW w:type="dxa" w:w="234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Electricity and Magnetism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0.0807</w:t>
            </w:r>
          </w:p>
        </w:tc>
        <w:tc>
          <w:tcPr>
            <w:tcW w:type="dxa" w:w="234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Physics gateway</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6</w:t>
            </w:r>
          </w:p>
        </w:tc>
        <w:tc>
          <w:tcPr>
            <w:tcW w:type="dxa" w:w="234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Human Health &amp; Global Environmental Change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0.0743</w:t>
            </w:r>
          </w:p>
        </w:tc>
        <w:tc>
          <w:tcPr>
            <w:tcW w:type="dxa" w:w="234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Environmental hub</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7</w:t>
            </w:r>
          </w:p>
        </w:tc>
        <w:tc>
          <w:tcPr>
            <w:tcW w:type="dxa" w:w="234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Justice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0.0629</w:t>
            </w:r>
          </w:p>
        </w:tc>
        <w:tc>
          <w:tcPr>
            <w:tcW w:type="dxa" w:w="234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Social sciences hub</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8</w:t>
            </w:r>
          </w:p>
        </w:tc>
        <w:tc>
          <w:tcPr>
            <w:tcW w:type="dxa" w:w="234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The Challenges of Global Poverty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0.0563</w:t>
            </w:r>
          </w:p>
        </w:tc>
        <w:tc>
          <w:tcPr>
            <w:tcW w:type="dxa" w:w="234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Development economics</w:t>
            </w:r>
          </w:p>
        </w:tc>
      </w:tr>
    </w:tbl>
    <w:p>
      <w:pPr>
        <w:pBdr>
          <w:bottom w:val="single" w:color="028090" w:sz="6" w:space="4"/>
        </w:pBdr>
        <w:spacing w:after="180" w:before="180"/>
      </w:pPr>
    </w:p>
    <w:p>
      <w:pPr>
        <w:pStyle w:val="Heading1"/>
        <w:spacing w:after="120" w:before="240"/>
      </w:pPr>
      <w:r>
        <w:rPr>
          <w:b/>
          <w:bCs/>
          <w:color w:val="000000"/>
        </w:rPr>
        <w:t xml:space="preserve">4. Task 2: BERT-Based Semantic Analysis</w:t>
      </w:r>
    </w:p>
    <w:p>
      <w:pPr>
        <w:pStyle w:val="Heading2"/>
        <w:spacing w:after="120" w:before="240"/>
      </w:pPr>
      <w:r>
        <w:rPr>
          <w:b/>
          <w:bCs/>
          <w:color w:val="000000"/>
        </w:rPr>
        <w:t xml:space="preserve">4.1 What is BERT?</w:t>
      </w:r>
    </w:p>
    <w:p>
      <w:pPr>
        <w:spacing w:after="80" w:before="60"/>
      </w:pPr>
      <w:r>
        <w:rPr>
          <w:rFonts w:ascii="Calibri" w:cs="Calibri" w:eastAsia="Calibri" w:hAnsi="Calibri"/>
          <w:b w:val="false"/>
          <w:bCs w:val="false"/>
          <w:color w:val="333333"/>
          <w:sz w:val="22"/>
          <w:szCs w:val="22"/>
        </w:rPr>
        <w:t xml:space="preserve">BERT (Bidirectional Encoder Representations from Transformers) is a pre-trained transformer-based language model developed by Google (Devlin et al., 2018). It encodes text as contextual 768-dimensional vectors by processing tokens bidirectionally, capturing rich semantic meaning beyond surface-level keyword matching.</w:t>
      </w:r>
    </w:p>
    <w:p>
      <w:pPr>
        <w:spacing w:after="80" w:before="60"/>
      </w:pPr>
      <w:r>
        <w:rPr>
          <w:rFonts w:ascii="Calibri" w:cs="Calibri" w:eastAsia="Calibri" w:hAnsi="Calibri"/>
          <w:b w:val="false"/>
          <w:bCs w:val="false"/>
          <w:color w:val="333333"/>
          <w:sz w:val="22"/>
          <w:szCs w:val="22"/>
        </w:rPr>
        <w:t xml:space="preserve">In this project, BERT is applied to the 13 unique course descriptions from Course_Descriptions.csv. Each description is tokenised (max 512 tokens) and passed through BERT's encoder. The resulting embeddings are compared using cosine similarity to quantify how semantically related two courses are.</w:t>
      </w:r>
    </w:p>
    <w:p>
      <w:pPr>
        <w:pStyle w:val="Heading2"/>
        <w:spacing w:after="120" w:before="240"/>
      </w:pPr>
      <w:r>
        <w:rPr>
          <w:b/>
          <w:bCs/>
          <w:color w:val="000000"/>
        </w:rPr>
        <w:t xml:space="preserve">4.2 Pipeline</w:t>
      </w:r>
    </w:p>
    <w:p>
      <w:pPr>
        <w:pStyle w:val="ListParagraph"/>
        <w:numPr>
          <w:ilvl w:val="0"/>
          <w:numId w:val="2"/>
        </w:numPr>
        <w:spacing w:after="40" w:before="40"/>
      </w:pPr>
      <w:r>
        <w:rPr>
          <w:rFonts w:ascii="Calibri" w:cs="Calibri" w:eastAsia="Calibri" w:hAnsi="Calibri"/>
          <w:color w:val="333333"/>
          <w:sz w:val="21"/>
          <w:szCs w:val="21"/>
        </w:rPr>
        <w:t xml:space="preserve">Step 1 — Input: 13 course descriptions loaded from Course_Descriptions.csv.</w:t>
      </w:r>
    </w:p>
    <w:p>
      <w:pPr>
        <w:pStyle w:val="ListParagraph"/>
        <w:numPr>
          <w:ilvl w:val="0"/>
          <w:numId w:val="2"/>
        </w:numPr>
        <w:spacing w:after="40" w:before="40"/>
      </w:pPr>
      <w:r>
        <w:rPr>
          <w:rFonts w:ascii="Calibri" w:cs="Calibri" w:eastAsia="Calibri" w:hAnsi="Calibri"/>
          <w:color w:val="333333"/>
          <w:sz w:val="21"/>
          <w:szCs w:val="21"/>
        </w:rPr>
        <w:t xml:space="preserve">Step 2 — Tokenisation: BERT tokenizer splits descriptions into sub-word tokens (max_length=512).</w:t>
      </w:r>
    </w:p>
    <w:p>
      <w:pPr>
        <w:pStyle w:val="ListParagraph"/>
        <w:numPr>
          <w:ilvl w:val="0"/>
          <w:numId w:val="2"/>
        </w:numPr>
        <w:spacing w:after="40" w:before="40"/>
      </w:pPr>
      <w:r>
        <w:rPr>
          <w:rFonts w:ascii="Calibri" w:cs="Calibri" w:eastAsia="Calibri" w:hAnsi="Calibri"/>
          <w:color w:val="333333"/>
          <w:sz w:val="21"/>
          <w:szCs w:val="21"/>
        </w:rPr>
        <w:t xml:space="preserve">Step 3 — Encoding: BERT encoder produces contextual embeddings (768-dim per token).</w:t>
      </w:r>
    </w:p>
    <w:p>
      <w:pPr>
        <w:pStyle w:val="ListParagraph"/>
        <w:numPr>
          <w:ilvl w:val="0"/>
          <w:numId w:val="2"/>
        </w:numPr>
        <w:spacing w:after="40" w:before="40"/>
      </w:pPr>
      <w:r>
        <w:rPr>
          <w:rFonts w:ascii="Calibri" w:cs="Calibri" w:eastAsia="Calibri" w:hAnsi="Calibri"/>
          <w:color w:val="333333"/>
          <w:sz w:val="21"/>
          <w:szCs w:val="21"/>
        </w:rPr>
        <w:t xml:space="preserve">Step 4 — Pooling: mean-pooling across token embeddings yields one vector per course.</w:t>
      </w:r>
    </w:p>
    <w:p>
      <w:pPr>
        <w:pStyle w:val="ListParagraph"/>
        <w:numPr>
          <w:ilvl w:val="0"/>
          <w:numId w:val="2"/>
        </w:numPr>
        <w:spacing w:after="40" w:before="40"/>
      </w:pPr>
      <w:r>
        <w:rPr>
          <w:rFonts w:ascii="Calibri" w:cs="Calibri" w:eastAsia="Calibri" w:hAnsi="Calibri"/>
          <w:color w:val="333333"/>
          <w:sz w:val="21"/>
          <w:szCs w:val="21"/>
        </w:rPr>
        <w:t xml:space="preserve">Step 5 — Cosine Similarity: all pairwise cosine similarities computed → 13×13 matrix.</w:t>
      </w:r>
    </w:p>
    <w:p>
      <w:pPr>
        <w:pStyle w:val="ListParagraph"/>
        <w:numPr>
          <w:ilvl w:val="0"/>
          <w:numId w:val="2"/>
        </w:numPr>
        <w:spacing w:after="40" w:before="40"/>
      </w:pPr>
      <w:r>
        <w:rPr>
          <w:rFonts w:ascii="Calibri" w:cs="Calibri" w:eastAsia="Calibri" w:hAnsi="Calibri"/>
          <w:color w:val="333333"/>
          <w:sz w:val="21"/>
          <w:szCs w:val="21"/>
        </w:rPr>
        <w:t xml:space="preserve">Step 6 — Top-K: for each course, the 3 most semantically similar courses are identified.</w:t>
      </w:r>
    </w:p>
    <w:p>
      <w:pPr>
        <w:pStyle w:val="Heading2"/>
        <w:spacing w:after="120" w:before="240"/>
      </w:pPr>
      <w:r>
        <w:rPr>
          <w:b/>
          <w:bCs/>
          <w:color w:val="000000"/>
        </w:rPr>
        <w:t xml:space="preserve">4.3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Course</w:t>
            </w:r>
          </w:p>
        </w:tc>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Most Similar Course</w:t>
            </w:r>
          </w:p>
        </w:tc>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Similarity Score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CS50: Intro to Computer Science</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Intro to CS &amp; Programming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0.255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Intro to CS &amp; Programming</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CS50: Intro to Computer Science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0.255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Health in Numbers: Quant. Methods</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Health in Numbers: Epidemiology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0.178</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Health in Numbers: Epidemiology</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Health in Numbers: Quant. Methods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0.178</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Justice</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Challenges of Global Poverty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0.072</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Circuits &amp; Electronics</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Electricity and Magnetism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0.048</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Elements of Structures</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Circuits &amp; Electronics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0.048</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Mechanics ReView</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Electricity and Magnetism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0.038</w:t>
            </w:r>
          </w:p>
        </w:tc>
      </w:tr>
    </w:tbl>
    <w:p>
      <w:pPr>
        <w:spacing w:after="80" w:before="60"/>
      </w:pPr>
      <w:r>
        <w:rPr>
          <w:rFonts w:ascii="Calibri" w:cs="Calibri" w:eastAsia="Calibri" w:hAnsi="Calibri"/>
          <w:b w:val="false"/>
          <w:bCs w:val="false"/>
          <w:color w:val="333333"/>
          <w:sz w:val="22"/>
          <w:szCs w:val="22"/>
        </w:rPr>
        <w:t xml:space="preserve">BERT's similarity scores confirm the two domain clusters identified by association rules: a STEM/CS cluster and a Health/Social Sciences cluster. This independent convergence strengthens the validity of both analyses.</w:t>
      </w:r>
    </w:p>
    <w:p>
      <w:pPr>
        <w:pBdr>
          <w:bottom w:val="single" w:color="028090" w:sz="6" w:space="4"/>
        </w:pBdr>
        <w:spacing w:after="180" w:before="180"/>
      </w:pPr>
    </w:p>
    <w:p>
      <w:pPr>
        <w:pStyle w:val="Heading1"/>
        <w:spacing w:after="120" w:before="240"/>
      </w:pPr>
      <w:r>
        <w:rPr>
          <w:b/>
          <w:bCs/>
          <w:color w:val="000000"/>
        </w:rPr>
        <w:t xml:space="preserve">5. Recommended Learning Paths</w:t>
      </w:r>
    </w:p>
    <w:p>
      <w:pPr>
        <w:spacing w:after="80" w:before="60"/>
      </w:pPr>
      <w:r>
        <w:rPr>
          <w:rFonts w:ascii="Calibri" w:cs="Calibri" w:eastAsia="Calibri" w:hAnsi="Calibri"/>
          <w:b w:val="false"/>
          <w:bCs w:val="false"/>
          <w:color w:val="333333"/>
          <w:sz w:val="22"/>
          <w:szCs w:val="22"/>
        </w:rPr>
        <w:t xml:space="preserve">Learning paths are generated by combining all three signals:</w:t>
      </w:r>
    </w:p>
    <w:p>
      <w:pPr>
        <w:pStyle w:val="ListParagraph"/>
        <w:numPr>
          <w:ilvl w:val="0"/>
          <w:numId w:val="2"/>
        </w:numPr>
        <w:spacing w:after="40" w:before="40"/>
      </w:pPr>
      <w:r>
        <w:rPr>
          <w:rFonts w:ascii="Calibri" w:cs="Calibri" w:eastAsia="Calibri" w:hAnsi="Calibri"/>
          <w:color w:val="333333"/>
          <w:sz w:val="21"/>
          <w:szCs w:val="21"/>
        </w:rPr>
        <w:t xml:space="preserve">Step 1 (start): selected by PageRank — most influential courses become entry points.</w:t>
      </w:r>
    </w:p>
    <w:p>
      <w:pPr>
        <w:pStyle w:val="ListParagraph"/>
        <w:numPr>
          <w:ilvl w:val="0"/>
          <w:numId w:val="2"/>
        </w:numPr>
        <w:spacing w:after="40" w:before="40"/>
      </w:pPr>
      <w:r>
        <w:rPr>
          <w:rFonts w:ascii="Calibri" w:cs="Calibri" w:eastAsia="Calibri" w:hAnsi="Calibri"/>
          <w:color w:val="333333"/>
          <w:sz w:val="21"/>
          <w:szCs w:val="21"/>
        </w:rPr>
        <w:t xml:space="preserve">Step 2 (next): selected by highest-confidence association rule from Step 1 — what students most commonly take next.</w:t>
      </w:r>
    </w:p>
    <w:p>
      <w:pPr>
        <w:pStyle w:val="ListParagraph"/>
        <w:numPr>
          <w:ilvl w:val="0"/>
          <w:numId w:val="2"/>
        </w:numPr>
        <w:spacing w:after="40" w:before="40"/>
      </w:pPr>
      <w:r>
        <w:rPr>
          <w:rFonts w:ascii="Calibri" w:cs="Calibri" w:eastAsia="Calibri" w:hAnsi="Calibri"/>
          <w:color w:val="333333"/>
          <w:sz w:val="21"/>
          <w:szCs w:val="21"/>
        </w:rPr>
        <w:t xml:space="preserve">Step 3 (advanced): selected by BERT similarity to Step 2 — semantically aligned deeper course.</w:t>
      </w:r>
    </w:p>
    <w:p>
      <w:pPr>
        <w:spacing w:after="80" w:before="60"/>
      </w:pPr>
      <w:r>
        <w:rPr>
          <w:rFonts w:ascii="Calibri" w:cs="Calibri" w:eastAsia="Calibri" w:hAnsi="Calibri"/>
          <w:b w:val="false"/>
          <w:bCs w:val="false"/>
          <w:color w:val="333333"/>
          <w:sz w:val="22"/>
          <w:szCs w:val="22"/>
        </w:rPr>
        <w:t xml:space="preserve">The composite score is: Score = 0.5 × PageRank_norm + 0.3 × Confidence + 0.2 × BERT_similarity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2200"/>
        <w:gridCol w:w="2200"/>
        <w:gridCol w:w="2200"/>
        <w:gridCol w:w="1260"/>
      </w:tblGrid>
      <w:tr>
        <w:trPr>
          <w:tblHeader/>
        </w:trPr>
        <w:tc>
          <w:tcPr>
            <w:tcW w:type="dxa" w:w="15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ID</w:t>
            </w:r>
          </w:p>
        </w:tc>
        <w:tc>
          <w:tcPr>
            <w:tcW w:type="dxa" w:w="15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Domain</w:t>
            </w:r>
          </w:p>
        </w:tc>
        <w:tc>
          <w:tcPr>
            <w:tcW w:type="dxa" w:w="15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Step 1 — Start</w:t>
            </w:r>
          </w:p>
        </w:tc>
        <w:tc>
          <w:tcPr>
            <w:tcW w:type="dxa" w:w="15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Step 2 — Next</w:t>
            </w:r>
          </w:p>
        </w:tc>
        <w:tc>
          <w:tcPr>
            <w:tcW w:type="dxa" w:w="15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Step 3 — Advanced</w:t>
            </w:r>
          </w:p>
        </w:tc>
        <w:tc>
          <w:tcPr>
            <w:tcW w:type="dxa" w:w="15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Score</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1</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STEM/CS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CS50: Intro to CS</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Intro CS &amp; Programming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Intro Solid State Chemistry</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0.687</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2</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STEM/CS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Intro CS &amp; Programming</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CS50: Intro to CS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Intro Solid State Chemistry</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0.618</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3</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STEM/CS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Circuits &amp; Electronics</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Intro CS &amp; Programming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CS50: Intro to CS</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0.484</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4</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Health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Health in Numbers: Quant.</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Justice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Challenges of Global Poverty</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0.287</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5</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STEM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Electricity &amp; Magnetism</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Circuits &amp; Electronics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Elements of Structures</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0.293</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6</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Health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Human Health &amp; Global Env.</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Health in Numbers: Quant.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Health: Epidemiology</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0.266</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7</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Health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Justice</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Health in Numbers: Quant.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Health: Epidemiology</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0.251</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8</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Health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Challenges of Global Poverty</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Health in Numbers: Quant.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Health: Epidemiology</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0.215</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9</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STEM/CS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Intro to Biology</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CS50: Intro to CS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Intro CS &amp; Programming</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0.161</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10</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STEM/CS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Intro to Solid State Chemistry</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CS50: Intro to CS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Intro CS &amp; Programming</w:t>
            </w:r>
          </w:p>
        </w:tc>
        <w:tc>
          <w:tcPr>
            <w:tcW w:type="dxa" w:w="156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0.227</w:t>
            </w:r>
          </w:p>
        </w:tc>
      </w:tr>
    </w:tbl>
    <w:p>
      <w:pPr>
        <w:pBdr>
          <w:bottom w:val="single" w:color="028090" w:sz="6" w:space="4"/>
        </w:pBdr>
        <w:spacing w:after="180" w:before="180"/>
      </w:pPr>
    </w:p>
    <w:p>
      <w:pPr>
        <w:pStyle w:val="Heading1"/>
        <w:spacing w:after="120" w:before="240"/>
      </w:pPr>
      <w:r>
        <w:rPr>
          <w:b/>
          <w:bCs/>
          <w:color w:val="000000"/>
        </w:rPr>
        <w:t xml:space="preserve">6. High-Demand Skills Analysis</w:t>
      </w:r>
    </w:p>
    <w:p>
      <w:pPr>
        <w:spacing w:after="80" w:before="60"/>
      </w:pPr>
      <w:r>
        <w:rPr>
          <w:rFonts w:ascii="Calibri" w:cs="Calibri" w:eastAsia="Calibri" w:hAnsi="Calibri"/>
          <w:b w:val="false"/>
          <w:bCs w:val="false"/>
          <w:color w:val="333333"/>
          <w:sz w:val="22"/>
          <w:szCs w:val="22"/>
        </w:rPr>
        <w:t xml:space="preserve">Beyond identifying influential courses and learning paths, the analysis extracts the specific skills taught across the MOOC catalogue and ranks them by student demand. This provides actionable insight into which subject areas learners are most actively seeking, supporting both course recommendation and curriculum design decisions.</w:t>
      </w:r>
    </w:p>
    <w:p>
      <w:pPr>
        <w:pStyle w:val="Heading2"/>
        <w:spacing w:after="120" w:before="240"/>
      </w:pPr>
      <w:r>
        <w:rPr>
          <w:b/>
          <w:bCs/>
          <w:color w:val="000000"/>
        </w:rPr>
        <w:t xml:space="preserve">6.1 Methodology</w:t>
      </w:r>
    </w:p>
    <w:p>
      <w:pPr>
        <w:spacing w:after="80" w:before="60"/>
      </w:pPr>
      <w:r>
        <w:rPr>
          <w:rFonts w:ascii="Calibri" w:cs="Calibri" w:eastAsia="Calibri" w:hAnsi="Calibri"/>
          <w:b w:val="false"/>
          <w:bCs w:val="false"/>
          <w:color w:val="333333"/>
          <w:sz w:val="22"/>
          <w:szCs w:val="22"/>
        </w:rPr>
        <w:t xml:space="preserve">Skills are extracted from course descriptions using a curated NLP keyword taxonomy of 35 subject categories (e.g., Algorithms, Data Structures, Public Health, Epidemiology). Each skill is scored using a composite demand metric:</w:t>
      </w:r>
    </w:p>
    <w:p>
      <w:pPr>
        <w:spacing w:after="80" w:before="60"/>
      </w:pPr>
      <w:r>
        <w:rPr>
          <w:rFonts w:ascii="Calibri" w:cs="Calibri" w:eastAsia="Calibri" w:hAnsi="Calibri"/>
          <w:b/>
          <w:bCs/>
          <w:color w:val="333333"/>
          <w:sz w:val="22"/>
          <w:szCs w:val="22"/>
        </w:rPr>
        <w:t xml:space="preserve">Demand Score = 0.6 × Enrollment_norm + 0.4 × PageRank_norm</w:t>
      </w:r>
    </w:p>
    <w:p>
      <w:pPr>
        <w:spacing w:after="80" w:before="60"/>
      </w:pPr>
      <w:r>
        <w:rPr>
          <w:rFonts w:ascii="Calibri" w:cs="Calibri" w:eastAsia="Calibri" w:hAnsi="Calibri"/>
          <w:b w:val="false"/>
          <w:bCs w:val="false"/>
          <w:color w:val="333333"/>
          <w:sz w:val="22"/>
          <w:szCs w:val="22"/>
        </w:rPr>
        <w:t xml:space="preserve">This formula weights raw enrolment volume (60%) against the PageRank influence of the courses that teach a skill (40%), ensuring that skills taught in highly central courses are rewarded even when raw enrolment counts are lower. Scores are min-max normalised to the range [0, 1].</w:t>
      </w:r>
    </w:p>
    <w:p>
      <w:pPr>
        <w:pStyle w:val="Heading2"/>
        <w:spacing w:after="120" w:before="240"/>
      </w:pPr>
      <w:r>
        <w:rPr>
          <w:b/>
          <w:bCs/>
          <w:color w:val="000000"/>
        </w:rPr>
        <w:t xml:space="preserve">6.2 Top 10 High-Demand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700"/>
        <w:gridCol w:w="2060"/>
        <w:gridCol w:w="2200"/>
      </w:tblGrid>
      <w:tr>
        <w:trPr>
          <w:tblHeader/>
        </w:trPr>
        <w:tc>
          <w:tcPr>
            <w:tcW w:type="dxa" w:w="6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Rank</w:t>
            </w:r>
          </w:p>
        </w:tc>
        <w:tc>
          <w:tcPr>
            <w:tcW w:type="dxa" w:w="28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Skill</w:t>
            </w:r>
          </w:p>
        </w:tc>
        <w:tc>
          <w:tcPr>
            <w:tcW w:type="dxa" w:w="17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Demand Score</w:t>
            </w:r>
          </w:p>
        </w:tc>
        <w:tc>
          <w:tcPr>
            <w:tcW w:type="dxa" w:w="20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Total Enrolments</w:t>
            </w:r>
          </w:p>
        </w:tc>
        <w:tc>
          <w:tcPr>
            <w:tcW w:type="dxa" w:w="2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Courses</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1</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Algorithms</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1.000</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291,654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Data Structures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1.000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291,654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2</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3</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Software Engineering</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1.000</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291,654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Python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1.000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291,654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2</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5</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C Programming</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1.000</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169,621</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Databases &amp; SQL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1.000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169,621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1</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7</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Web Development</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1.000</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169,621</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Computational Thinking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0.788</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122,033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1</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9</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Public Health</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0.374</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98,998</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Calibri" w:cs="Calibri" w:eastAsia="Calibri" w:hAnsi="Calibri"/>
                <w:color w:val="333333"/>
                <w:sz w:val="19"/>
                <w:szCs w:val="19"/>
              </w:rPr>
              <w:t xml:space="preserve">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Epidemiology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0.374</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98,998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color w:val="333333"/>
                <w:sz w:val="19"/>
                <w:szCs w:val="19"/>
              </w:rPr>
              <w:t xml:space="preserve">2</w:t>
            </w:r>
          </w:p>
        </w:tc>
      </w:tr>
    </w:tbl>
    <w:p>
      <w:pPr>
        <w:pStyle w:val="Heading2"/>
        <w:spacing w:after="120" w:before="240"/>
      </w:pPr>
      <w:r>
        <w:rPr>
          <w:b/>
          <w:bCs/>
          <w:color w:val="000000"/>
        </w:rPr>
        <w:t xml:space="preserve">6.3 Key Findings — High-Demand Skills</w:t>
      </w:r>
    </w:p>
    <w:p>
      <w:pPr>
        <w:pStyle w:val="ListParagraph"/>
        <w:numPr>
          <w:ilvl w:val="0"/>
          <w:numId w:val="2"/>
        </w:numPr>
        <w:spacing w:after="40" w:before="40"/>
      </w:pPr>
      <w:r>
        <w:rPr>
          <w:rFonts w:ascii="Calibri" w:cs="Calibri" w:eastAsia="Calibri" w:hAnsi="Calibri"/>
          <w:color w:val="333333"/>
          <w:sz w:val="21"/>
          <w:szCs w:val="21"/>
        </w:rPr>
        <w:t xml:space="preserve">Computer Science dominates demand: Algorithms, Data Structures, Software Engineering, and Python all achieve the maximum demand score (1.000), driven by CS50’s 291,654 enrolments combined with its high PageRank centrality.</w:t>
      </w:r>
    </w:p>
    <w:p>
      <w:pPr>
        <w:pStyle w:val="ListParagraph"/>
        <w:numPr>
          <w:ilvl w:val="0"/>
          <w:numId w:val="2"/>
        </w:numPr>
        <w:spacing w:after="40" w:before="40"/>
      </w:pPr>
      <w:r>
        <w:rPr>
          <w:rFonts w:ascii="Calibri" w:cs="Calibri" w:eastAsia="Calibri" w:hAnsi="Calibri"/>
          <w:color w:val="333333"/>
          <w:sz w:val="21"/>
          <w:szCs w:val="21"/>
        </w:rPr>
        <w:t xml:space="preserve">Health sciences form a strong secondary cluster: Public Health, Epidemiology, Study Design, and Statistics score 0.374 each, reflecting consistent demand across the two Health in Numbers courses (98,998 enrolments).</w:t>
      </w:r>
    </w:p>
    <w:p>
      <w:pPr>
        <w:pStyle w:val="ListParagraph"/>
        <w:numPr>
          <w:ilvl w:val="0"/>
          <w:numId w:val="2"/>
        </w:numPr>
        <w:spacing w:after="40" w:before="40"/>
      </w:pPr>
      <w:r>
        <w:rPr>
          <w:rFonts w:ascii="Calibri" w:cs="Calibri" w:eastAsia="Calibri" w:hAnsi="Calibri"/>
          <w:color w:val="333333"/>
          <w:sz w:val="21"/>
          <w:szCs w:val="21"/>
        </w:rPr>
        <w:t xml:space="preserve">The skill demand ranking aligns with and reinforces the two domain clusters identified by association rule mining and BERT similarity: STEM/CS learners seek programming and algorithmic skills, while health learners pursue quantitative and epidemiological competencies.</w:t>
      </w:r>
    </w:p>
    <w:p>
      <w:pPr>
        <w:pStyle w:val="ListParagraph"/>
        <w:numPr>
          <w:ilvl w:val="0"/>
          <w:numId w:val="2"/>
        </w:numPr>
        <w:spacing w:after="40" w:before="40"/>
      </w:pPr>
      <w:r>
        <w:rPr>
          <w:rFonts w:ascii="Calibri" w:cs="Calibri" w:eastAsia="Calibri" w:hAnsi="Calibri"/>
          <w:color w:val="333333"/>
          <w:sz w:val="21"/>
          <w:szCs w:val="21"/>
        </w:rPr>
        <w:t xml:space="preserve">The full high-demand skills list (34 skills) is saved to high_demand_skills.csv and visualised in both notebooks as a horizontal bar chart, providing an at-a-glance view of the learner demand landscape across the entire course catalogue.</w:t>
      </w:r>
    </w:p>
    <w:p>
      <w:pPr>
        <w:pBdr>
          <w:bottom w:val="single" w:color="028090" w:sz="6" w:space="4"/>
        </w:pBdr>
        <w:spacing w:after="180" w:before="180"/>
      </w:pPr>
    </w:p>
    <w:p>
      <w:pPr>
        <w:pStyle w:val="Heading1"/>
        <w:spacing w:after="120" w:before="240"/>
      </w:pPr>
      <w:r>
        <w:rPr>
          <w:b/>
          <w:bCs/>
          <w:color w:val="000000"/>
        </w:rPr>
        <w:t xml:space="preserve">7. Key Insights &amp; Findings</w:t>
      </w:r>
    </w:p>
    <w:p>
      <w:pPr>
        <w:pStyle w:val="ListParagraph"/>
        <w:numPr>
          <w:ilvl w:val="0"/>
          <w:numId w:val="2"/>
        </w:numPr>
        <w:spacing w:after="40" w:before="40"/>
      </w:pPr>
      <w:r>
        <w:rPr>
          <w:rFonts w:ascii="Calibri" w:cs="Calibri" w:eastAsia="Calibri" w:hAnsi="Calibri"/>
          <w:color w:val="333333"/>
          <w:sz w:val="21"/>
          <w:szCs w:val="21"/>
        </w:rPr>
        <w:t xml:space="preserve">CS50: Introduction to Computer Science is the most influential course (PageRank 0.171), functioning as the primary gateway into multi-course STEM learning journeys.</w:t>
      </w:r>
    </w:p>
    <w:p>
      <w:pPr>
        <w:pStyle w:val="ListParagraph"/>
        <w:numPr>
          <w:ilvl w:val="0"/>
          <w:numId w:val="2"/>
        </w:numPr>
        <w:spacing w:after="40" w:before="40"/>
      </w:pPr>
      <w:r>
        <w:rPr>
          <w:rFonts w:ascii="Calibri" w:cs="Calibri" w:eastAsia="Calibri" w:hAnsi="Calibri"/>
          <w:color w:val="333333"/>
          <w:sz w:val="21"/>
          <w:szCs w:val="21"/>
        </w:rPr>
        <w:t xml:space="preserve">The Electricity &amp; Magnetism ↔ Circuits &amp; Electronics pair has the highest Lift (2.30), indicating the strongest co-enrollment tendency in the entire dataset.</w:t>
      </w:r>
    </w:p>
    <w:p>
      <w:pPr>
        <w:pStyle w:val="ListParagraph"/>
        <w:numPr>
          <w:ilvl w:val="0"/>
          <w:numId w:val="2"/>
        </w:numPr>
        <w:spacing w:after="40" w:before="40"/>
      </w:pPr>
      <w:r>
        <w:rPr>
          <w:rFonts w:ascii="Calibri" w:cs="Calibri" w:eastAsia="Calibri" w:hAnsi="Calibri"/>
          <w:color w:val="333333"/>
          <w:sz w:val="21"/>
          <w:szCs w:val="21"/>
        </w:rPr>
        <w:t xml:space="preserve">All 27 association rules have Lift &gt; 1, confirming that no co-enrollment pattern observed is attributable to chance. Students make deliberate sequential decisions.</w:t>
      </w:r>
    </w:p>
    <w:p>
      <w:pPr>
        <w:pStyle w:val="ListParagraph"/>
        <w:numPr>
          <w:ilvl w:val="0"/>
          <w:numId w:val="2"/>
        </w:numPr>
        <w:spacing w:after="40" w:before="40"/>
      </w:pPr>
      <w:r>
        <w:rPr>
          <w:rFonts w:ascii="Calibri" w:cs="Calibri" w:eastAsia="Calibri" w:hAnsi="Calibri"/>
          <w:color w:val="333333"/>
          <w:sz w:val="21"/>
          <w:szCs w:val="21"/>
        </w:rPr>
        <w:t xml:space="preserve">BERT independently identifies the same two domain clusters (STEM/CS and Health/Social Sciences) that emerge from association rule mining, providing cross-methodological validation.</w:t>
      </w:r>
    </w:p>
    <w:p>
      <w:pPr>
        <w:pStyle w:val="ListParagraph"/>
        <w:numPr>
          <w:ilvl w:val="0"/>
          <w:numId w:val="2"/>
        </w:numPr>
        <w:spacing w:after="40" w:before="40"/>
      </w:pPr>
      <w:r>
        <w:rPr>
          <w:rFonts w:ascii="Calibri" w:cs="Calibri" w:eastAsia="Calibri" w:hAnsi="Calibri"/>
          <w:color w:val="333333"/>
          <w:sz w:val="21"/>
          <w:szCs w:val="21"/>
        </w:rPr>
        <w:t xml:space="preserve">Health in Numbers: Quantitative Methods serves as a within-domain hub for the health cluster, connecting Justice, Global Poverty, and Environmental Change courses through shared statistical content.</w:t>
      </w:r>
    </w:p>
    <w:p>
      <w:pPr>
        <w:pStyle w:val="ListParagraph"/>
        <w:numPr>
          <w:ilvl w:val="0"/>
          <w:numId w:val="2"/>
        </w:numPr>
        <w:spacing w:after="40" w:before="40"/>
      </w:pPr>
      <w:r>
        <w:rPr>
          <w:rFonts w:ascii="Calibri" w:cs="Calibri" w:eastAsia="Calibri" w:hAnsi="Calibri"/>
          <w:color w:val="333333"/>
          <w:sz w:val="21"/>
          <w:szCs w:val="21"/>
        </w:rPr>
        <w:t xml:space="preserve">Learning Path #1 (CS50 → Intro CS &amp; Programming → Solid State Chemistry) achieves the highest composite score (0.687), representing the most evidence-backed learning sequence in the dataset.</w:t>
      </w:r>
    </w:p>
    <w:p>
      <w:pPr>
        <w:pBdr>
          <w:bottom w:val="single" w:color="028090" w:sz="6" w:space="4"/>
        </w:pBdr>
        <w:spacing w:after="180" w:before="180"/>
      </w:pPr>
    </w:p>
    <w:p>
      <w:pPr>
        <w:pStyle w:val="Heading1"/>
        <w:spacing w:after="120" w:before="240"/>
      </w:pPr>
      <w:r>
        <w:rPr>
          <w:b/>
          <w:bCs/>
          <w:color w:val="000000"/>
        </w:rPr>
        <w:t xml:space="preserve">8. Conclusion</w:t>
      </w:r>
    </w:p>
    <w:p>
      <w:pPr>
        <w:spacing w:after="80" w:before="60"/>
      </w:pPr>
      <w:r>
        <w:rPr>
          <w:rFonts w:ascii="Calibri" w:cs="Calibri" w:eastAsia="Calibri" w:hAnsi="Calibri"/>
          <w:b w:val="false"/>
          <w:bCs w:val="false"/>
          <w:color w:val="333333"/>
          <w:sz w:val="22"/>
          <w:szCs w:val="22"/>
        </w:rPr>
        <w:t xml:space="preserve">This project demonstrates that student learning behaviour on MOOCs follows clear, discoverable patterns that can be extracted through a combination of frequent pattern mining, graph-based link analysis, and NLP-based semantic similarity.</w:t>
      </w:r>
    </w:p>
    <w:p>
      <w:pPr>
        <w:spacing w:after="80" w:before="60"/>
      </w:pPr>
      <w:r>
        <w:rPr>
          <w:rFonts w:ascii="Calibri" w:cs="Calibri" w:eastAsia="Calibri" w:hAnsi="Calibri"/>
          <w:b w:val="false"/>
          <w:bCs w:val="false"/>
          <w:color w:val="333333"/>
          <w:sz w:val="22"/>
          <w:szCs w:val="22"/>
        </w:rPr>
        <w:t xml:space="preserve">The convergence of association rule mining (Task 1) and BERT analysis (Task 2) on the same course clusters provides strong evidence for the existence of two primary learning communities within this dataset: STEM/Computer Science learners and Health/Social Sciences learners.</w:t>
      </w:r>
    </w:p>
    <w:p>
      <w:pPr>
        <w:spacing w:after="80" w:before="60"/>
      </w:pPr>
      <w:r>
        <w:rPr>
          <w:rFonts w:ascii="Calibri" w:cs="Calibri" w:eastAsia="Calibri" w:hAnsi="Calibri"/>
          <w:b w:val="false"/>
          <w:bCs w:val="false"/>
          <w:color w:val="333333"/>
          <w:sz w:val="22"/>
          <w:szCs w:val="22"/>
        </w:rPr>
        <w:t xml:space="preserve">The recommended learning paths produced by combining PageRank (influence), association rules (observed behaviour), and BERT (semantic coherence) offer actionable, data-driven guidance for course sequencing recommendations on MOOC platforms.</w:t>
      </w:r>
    </w:p>
    <w:p>
      <w:pPr>
        <w:pBdr>
          <w:bottom w:val="single" w:color="028090" w:sz="6" w:space="4"/>
        </w:pBdr>
        <w:spacing w:after="180" w:before="180"/>
      </w:pPr>
    </w:p>
    <w:p>
      <w:pPr>
        <w:pStyle w:val="Heading1"/>
        <w:spacing w:after="120" w:before="240"/>
      </w:pPr>
      <w:r>
        <w:rPr>
          <w:b/>
          <w:bCs/>
          <w:color w:val="000000"/>
        </w:rPr>
        <w:t xml:space="preserve">9. Project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960"/>
        <w:gridCol w:w="2700"/>
      </w:tblGrid>
      <w:tr>
        <w:trPr>
          <w:tblHeader/>
        </w:trPr>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Source Task</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association_rules.csv</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Apriori rules with all 8 metrics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Task 1</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frequent_itemsets.csv</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Apriori frequent itemsets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Task 1</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fp_frequent_itemsets.csv</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FP-Growth frequent itemsets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Task 1</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fp_rules.csv</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FP-Growth association rules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Task 1</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course_graph_edges.csv</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Co-enrollment graph edges + weights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Task 1</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pagerank_scores.csv</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PageRank scores for all courses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Task 1</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bert_similarity_matrix.csv</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13×13 BERT cosine similarity matrix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Task 2</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bert_top_similar_courses.csv</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Top-3 similar courses per course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Task 2</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recommended_learning_paths.csv</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10 paths with composite scores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Combined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task1_analysis.ipynb</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Full Task 1 notebook with visualizations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Task 1</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task2_bert.ipynb</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Full Task 2 BERT notebook with visualizations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Task 2</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Learning_Pattern_Analysis.pptx</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10-slide professional presentation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All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Learning_Pattern_Report.docx</w:t>
            </w:r>
          </w:p>
        </w:tc>
        <w:tc>
          <w:tcPr>
            <w:tcW w:type="dxa" w:w="3120"/>
            <w:tcBorders>
              <w:top w:val="single" w:color="CCCCCC" w:sz="1"/>
              <w:left w:val="single" w:color="CCCCCC" w:sz="1"/>
              <w:bottom w:val="single" w:color="CCCCCC" w:sz="1"/>
              <w:right w:val="single" w:color="CCCCCC" w:sz="1"/>
            </w:tcBorders>
            <w:shd w:fill="EAF4F7"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This full technical report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333333"/>
                <w:sz w:val="19"/>
                <w:szCs w:val="19"/>
              </w:rPr>
              <w:t xml:space="preserve">All</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6" w:space="4"/>
      </w:pBdr>
      <w:jc w:val="right"/>
    </w:pPr>
    <w:r>
      <w:rPr>
        <w:rFonts w:ascii="Calibri" w:cs="Calibri" w:eastAsia="Calibri" w:hAnsi="Calibri"/>
        <w:color w:val="888888"/>
        <w:sz w:val="18"/>
        <w:szCs w:val="18"/>
      </w:rPr>
      <w:t xml:space="preserve">Student Learning Pattern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E2761"/>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2809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2026-05-03T14:43:42.178Z</dcterms:created>
  <dcterms:modified xsi:type="dcterms:W3CDTF">2026-05-03T14:43:42.178Z</dcterms:modified>
</cp:coreProperties>
</file>

<file path=docProps/custom.xml><?xml version="1.0" encoding="utf-8"?>
<Properties xmlns="http://schemas.openxmlformats.org/officeDocument/2006/custom-properties" xmlns:vt="http://schemas.openxmlformats.org/officeDocument/2006/docPropsVTypes"/>
</file>