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C88CA19" w14:textId="643A9AD6"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jc w:val="right"/>
        <w:rPr>
          <w:i/>
          <w:sz w:val="20"/>
          <w:szCs w:val="20"/>
        </w:rPr>
      </w:pPr>
      <w:r w:rsidRPr="00DF406D">
        <w:rPr>
          <w:rFonts w:ascii="Calibri" w:eastAsia="Calibri" w:hAnsi="Calibri" w:cs="Calibri"/>
          <w:b/>
          <w:sz w:val="20"/>
          <w:szCs w:val="20"/>
        </w:rPr>
        <w:tab/>
      </w:r>
      <w:r w:rsidRPr="00DF406D">
        <w:rPr>
          <w:rFonts w:ascii="Calibri" w:eastAsia="Calibri" w:hAnsi="Calibri" w:cs="Calibri"/>
          <w:sz w:val="22"/>
          <w:szCs w:val="22"/>
        </w:rPr>
        <w:tab/>
      </w:r>
      <w:r w:rsidRPr="00DF406D">
        <w:rPr>
          <w:sz w:val="20"/>
          <w:szCs w:val="20"/>
        </w:rPr>
        <w:t>TELUS Procurement TSCM Sub-Agreement # SubA-</w:t>
      </w:r>
      <w:r w:rsidR="00B2589B" w:rsidRPr="00DF406D">
        <w:rPr>
          <w:i/>
          <w:sz w:val="20"/>
          <w:szCs w:val="20"/>
        </w:rPr>
        <w:t>2019-xxxx</w:t>
      </w:r>
    </w:p>
    <w:p w14:paraId="56BE1EA9"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jc w:val="right"/>
        <w:rPr>
          <w:i/>
          <w:sz w:val="20"/>
          <w:szCs w:val="20"/>
        </w:rPr>
      </w:pPr>
      <w:r w:rsidRPr="00DF406D">
        <w:rPr>
          <w:i/>
          <w:sz w:val="20"/>
          <w:szCs w:val="20"/>
        </w:rPr>
        <w:t>(to Procurement TSCM Master Agreement # MA-2017-0193)</w:t>
      </w:r>
    </w:p>
    <w:p w14:paraId="56AB23B7" w14:textId="77777777" w:rsidR="00C952D0" w:rsidRPr="00DF406D" w:rsidRDefault="00C952D0" w:rsidP="00DF406D">
      <w:pPr>
        <w:tabs>
          <w:tab w:val="left" w:pos="426"/>
        </w:tabs>
        <w:jc w:val="left"/>
        <w:rPr>
          <w:b/>
          <w:sz w:val="20"/>
          <w:szCs w:val="20"/>
        </w:rPr>
      </w:pPr>
    </w:p>
    <w:p w14:paraId="7E861A03" w14:textId="77777777" w:rsidR="00C952D0" w:rsidRPr="00DF406D" w:rsidRDefault="00C952D0" w:rsidP="00DF406D">
      <w:pPr>
        <w:tabs>
          <w:tab w:val="left" w:pos="426"/>
        </w:tabs>
        <w:jc w:val="left"/>
        <w:rPr>
          <w:b/>
          <w:sz w:val="20"/>
          <w:szCs w:val="20"/>
        </w:rPr>
      </w:pPr>
    </w:p>
    <w:p w14:paraId="79A0F2ED" w14:textId="77777777" w:rsidR="00C952D0" w:rsidRPr="00DF406D" w:rsidRDefault="008B0FC8" w:rsidP="00DF406D">
      <w:pPr>
        <w:jc w:val="center"/>
        <w:rPr>
          <w:b/>
          <w:sz w:val="22"/>
          <w:szCs w:val="22"/>
        </w:rPr>
      </w:pPr>
      <w:r w:rsidRPr="00DF406D">
        <w:rPr>
          <w:b/>
          <w:sz w:val="22"/>
          <w:szCs w:val="22"/>
        </w:rPr>
        <w:t xml:space="preserve">Statement of Work </w:t>
      </w:r>
      <w:r w:rsidR="00FE71B0" w:rsidRPr="00DF406D">
        <w:rPr>
          <w:b/>
          <w:sz w:val="22"/>
          <w:szCs w:val="22"/>
        </w:rPr>
        <w:t>#2019</w:t>
      </w:r>
      <w:r w:rsidR="008E620D" w:rsidRPr="00DF406D">
        <w:rPr>
          <w:b/>
          <w:sz w:val="22"/>
          <w:szCs w:val="22"/>
        </w:rPr>
        <w:t>-</w:t>
      </w:r>
      <w:r w:rsidR="001B1A1A" w:rsidRPr="00DF406D">
        <w:rPr>
          <w:b/>
          <w:sz w:val="22"/>
          <w:szCs w:val="22"/>
        </w:rPr>
        <w:t>44</w:t>
      </w:r>
    </w:p>
    <w:p w14:paraId="2E946875" w14:textId="77777777" w:rsidR="00FE71B0" w:rsidRPr="00DF406D" w:rsidRDefault="001B1A1A" w:rsidP="00DF406D">
      <w:pPr>
        <w:spacing w:before="120"/>
        <w:jc w:val="center"/>
        <w:rPr>
          <w:b/>
          <w:i/>
          <w:sz w:val="22"/>
          <w:szCs w:val="22"/>
        </w:rPr>
      </w:pPr>
      <w:r w:rsidRPr="00DF406D">
        <w:rPr>
          <w:b/>
          <w:i/>
          <w:sz w:val="22"/>
          <w:szCs w:val="22"/>
        </w:rPr>
        <w:t>TAM-Wholesale Provisioning</w:t>
      </w:r>
    </w:p>
    <w:p w14:paraId="0E781BCF" w14:textId="0BFC0770" w:rsidR="00C952D0" w:rsidRPr="00DF406D" w:rsidRDefault="008B0FC8" w:rsidP="00DF406D">
      <w:pPr>
        <w:spacing w:before="120"/>
        <w:jc w:val="center"/>
        <w:rPr>
          <w:i/>
          <w:sz w:val="22"/>
          <w:szCs w:val="22"/>
        </w:rPr>
      </w:pPr>
      <w:r w:rsidRPr="00DF406D">
        <w:rPr>
          <w:i/>
          <w:sz w:val="22"/>
          <w:szCs w:val="22"/>
        </w:rPr>
        <w:t xml:space="preserve"> </w:t>
      </w:r>
      <w:r w:rsidR="00B244C3" w:rsidRPr="00DF406D">
        <w:rPr>
          <w:i/>
          <w:sz w:val="22"/>
          <w:szCs w:val="22"/>
        </w:rPr>
        <w:t>(</w:t>
      </w:r>
      <w:r w:rsidR="00B61FA0" w:rsidRPr="00DF406D">
        <w:rPr>
          <w:i/>
          <w:sz w:val="22"/>
          <w:szCs w:val="22"/>
        </w:rPr>
        <w:t xml:space="preserve">Transaction </w:t>
      </w:r>
      <w:proofErr w:type="gramStart"/>
      <w:r w:rsidR="00B61FA0" w:rsidRPr="00DF406D">
        <w:rPr>
          <w:i/>
          <w:sz w:val="22"/>
          <w:szCs w:val="22"/>
        </w:rPr>
        <w:t xml:space="preserve">Based </w:t>
      </w:r>
      <w:r w:rsidR="00E162AE" w:rsidRPr="00DF406D">
        <w:rPr>
          <w:i/>
          <w:sz w:val="22"/>
          <w:szCs w:val="22"/>
        </w:rPr>
        <w:t xml:space="preserve"> </w:t>
      </w:r>
      <w:r w:rsidR="00B2589B" w:rsidRPr="00DF406D">
        <w:rPr>
          <w:i/>
          <w:sz w:val="22"/>
          <w:szCs w:val="22"/>
        </w:rPr>
        <w:t>Price</w:t>
      </w:r>
      <w:proofErr w:type="gramEnd"/>
      <w:r w:rsidRPr="00DF406D">
        <w:rPr>
          <w:i/>
          <w:sz w:val="22"/>
          <w:szCs w:val="22"/>
        </w:rPr>
        <w:t>)</w:t>
      </w:r>
    </w:p>
    <w:p w14:paraId="30CF9CBB" w14:textId="77777777" w:rsidR="00C952D0" w:rsidRPr="00DF406D" w:rsidRDefault="00C952D0" w:rsidP="00DF406D">
      <w:pPr>
        <w:spacing w:before="120"/>
        <w:jc w:val="center"/>
        <w:rPr>
          <w:sz w:val="20"/>
          <w:szCs w:val="20"/>
        </w:rPr>
      </w:pPr>
    </w:p>
    <w:p w14:paraId="27BC852E" w14:textId="2BD418B7" w:rsidR="00C952D0" w:rsidRPr="00DF406D" w:rsidRDefault="008B0FC8" w:rsidP="00DF406D">
      <w:pPr>
        <w:rPr>
          <w:sz w:val="20"/>
          <w:szCs w:val="20"/>
        </w:rPr>
      </w:pPr>
      <w:r w:rsidRPr="00DF406D">
        <w:rPr>
          <w:sz w:val="20"/>
          <w:szCs w:val="20"/>
        </w:rPr>
        <w:t xml:space="preserve">This Statement of Work No. </w:t>
      </w:r>
      <w:r w:rsidR="001B1A1A" w:rsidRPr="00DF406D">
        <w:rPr>
          <w:sz w:val="20"/>
          <w:szCs w:val="20"/>
        </w:rPr>
        <w:t>2019-44</w:t>
      </w:r>
      <w:r w:rsidRPr="00DF406D">
        <w:rPr>
          <w:sz w:val="20"/>
          <w:szCs w:val="20"/>
        </w:rPr>
        <w:t xml:space="preserve"> (“</w:t>
      </w:r>
      <w:r w:rsidRPr="00DF406D">
        <w:rPr>
          <w:b/>
          <w:sz w:val="20"/>
          <w:szCs w:val="20"/>
        </w:rPr>
        <w:t>SOW</w:t>
      </w:r>
      <w:r w:rsidRPr="00DF406D">
        <w:rPr>
          <w:sz w:val="20"/>
          <w:szCs w:val="20"/>
        </w:rPr>
        <w:t>”) between TELUS Communications Inc. (legal successor in interest to TELUS Communications Company) (“</w:t>
      </w:r>
      <w:r w:rsidRPr="00DF406D">
        <w:rPr>
          <w:b/>
          <w:sz w:val="20"/>
          <w:szCs w:val="20"/>
        </w:rPr>
        <w:t>TELUS</w:t>
      </w:r>
      <w:r w:rsidRPr="00DF406D">
        <w:rPr>
          <w:sz w:val="20"/>
          <w:szCs w:val="20"/>
        </w:rPr>
        <w:t xml:space="preserve">”) and </w:t>
      </w:r>
      <w:proofErr w:type="spellStart"/>
      <w:r w:rsidR="00B53569">
        <w:rPr>
          <w:sz w:val="20"/>
          <w:szCs w:val="20"/>
        </w:rPr>
        <w:t>smth</w:t>
      </w:r>
      <w:proofErr w:type="spellEnd"/>
      <w:r w:rsidR="00B53569" w:rsidRPr="00DF406D">
        <w:rPr>
          <w:sz w:val="20"/>
          <w:szCs w:val="20"/>
        </w:rPr>
        <w:t xml:space="preserve"> </w:t>
      </w:r>
      <w:r w:rsidRPr="00DF406D">
        <w:rPr>
          <w:sz w:val="20"/>
          <w:szCs w:val="20"/>
        </w:rPr>
        <w:t>(</w:t>
      </w:r>
      <w:proofErr w:type="spellStart"/>
      <w:r w:rsidRPr="00DF406D">
        <w:rPr>
          <w:sz w:val="20"/>
          <w:szCs w:val="20"/>
        </w:rPr>
        <w:t>Cda</w:t>
      </w:r>
      <w:proofErr w:type="spellEnd"/>
      <w:r w:rsidRPr="00DF406D">
        <w:rPr>
          <w:sz w:val="20"/>
          <w:szCs w:val="20"/>
        </w:rPr>
        <w:t>) Inc. (“</w:t>
      </w:r>
      <w:r w:rsidRPr="00DF406D">
        <w:rPr>
          <w:b/>
          <w:sz w:val="20"/>
          <w:szCs w:val="20"/>
        </w:rPr>
        <w:t>TI</w:t>
      </w:r>
      <w:r w:rsidRPr="00DF406D">
        <w:rPr>
          <w:sz w:val="20"/>
          <w:szCs w:val="20"/>
        </w:rPr>
        <w:t>”) is made pursuant to the Master Services Agreement between TELUS Communications Company and TI (jointly, the "</w:t>
      </w:r>
      <w:r w:rsidRPr="00DF406D">
        <w:rPr>
          <w:b/>
          <w:sz w:val="20"/>
          <w:szCs w:val="20"/>
        </w:rPr>
        <w:t>Parties</w:t>
      </w:r>
      <w:r w:rsidRPr="00DF406D">
        <w:rPr>
          <w:sz w:val="20"/>
          <w:szCs w:val="20"/>
        </w:rPr>
        <w:t>") effective April 1, 2016 (the “</w:t>
      </w:r>
      <w:r w:rsidRPr="00DF406D">
        <w:rPr>
          <w:b/>
          <w:sz w:val="20"/>
          <w:szCs w:val="20"/>
        </w:rPr>
        <w:t>Agreement</w:t>
      </w:r>
      <w:r w:rsidRPr="00DF406D">
        <w:rPr>
          <w:sz w:val="20"/>
          <w:szCs w:val="20"/>
        </w:rPr>
        <w:t>”).</w:t>
      </w:r>
    </w:p>
    <w:p w14:paraId="064E07FC" w14:textId="77777777" w:rsidR="00C952D0" w:rsidRPr="00DF406D" w:rsidRDefault="00C952D0" w:rsidP="00DF406D">
      <w:pPr>
        <w:rPr>
          <w:sz w:val="20"/>
          <w:szCs w:val="20"/>
        </w:rPr>
      </w:pPr>
    </w:p>
    <w:p w14:paraId="7A9512F4" w14:textId="77777777" w:rsidR="00C952D0" w:rsidRPr="00DF406D" w:rsidRDefault="008B0FC8" w:rsidP="00DF406D">
      <w:pPr>
        <w:rPr>
          <w:sz w:val="20"/>
          <w:szCs w:val="20"/>
        </w:rPr>
      </w:pPr>
      <w:r w:rsidRPr="00DF406D">
        <w:rPr>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440514A0" w14:textId="77777777" w:rsidR="00C952D0" w:rsidRPr="00DF406D" w:rsidRDefault="00C952D0" w:rsidP="00DF406D">
      <w:pPr>
        <w:rPr>
          <w:sz w:val="20"/>
          <w:szCs w:val="20"/>
        </w:rPr>
      </w:pPr>
    </w:p>
    <w:p w14:paraId="11F50CE1" w14:textId="77777777" w:rsidR="00C952D0" w:rsidRPr="00DF406D" w:rsidRDefault="00C952D0" w:rsidP="00DF406D">
      <w:pPr>
        <w:rPr>
          <w:sz w:val="20"/>
          <w:szCs w:val="20"/>
        </w:rPr>
      </w:pPr>
    </w:p>
    <w:p w14:paraId="00FBC38C" w14:textId="77777777" w:rsidR="00C952D0" w:rsidRPr="00DF406D" w:rsidRDefault="008B0FC8" w:rsidP="00DF406D">
      <w:pPr>
        <w:numPr>
          <w:ilvl w:val="0"/>
          <w:numId w:val="17"/>
        </w:numPr>
        <w:spacing w:after="120"/>
        <w:ind w:left="605" w:hanging="605"/>
        <w:rPr>
          <w:b/>
          <w:smallCaps/>
        </w:rPr>
      </w:pPr>
      <w:r w:rsidRPr="00DF406D">
        <w:rPr>
          <w:b/>
          <w:smallCaps/>
          <w:sz w:val="20"/>
          <w:szCs w:val="20"/>
        </w:rPr>
        <w:t>Description</w:t>
      </w:r>
    </w:p>
    <w:p w14:paraId="558980FD" w14:textId="77777777" w:rsidR="00FE71B0" w:rsidRPr="00DF406D" w:rsidRDefault="008B0FC8" w:rsidP="00DF406D">
      <w:pPr>
        <w:spacing w:after="120"/>
        <w:ind w:left="603" w:hanging="603"/>
        <w:rPr>
          <w:bCs/>
          <w:i/>
          <w:sz w:val="20"/>
          <w:szCs w:val="20"/>
        </w:rPr>
      </w:pPr>
      <w:r w:rsidRPr="00DF406D">
        <w:rPr>
          <w:sz w:val="20"/>
          <w:szCs w:val="20"/>
        </w:rPr>
        <w:t>1.1</w:t>
      </w:r>
      <w:r w:rsidRPr="00DF406D">
        <w:rPr>
          <w:sz w:val="20"/>
          <w:szCs w:val="20"/>
        </w:rPr>
        <w:tab/>
        <w:t xml:space="preserve">This Statement of Work relates to: </w:t>
      </w:r>
      <w:r w:rsidR="001B1A1A" w:rsidRPr="00DF406D">
        <w:rPr>
          <w:bCs/>
          <w:i/>
          <w:sz w:val="20"/>
          <w:szCs w:val="20"/>
        </w:rPr>
        <w:t>TAM-Wholesale Provisioning</w:t>
      </w:r>
      <w:r w:rsidR="00FE71B0" w:rsidRPr="00DF406D">
        <w:rPr>
          <w:bCs/>
          <w:i/>
          <w:sz w:val="20"/>
          <w:szCs w:val="20"/>
        </w:rPr>
        <w:t xml:space="preserve"> </w:t>
      </w:r>
      <w:r w:rsidR="00B2589B" w:rsidRPr="00DF406D">
        <w:rPr>
          <w:bCs/>
          <w:i/>
          <w:sz w:val="20"/>
          <w:szCs w:val="20"/>
        </w:rPr>
        <w:t>Services</w:t>
      </w:r>
    </w:p>
    <w:p w14:paraId="17264D6B" w14:textId="77777777" w:rsidR="00C952D0" w:rsidRPr="00DF406D" w:rsidRDefault="008B0FC8" w:rsidP="00DF406D">
      <w:pPr>
        <w:spacing w:after="120"/>
        <w:ind w:left="603" w:hanging="603"/>
        <w:rPr>
          <w:sz w:val="20"/>
          <w:szCs w:val="20"/>
        </w:rPr>
      </w:pPr>
      <w:r w:rsidRPr="00DF406D">
        <w:rPr>
          <w:sz w:val="20"/>
          <w:szCs w:val="20"/>
        </w:rPr>
        <w:t>1.2</w:t>
      </w:r>
      <w:r w:rsidRPr="00DF406D">
        <w:rPr>
          <w:sz w:val="20"/>
          <w:szCs w:val="20"/>
        </w:rPr>
        <w:tab/>
        <w:t xml:space="preserve">TELUS wishes to engage TI to provide certain Services relating to: </w:t>
      </w:r>
      <w:r w:rsidR="001B1A1A" w:rsidRPr="00DF406D">
        <w:rPr>
          <w:bCs/>
          <w:i/>
          <w:sz w:val="20"/>
          <w:szCs w:val="20"/>
        </w:rPr>
        <w:t>TAM-Wholesale Provisioning</w:t>
      </w:r>
      <w:r w:rsidR="00FE71B0" w:rsidRPr="00DF406D">
        <w:rPr>
          <w:bCs/>
          <w:i/>
          <w:sz w:val="20"/>
          <w:szCs w:val="20"/>
        </w:rPr>
        <w:t xml:space="preserve"> </w:t>
      </w:r>
      <w:r w:rsidR="00B2589B" w:rsidRPr="00DF406D">
        <w:rPr>
          <w:bCs/>
          <w:i/>
          <w:sz w:val="20"/>
          <w:szCs w:val="20"/>
        </w:rPr>
        <w:t xml:space="preserve">Services </w:t>
      </w:r>
      <w:r w:rsidRPr="00DF406D">
        <w:rPr>
          <w:sz w:val="20"/>
          <w:szCs w:val="20"/>
        </w:rPr>
        <w:t>(the “</w:t>
      </w:r>
      <w:r w:rsidRPr="00DF406D">
        <w:rPr>
          <w:b/>
          <w:sz w:val="20"/>
          <w:szCs w:val="20"/>
        </w:rPr>
        <w:t>Project</w:t>
      </w:r>
      <w:r w:rsidRPr="00DF406D">
        <w:rPr>
          <w:sz w:val="20"/>
          <w:szCs w:val="20"/>
        </w:rPr>
        <w:t>”)</w:t>
      </w:r>
    </w:p>
    <w:p w14:paraId="3374C934" w14:textId="77777777" w:rsidR="00C952D0" w:rsidRPr="00DF406D" w:rsidRDefault="00C952D0" w:rsidP="00DF406D">
      <w:pPr>
        <w:rPr>
          <w:sz w:val="20"/>
          <w:szCs w:val="20"/>
        </w:rPr>
      </w:pPr>
    </w:p>
    <w:p w14:paraId="2257A6BC" w14:textId="77777777" w:rsidR="00C952D0" w:rsidRPr="00DF406D" w:rsidRDefault="008B0FC8" w:rsidP="00DF406D">
      <w:pPr>
        <w:numPr>
          <w:ilvl w:val="0"/>
          <w:numId w:val="17"/>
        </w:numPr>
        <w:spacing w:after="120"/>
        <w:ind w:left="600" w:hanging="605"/>
        <w:rPr>
          <w:b/>
          <w:smallCaps/>
        </w:rPr>
      </w:pPr>
      <w:r w:rsidRPr="00DF406D">
        <w:rPr>
          <w:b/>
          <w:smallCaps/>
          <w:sz w:val="20"/>
          <w:szCs w:val="20"/>
        </w:rPr>
        <w:t>Definitions</w:t>
      </w:r>
    </w:p>
    <w:p w14:paraId="17A441C8" w14:textId="77777777" w:rsidR="00C952D0" w:rsidRPr="00DF406D" w:rsidRDefault="008B0FC8" w:rsidP="00DF406D">
      <w:pPr>
        <w:numPr>
          <w:ilvl w:val="1"/>
          <w:numId w:val="17"/>
        </w:numPr>
        <w:spacing w:after="120"/>
        <w:ind w:left="600" w:hanging="600"/>
        <w:rPr>
          <w:smallCaps/>
        </w:rPr>
      </w:pPr>
      <w:r w:rsidRPr="00DF406D">
        <w:rPr>
          <w:sz w:val="20"/>
          <w:szCs w:val="20"/>
        </w:rPr>
        <w:t>Capitalized terms used but not defined in this SOW have the same meaning as set out in the Agreement. The following definitions shall also apply:</w:t>
      </w:r>
    </w:p>
    <w:p w14:paraId="137C5413" w14:textId="77777777" w:rsidR="00B2589B" w:rsidRPr="00DF406D" w:rsidRDefault="00B2589B" w:rsidP="00DF406D">
      <w:pPr>
        <w:numPr>
          <w:ilvl w:val="0"/>
          <w:numId w:val="2"/>
        </w:numPr>
        <w:spacing w:after="240"/>
        <w:ind w:left="1200"/>
        <w:rPr>
          <w:sz w:val="20"/>
          <w:szCs w:val="20"/>
        </w:rPr>
      </w:pPr>
      <w:r w:rsidRPr="00DF406D">
        <w:rPr>
          <w:b/>
          <w:sz w:val="20"/>
          <w:szCs w:val="20"/>
        </w:rPr>
        <w:t>"Acceptance"</w:t>
      </w:r>
      <w:r w:rsidRPr="00DF406D">
        <w:rPr>
          <w:sz w:val="20"/>
          <w:szCs w:val="20"/>
        </w:rPr>
        <w:t xml:space="preserve"> means acceptance of the Services, Milestones, or Deliverables by TELUS in accordance with Appendix “D” (Acceptance Process) to this SOW.</w:t>
      </w:r>
    </w:p>
    <w:p w14:paraId="23B21C25" w14:textId="77777777" w:rsidR="00B2589B" w:rsidRPr="00DF406D" w:rsidRDefault="00B2589B" w:rsidP="00DF406D">
      <w:pPr>
        <w:numPr>
          <w:ilvl w:val="0"/>
          <w:numId w:val="2"/>
        </w:numPr>
        <w:spacing w:after="240"/>
        <w:ind w:left="1200"/>
        <w:rPr>
          <w:sz w:val="20"/>
          <w:szCs w:val="20"/>
        </w:rPr>
      </w:pPr>
      <w:r w:rsidRPr="00DF406D">
        <w:rPr>
          <w:sz w:val="20"/>
          <w:szCs w:val="20"/>
        </w:rPr>
        <w:t>"</w:t>
      </w:r>
      <w:r w:rsidRPr="00DF406D">
        <w:rPr>
          <w:b/>
          <w:sz w:val="20"/>
          <w:szCs w:val="20"/>
        </w:rPr>
        <w:t>Acceptance Criteria</w:t>
      </w:r>
      <w:r w:rsidRPr="00DF406D">
        <w:rPr>
          <w:sz w:val="20"/>
          <w:szCs w:val="20"/>
        </w:rPr>
        <w:t>" has the meaning set out in Appendix ‘D’ (Acceptance Process).</w:t>
      </w:r>
    </w:p>
    <w:p w14:paraId="02EE769C" w14:textId="77777777" w:rsidR="00B2589B" w:rsidRPr="00DF406D" w:rsidRDefault="00B2589B" w:rsidP="00DF406D">
      <w:pPr>
        <w:numPr>
          <w:ilvl w:val="0"/>
          <w:numId w:val="2"/>
        </w:numPr>
        <w:spacing w:after="240"/>
        <w:ind w:left="1200"/>
        <w:rPr>
          <w:sz w:val="20"/>
          <w:szCs w:val="20"/>
        </w:rPr>
      </w:pPr>
      <w:r w:rsidRPr="00DF406D">
        <w:rPr>
          <w:sz w:val="20"/>
          <w:szCs w:val="20"/>
        </w:rPr>
        <w:t>"</w:t>
      </w:r>
      <w:r w:rsidRPr="00DF406D">
        <w:rPr>
          <w:b/>
          <w:sz w:val="20"/>
          <w:szCs w:val="20"/>
        </w:rPr>
        <w:t>Acceptance Process</w:t>
      </w:r>
      <w:r w:rsidRPr="00DF406D">
        <w:rPr>
          <w:sz w:val="20"/>
          <w:szCs w:val="20"/>
        </w:rPr>
        <w:t>" has the meaning set out in Appendix ‘D’ (Acceptance Process).</w:t>
      </w:r>
    </w:p>
    <w:p w14:paraId="1148F6DF" w14:textId="4C2ADFA1" w:rsidR="00C952D0" w:rsidRPr="00DF406D" w:rsidRDefault="008B0FC8" w:rsidP="00DF406D">
      <w:pPr>
        <w:numPr>
          <w:ilvl w:val="0"/>
          <w:numId w:val="2"/>
        </w:numPr>
        <w:spacing w:after="240"/>
        <w:ind w:left="1200"/>
        <w:rPr>
          <w:sz w:val="20"/>
          <w:szCs w:val="20"/>
        </w:rPr>
      </w:pPr>
      <w:r w:rsidRPr="00DF406D">
        <w:rPr>
          <w:sz w:val="20"/>
          <w:szCs w:val="20"/>
        </w:rPr>
        <w:t>“</w:t>
      </w:r>
      <w:r w:rsidRPr="00DF406D">
        <w:rPr>
          <w:b/>
          <w:sz w:val="20"/>
          <w:szCs w:val="20"/>
        </w:rPr>
        <w:t>Offshore</w:t>
      </w:r>
      <w:r w:rsidRPr="00DF406D">
        <w:rPr>
          <w:sz w:val="20"/>
          <w:szCs w:val="20"/>
        </w:rPr>
        <w:t>” means a place of performance, by TI, of Services at a TELUS Facility outside of Canada or at a TI Facility outside of Canada.</w:t>
      </w:r>
    </w:p>
    <w:p w14:paraId="37338555" w14:textId="77777777" w:rsidR="00C952D0" w:rsidRPr="00DF406D" w:rsidRDefault="008B0FC8" w:rsidP="00DF406D">
      <w:pPr>
        <w:numPr>
          <w:ilvl w:val="0"/>
          <w:numId w:val="2"/>
        </w:numPr>
        <w:spacing w:after="240"/>
        <w:ind w:left="1200"/>
        <w:rPr>
          <w:sz w:val="20"/>
          <w:szCs w:val="20"/>
        </w:rPr>
      </w:pPr>
      <w:r w:rsidRPr="00DF406D">
        <w:rPr>
          <w:b/>
          <w:sz w:val="20"/>
          <w:szCs w:val="20"/>
        </w:rPr>
        <w:t>“Offshore TI Representatives”</w:t>
      </w:r>
      <w:r w:rsidRPr="00DF406D">
        <w:rPr>
          <w:sz w:val="20"/>
          <w:szCs w:val="20"/>
        </w:rPr>
        <w:t xml:space="preserve"> means TI Representatives contracted by TELUS and performing duties at a TI Offshore location.</w:t>
      </w:r>
    </w:p>
    <w:p w14:paraId="4E8EE0D3" w14:textId="77777777" w:rsidR="00C952D0" w:rsidRPr="00DF406D" w:rsidRDefault="008B0FC8" w:rsidP="00DF406D">
      <w:pPr>
        <w:numPr>
          <w:ilvl w:val="0"/>
          <w:numId w:val="2"/>
        </w:numPr>
        <w:spacing w:after="240"/>
        <w:ind w:left="1200"/>
        <w:rPr>
          <w:sz w:val="20"/>
          <w:szCs w:val="20"/>
        </w:rPr>
      </w:pPr>
      <w:r w:rsidRPr="00DF406D">
        <w:rPr>
          <w:sz w:val="20"/>
          <w:szCs w:val="20"/>
        </w:rPr>
        <w:t>“</w:t>
      </w:r>
      <w:r w:rsidRPr="00DF406D">
        <w:rPr>
          <w:b/>
          <w:sz w:val="20"/>
          <w:szCs w:val="20"/>
        </w:rPr>
        <w:t>Onshore</w:t>
      </w:r>
      <w:r w:rsidRPr="00DF406D">
        <w:rPr>
          <w:sz w:val="20"/>
          <w:szCs w:val="20"/>
        </w:rPr>
        <w:t xml:space="preserve">” means a place of performance, by TI, of Services at a TELUS Facility in Canada or at a TI Facility in Canada. </w:t>
      </w:r>
    </w:p>
    <w:p w14:paraId="5A53DB6A" w14:textId="77777777" w:rsidR="00C952D0" w:rsidRPr="00DF406D" w:rsidRDefault="008B0FC8" w:rsidP="00DF406D">
      <w:pPr>
        <w:numPr>
          <w:ilvl w:val="0"/>
          <w:numId w:val="2"/>
        </w:numPr>
        <w:spacing w:after="240"/>
        <w:ind w:left="1200"/>
        <w:rPr>
          <w:sz w:val="20"/>
          <w:szCs w:val="20"/>
        </w:rPr>
      </w:pPr>
      <w:r w:rsidRPr="00DF406D">
        <w:rPr>
          <w:b/>
          <w:sz w:val="20"/>
          <w:szCs w:val="20"/>
        </w:rPr>
        <w:t>“Onshore TI Representatives”</w:t>
      </w:r>
      <w:r w:rsidRPr="00DF406D">
        <w:rPr>
          <w:sz w:val="20"/>
          <w:szCs w:val="20"/>
        </w:rPr>
        <w:t xml:space="preserve"> means TI Representatives brought by TI Offshore delivery </w:t>
      </w:r>
      <w:proofErr w:type="spellStart"/>
      <w:r w:rsidRPr="00DF406D">
        <w:rPr>
          <w:sz w:val="20"/>
          <w:szCs w:val="20"/>
        </w:rPr>
        <w:t>centre</w:t>
      </w:r>
      <w:proofErr w:type="spellEnd"/>
      <w:r w:rsidRPr="00DF406D">
        <w:rPr>
          <w:sz w:val="20"/>
          <w:szCs w:val="20"/>
        </w:rPr>
        <w:t>(s) to perform certain Services at a TELUS Onshore location.</w:t>
      </w:r>
    </w:p>
    <w:p w14:paraId="5E154666" w14:textId="77777777" w:rsidR="00C952D0" w:rsidRPr="00DF406D" w:rsidRDefault="008B0FC8" w:rsidP="00DF406D">
      <w:pPr>
        <w:numPr>
          <w:ilvl w:val="0"/>
          <w:numId w:val="2"/>
        </w:numPr>
        <w:spacing w:after="240"/>
        <w:ind w:left="1200"/>
        <w:rPr>
          <w:sz w:val="20"/>
          <w:szCs w:val="20"/>
        </w:rPr>
      </w:pPr>
      <w:r w:rsidRPr="00DF406D">
        <w:rPr>
          <w:b/>
          <w:sz w:val="20"/>
          <w:szCs w:val="20"/>
        </w:rPr>
        <w:t>“Productive Billable Hours”</w:t>
      </w:r>
      <w:r w:rsidRPr="00DF406D">
        <w:rPr>
          <w:sz w:val="20"/>
          <w:szCs w:val="20"/>
        </w:rPr>
        <w:t xml:space="preserve"> shall be based on actual hours rendered and reported in TI’s internal tracking tool.</w:t>
      </w:r>
    </w:p>
    <w:p w14:paraId="713AAF89" w14:textId="5FCB9B0E" w:rsidR="00C952D0" w:rsidRPr="00DF406D" w:rsidRDefault="008B0FC8" w:rsidP="00DF406D">
      <w:pPr>
        <w:numPr>
          <w:ilvl w:val="0"/>
          <w:numId w:val="2"/>
        </w:numPr>
        <w:spacing w:after="240"/>
        <w:ind w:left="1200"/>
        <w:rPr>
          <w:sz w:val="20"/>
          <w:szCs w:val="20"/>
        </w:rPr>
      </w:pPr>
      <w:r w:rsidRPr="00DF406D">
        <w:rPr>
          <w:b/>
          <w:sz w:val="20"/>
          <w:szCs w:val="20"/>
        </w:rPr>
        <w:t xml:space="preserve"> “Standard Hours”</w:t>
      </w:r>
      <w:r w:rsidRPr="00DF406D">
        <w:rPr>
          <w:sz w:val="20"/>
          <w:szCs w:val="20"/>
        </w:rPr>
        <w:t xml:space="preserve"> </w:t>
      </w:r>
      <w:r w:rsidR="009629D7" w:rsidRPr="00DF406D">
        <w:rPr>
          <w:i/>
          <w:sz w:val="20"/>
          <w:szCs w:val="20"/>
        </w:rPr>
        <w:t xml:space="preserve">shall be planned based on 9 hours / day (offshore) and 7.5 hours / days (Onsite) fully available, fully Productive Billable Hours per day of a fully skilled, trained TI </w:t>
      </w:r>
      <w:r w:rsidR="009629D7" w:rsidRPr="00DF406D">
        <w:rPr>
          <w:i/>
          <w:sz w:val="20"/>
          <w:szCs w:val="20"/>
        </w:rPr>
        <w:lastRenderedPageBreak/>
        <w:t>Representatives experienced in the provision of these Services specific to Offshore and Onshore Representatives.</w:t>
      </w:r>
      <w:r w:rsidR="001847FD" w:rsidRPr="00DF406D">
        <w:rPr>
          <w:i/>
          <w:sz w:val="20"/>
          <w:szCs w:val="20"/>
        </w:rPr>
        <w:t xml:space="preserve"> Actual hours of operation mentioned in “</w:t>
      </w:r>
      <w:r w:rsidR="001847FD" w:rsidRPr="00DF406D">
        <w:rPr>
          <w:b/>
          <w:sz w:val="20"/>
          <w:szCs w:val="20"/>
        </w:rPr>
        <w:t>Appendix ‘A’ point 2”</w:t>
      </w:r>
    </w:p>
    <w:p w14:paraId="736D1DF7" w14:textId="77777777" w:rsidR="00C952D0" w:rsidRPr="00DF406D" w:rsidRDefault="008B0FC8" w:rsidP="00DF406D">
      <w:pPr>
        <w:numPr>
          <w:ilvl w:val="0"/>
          <w:numId w:val="2"/>
        </w:numPr>
        <w:spacing w:after="240"/>
        <w:ind w:left="1218" w:hanging="363"/>
        <w:rPr>
          <w:sz w:val="20"/>
          <w:szCs w:val="20"/>
        </w:rPr>
      </w:pPr>
      <w:r w:rsidRPr="00DF406D">
        <w:rPr>
          <w:b/>
          <w:sz w:val="20"/>
          <w:szCs w:val="20"/>
        </w:rPr>
        <w:t>“Team Leader”</w:t>
      </w:r>
      <w:r w:rsidRPr="00DF406D">
        <w:rPr>
          <w:sz w:val="20"/>
          <w:szCs w:val="20"/>
        </w:rPr>
        <w:t xml:space="preserve"> means TI Manager responsible for the performance and development of TI Representatives.</w:t>
      </w:r>
    </w:p>
    <w:p w14:paraId="3C238F08" w14:textId="77777777" w:rsidR="00C952D0" w:rsidRPr="00DF406D" w:rsidRDefault="008B0FC8" w:rsidP="00DF406D">
      <w:pPr>
        <w:numPr>
          <w:ilvl w:val="0"/>
          <w:numId w:val="2"/>
        </w:numPr>
        <w:spacing w:after="240"/>
        <w:ind w:left="1218" w:hanging="363"/>
        <w:rPr>
          <w:sz w:val="20"/>
          <w:szCs w:val="20"/>
        </w:rPr>
      </w:pPr>
      <w:r w:rsidRPr="00DF406D">
        <w:rPr>
          <w:sz w:val="20"/>
          <w:szCs w:val="20"/>
        </w:rPr>
        <w:t>“</w:t>
      </w:r>
      <w:r w:rsidRPr="00DF406D">
        <w:rPr>
          <w:b/>
          <w:sz w:val="20"/>
          <w:szCs w:val="20"/>
        </w:rPr>
        <w:t>TELUS Manager</w:t>
      </w:r>
      <w:r w:rsidRPr="00DF406D">
        <w:rPr>
          <w:sz w:val="20"/>
          <w:szCs w:val="20"/>
        </w:rPr>
        <w:t>” means a TELUS Manager nominated by TELUS to act as the main TELUS point of contact for TI for all matters related to the performance of the Services by TI and to perform the other responsibilities set out herein on behalf of TELUS.</w:t>
      </w:r>
    </w:p>
    <w:p w14:paraId="3B32FAF3" w14:textId="77777777" w:rsidR="00C952D0" w:rsidRPr="00DF406D" w:rsidRDefault="008B0FC8" w:rsidP="00DF406D">
      <w:pPr>
        <w:numPr>
          <w:ilvl w:val="0"/>
          <w:numId w:val="2"/>
        </w:numPr>
        <w:spacing w:after="240"/>
        <w:ind w:left="1200"/>
        <w:rPr>
          <w:sz w:val="20"/>
          <w:szCs w:val="20"/>
        </w:rPr>
      </w:pPr>
      <w:r w:rsidRPr="00DF406D">
        <w:rPr>
          <w:sz w:val="20"/>
          <w:szCs w:val="20"/>
        </w:rPr>
        <w:t>“</w:t>
      </w:r>
      <w:r w:rsidRPr="00DF406D">
        <w:rPr>
          <w:b/>
          <w:sz w:val="20"/>
          <w:szCs w:val="20"/>
        </w:rPr>
        <w:t>TI Manager</w:t>
      </w:r>
      <w:r w:rsidRPr="00DF406D">
        <w:rPr>
          <w:sz w:val="20"/>
          <w:szCs w:val="20"/>
        </w:rPr>
        <w:t xml:space="preserve">” means a TI Manager nominated by TI to act as the main TI point of contact for TI for all matters related to the performance of the Services by TI, to lead the Services, to manage the successful and complete delivery of the Services by TI, and to perform the other responsibilities set out herein on behalf of TI. </w:t>
      </w:r>
    </w:p>
    <w:p w14:paraId="2DD21C56" w14:textId="77777777" w:rsidR="00C952D0" w:rsidRPr="00DF406D" w:rsidRDefault="008B0FC8" w:rsidP="00DF406D">
      <w:pPr>
        <w:numPr>
          <w:ilvl w:val="0"/>
          <w:numId w:val="2"/>
        </w:numPr>
        <w:spacing w:after="240"/>
        <w:ind w:left="1200"/>
        <w:rPr>
          <w:sz w:val="20"/>
          <w:szCs w:val="20"/>
        </w:rPr>
      </w:pPr>
      <w:r w:rsidRPr="00DF406D">
        <w:rPr>
          <w:b/>
          <w:sz w:val="20"/>
          <w:szCs w:val="20"/>
        </w:rPr>
        <w:t xml:space="preserve">“TI Service Representative” </w:t>
      </w:r>
      <w:r w:rsidRPr="00DF406D">
        <w:rPr>
          <w:sz w:val="20"/>
          <w:szCs w:val="20"/>
        </w:rPr>
        <w:t>means</w:t>
      </w:r>
      <w:r w:rsidRPr="00DF406D">
        <w:rPr>
          <w:b/>
          <w:sz w:val="20"/>
          <w:szCs w:val="20"/>
        </w:rPr>
        <w:t xml:space="preserve"> </w:t>
      </w:r>
      <w:r w:rsidRPr="00DF406D">
        <w:rPr>
          <w:sz w:val="20"/>
          <w:szCs w:val="20"/>
        </w:rPr>
        <w:t xml:space="preserve">a Representative selected by the TI Manager to perform the agreed upon Services. </w:t>
      </w:r>
    </w:p>
    <w:p w14:paraId="7095E3D5" w14:textId="77777777" w:rsidR="00B61FA0" w:rsidRPr="00DF406D" w:rsidRDefault="00B61FA0" w:rsidP="00DF406D">
      <w:pPr>
        <w:numPr>
          <w:ilvl w:val="0"/>
          <w:numId w:val="2"/>
        </w:numPr>
        <w:spacing w:after="240"/>
        <w:ind w:left="1200"/>
        <w:rPr>
          <w:b/>
          <w:sz w:val="20"/>
          <w:szCs w:val="20"/>
        </w:rPr>
      </w:pPr>
      <w:r w:rsidRPr="00DF406D">
        <w:rPr>
          <w:b/>
          <w:sz w:val="20"/>
          <w:szCs w:val="20"/>
        </w:rPr>
        <w:t xml:space="preserve">“Transaction” </w:t>
      </w:r>
      <w:r w:rsidRPr="00DF406D">
        <w:rPr>
          <w:sz w:val="20"/>
          <w:szCs w:val="20"/>
        </w:rPr>
        <w:t>means all necessary end to end tasks, activities, processes, methods, procedures, etc. – as adjusted from time to time (</w:t>
      </w:r>
      <w:proofErr w:type="spellStart"/>
      <w:r w:rsidRPr="00DF406D">
        <w:rPr>
          <w:sz w:val="20"/>
          <w:szCs w:val="20"/>
        </w:rPr>
        <w:t>i</w:t>
      </w:r>
      <w:proofErr w:type="spellEnd"/>
      <w:r w:rsidRPr="00DF406D">
        <w:rPr>
          <w:sz w:val="20"/>
          <w:szCs w:val="20"/>
        </w:rPr>
        <w:t>) by TELUS or (ii) by TI with prior Acceptance by the TELUS Manager -- to be successfully completed (as determined by the TELUS Manager) by TI in order to successfully complete and close one in-scope customer unique trouble ticket and technical trouble assistance instance, across all Services under this SOW and as validated and confirmed by the TELUS Manager.</w:t>
      </w:r>
    </w:p>
    <w:p w14:paraId="30A42804" w14:textId="77777777" w:rsidR="00C952D0" w:rsidRPr="00DF406D" w:rsidRDefault="008B0FC8" w:rsidP="00DF406D">
      <w:pPr>
        <w:spacing w:after="120"/>
        <w:ind w:left="612" w:hanging="612"/>
        <w:rPr>
          <w:b/>
          <w:smallCaps/>
          <w:sz w:val="20"/>
          <w:szCs w:val="20"/>
        </w:rPr>
      </w:pPr>
      <w:r w:rsidRPr="00DF406D">
        <w:rPr>
          <w:sz w:val="20"/>
          <w:szCs w:val="20"/>
        </w:rPr>
        <w:t>2.2</w:t>
      </w:r>
      <w:r w:rsidRPr="00DF406D">
        <w:rPr>
          <w:sz w:val="20"/>
          <w:szCs w:val="20"/>
        </w:rPr>
        <w:tab/>
        <w:t>In addition to the aforementioned definitions, the following acronyms shall also apply throughout this SOW:</w:t>
      </w:r>
    </w:p>
    <w:p w14:paraId="249FDDFF" w14:textId="77777777" w:rsidR="00C952D0" w:rsidRPr="00DF406D" w:rsidRDefault="008B0FC8" w:rsidP="00DF406D">
      <w:pPr>
        <w:ind w:left="603"/>
        <w:rPr>
          <w:i/>
          <w:sz w:val="20"/>
          <w:szCs w:val="20"/>
        </w:rPr>
      </w:pPr>
      <w:r w:rsidRPr="00DF406D">
        <w:rPr>
          <w:i/>
          <w:sz w:val="20"/>
          <w:szCs w:val="20"/>
          <w:u w:val="single"/>
        </w:rPr>
        <w:t>Table 2.2-1</w:t>
      </w:r>
      <w:r w:rsidRPr="00DF406D">
        <w:rPr>
          <w:i/>
          <w:sz w:val="20"/>
          <w:szCs w:val="20"/>
        </w:rPr>
        <w:t>: List of Acronyms</w:t>
      </w:r>
    </w:p>
    <w:p w14:paraId="2414507D" w14:textId="77777777" w:rsidR="00A37BED" w:rsidRPr="00DF406D" w:rsidRDefault="00A37BED" w:rsidP="00DF406D">
      <w:pPr>
        <w:ind w:left="603"/>
        <w:rPr>
          <w:i/>
          <w:sz w:val="20"/>
          <w:szCs w:val="20"/>
        </w:rPr>
      </w:pP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DF406D" w:rsidRPr="00DF406D" w14:paraId="5C42B2A6" w14:textId="77777777" w:rsidTr="004162A0">
        <w:trPr>
          <w:trHeight w:val="360"/>
        </w:trPr>
        <w:tc>
          <w:tcPr>
            <w:tcW w:w="2389" w:type="dxa"/>
            <w:shd w:val="clear" w:color="auto" w:fill="FFCC99"/>
            <w:vAlign w:val="center"/>
          </w:tcPr>
          <w:p w14:paraId="3A607E83" w14:textId="77777777" w:rsidR="00A37BED" w:rsidRPr="00DF406D" w:rsidRDefault="00A37BED" w:rsidP="00DF406D">
            <w:pPr>
              <w:spacing w:before="60" w:after="60"/>
              <w:jc w:val="center"/>
              <w:rPr>
                <w:b/>
                <w:color w:val="auto"/>
                <w:sz w:val="20"/>
                <w:szCs w:val="20"/>
              </w:rPr>
            </w:pPr>
            <w:r w:rsidRPr="00DF406D">
              <w:rPr>
                <w:b/>
                <w:color w:val="auto"/>
                <w:sz w:val="20"/>
                <w:szCs w:val="20"/>
              </w:rPr>
              <w:t>Acronym</w:t>
            </w:r>
          </w:p>
        </w:tc>
        <w:tc>
          <w:tcPr>
            <w:tcW w:w="6781" w:type="dxa"/>
            <w:shd w:val="clear" w:color="auto" w:fill="FFCC99"/>
            <w:vAlign w:val="center"/>
          </w:tcPr>
          <w:p w14:paraId="22E23CC9" w14:textId="77777777" w:rsidR="00A37BED" w:rsidRPr="00DF406D" w:rsidRDefault="00A37BED" w:rsidP="00DF406D">
            <w:pPr>
              <w:spacing w:before="60" w:after="60"/>
              <w:jc w:val="center"/>
              <w:rPr>
                <w:b/>
                <w:color w:val="auto"/>
                <w:sz w:val="20"/>
                <w:szCs w:val="20"/>
              </w:rPr>
            </w:pPr>
            <w:r w:rsidRPr="00DF406D">
              <w:rPr>
                <w:b/>
                <w:color w:val="auto"/>
                <w:sz w:val="20"/>
                <w:szCs w:val="20"/>
              </w:rPr>
              <w:t>Meaning</w:t>
            </w:r>
          </w:p>
        </w:tc>
      </w:tr>
      <w:tr w:rsidR="00DF406D" w:rsidRPr="00DF406D" w14:paraId="3D2AD2A0" w14:textId="77777777" w:rsidTr="004162A0">
        <w:trPr>
          <w:trHeight w:val="360"/>
        </w:trPr>
        <w:tc>
          <w:tcPr>
            <w:tcW w:w="2389" w:type="dxa"/>
            <w:vAlign w:val="center"/>
          </w:tcPr>
          <w:p w14:paraId="05CC7D06" w14:textId="23D20BDE" w:rsidR="00A37BED" w:rsidRPr="00DF406D" w:rsidRDefault="0067196D" w:rsidP="00DF406D">
            <w:pPr>
              <w:spacing w:before="60" w:after="60"/>
              <w:jc w:val="center"/>
              <w:rPr>
                <w:i/>
                <w:color w:val="auto"/>
                <w:sz w:val="20"/>
                <w:szCs w:val="20"/>
              </w:rPr>
            </w:pPr>
            <w:r w:rsidRPr="00DF406D">
              <w:rPr>
                <w:i/>
                <w:color w:val="auto"/>
                <w:sz w:val="20"/>
                <w:szCs w:val="20"/>
              </w:rPr>
              <w:t xml:space="preserve"> TBS</w:t>
            </w:r>
          </w:p>
        </w:tc>
        <w:tc>
          <w:tcPr>
            <w:tcW w:w="6781" w:type="dxa"/>
            <w:vAlign w:val="center"/>
          </w:tcPr>
          <w:p w14:paraId="10E5062E" w14:textId="4C1DF819" w:rsidR="00A37BED" w:rsidRPr="00DF406D" w:rsidRDefault="0067196D" w:rsidP="00DF406D">
            <w:pPr>
              <w:spacing w:before="60" w:after="60"/>
              <w:rPr>
                <w:i/>
                <w:color w:val="auto"/>
                <w:sz w:val="20"/>
                <w:szCs w:val="20"/>
              </w:rPr>
            </w:pPr>
            <w:r w:rsidRPr="00DF406D">
              <w:rPr>
                <w:i/>
                <w:color w:val="auto"/>
                <w:sz w:val="20"/>
                <w:szCs w:val="20"/>
              </w:rPr>
              <w:t xml:space="preserve"> TELUS Business Solutions</w:t>
            </w:r>
          </w:p>
        </w:tc>
      </w:tr>
      <w:tr w:rsidR="00DF406D" w:rsidRPr="00DF406D" w14:paraId="2FE49C33" w14:textId="77777777" w:rsidTr="004162A0">
        <w:trPr>
          <w:trHeight w:val="360"/>
        </w:trPr>
        <w:tc>
          <w:tcPr>
            <w:tcW w:w="2389" w:type="dxa"/>
            <w:vAlign w:val="center"/>
          </w:tcPr>
          <w:p w14:paraId="2EDF1BA5" w14:textId="77777777" w:rsidR="00A37BED" w:rsidRPr="00DF406D" w:rsidRDefault="00A37BED" w:rsidP="00DF406D">
            <w:pPr>
              <w:spacing w:before="60" w:after="60"/>
              <w:jc w:val="center"/>
              <w:rPr>
                <w:color w:val="auto"/>
                <w:sz w:val="20"/>
                <w:szCs w:val="20"/>
              </w:rPr>
            </w:pPr>
            <w:r w:rsidRPr="00DF406D">
              <w:rPr>
                <w:i/>
                <w:color w:val="auto"/>
                <w:sz w:val="20"/>
                <w:szCs w:val="20"/>
              </w:rPr>
              <w:t>BTO</w:t>
            </w:r>
          </w:p>
        </w:tc>
        <w:tc>
          <w:tcPr>
            <w:tcW w:w="6781" w:type="dxa"/>
            <w:vAlign w:val="center"/>
          </w:tcPr>
          <w:p w14:paraId="40344269" w14:textId="77777777" w:rsidR="00A37BED" w:rsidRPr="00DF406D" w:rsidRDefault="00A37BED" w:rsidP="00DF406D">
            <w:pPr>
              <w:spacing w:before="60" w:after="60"/>
              <w:rPr>
                <w:color w:val="auto"/>
                <w:sz w:val="20"/>
                <w:szCs w:val="20"/>
              </w:rPr>
            </w:pPr>
            <w:r w:rsidRPr="00DF406D">
              <w:rPr>
                <w:i/>
                <w:color w:val="auto"/>
                <w:sz w:val="20"/>
                <w:szCs w:val="20"/>
              </w:rPr>
              <w:t>TELUS Business Transformation &amp; Operations</w:t>
            </w:r>
          </w:p>
        </w:tc>
      </w:tr>
      <w:tr w:rsidR="00DF406D" w:rsidRPr="00DF406D" w14:paraId="0A49F0C7" w14:textId="77777777" w:rsidTr="004162A0">
        <w:trPr>
          <w:trHeight w:val="360"/>
        </w:trPr>
        <w:tc>
          <w:tcPr>
            <w:tcW w:w="2389" w:type="dxa"/>
            <w:vAlign w:val="center"/>
          </w:tcPr>
          <w:p w14:paraId="05C56095" w14:textId="77777777" w:rsidR="00A37BED" w:rsidRPr="00DF406D" w:rsidRDefault="00A37BED" w:rsidP="00DF406D">
            <w:pPr>
              <w:spacing w:before="60" w:after="60"/>
              <w:jc w:val="center"/>
              <w:rPr>
                <w:i/>
                <w:color w:val="auto"/>
                <w:sz w:val="20"/>
                <w:szCs w:val="20"/>
              </w:rPr>
            </w:pPr>
            <w:r w:rsidRPr="00DF406D">
              <w:rPr>
                <w:i/>
                <w:color w:val="auto"/>
                <w:sz w:val="20"/>
                <w:szCs w:val="20"/>
              </w:rPr>
              <w:t>CE</w:t>
            </w:r>
          </w:p>
        </w:tc>
        <w:tc>
          <w:tcPr>
            <w:tcW w:w="6781" w:type="dxa"/>
            <w:vAlign w:val="center"/>
          </w:tcPr>
          <w:p w14:paraId="0016EB35" w14:textId="77777777" w:rsidR="00A37BED" w:rsidRPr="00DF406D" w:rsidRDefault="00A37BED" w:rsidP="00DF406D">
            <w:pPr>
              <w:spacing w:before="60" w:after="60"/>
              <w:rPr>
                <w:i/>
                <w:color w:val="auto"/>
                <w:sz w:val="20"/>
                <w:szCs w:val="20"/>
              </w:rPr>
            </w:pPr>
            <w:r w:rsidRPr="00DF406D">
              <w:rPr>
                <w:i/>
                <w:color w:val="auto"/>
                <w:sz w:val="20"/>
                <w:szCs w:val="20"/>
              </w:rPr>
              <w:t>TELUS Client Experience</w:t>
            </w:r>
          </w:p>
        </w:tc>
      </w:tr>
      <w:tr w:rsidR="00DF406D" w:rsidRPr="00DF406D" w14:paraId="734B035D" w14:textId="77777777" w:rsidTr="004162A0">
        <w:trPr>
          <w:trHeight w:val="360"/>
        </w:trPr>
        <w:tc>
          <w:tcPr>
            <w:tcW w:w="2389" w:type="dxa"/>
            <w:vAlign w:val="center"/>
          </w:tcPr>
          <w:p w14:paraId="51A6AF53" w14:textId="77777777" w:rsidR="00A37BED" w:rsidRPr="00DF406D" w:rsidRDefault="00A37BED" w:rsidP="00DF406D">
            <w:pPr>
              <w:spacing w:before="60" w:after="60"/>
              <w:jc w:val="center"/>
              <w:rPr>
                <w:i/>
                <w:color w:val="auto"/>
                <w:sz w:val="20"/>
                <w:szCs w:val="20"/>
              </w:rPr>
            </w:pPr>
            <w:r w:rsidRPr="00DF406D">
              <w:rPr>
                <w:i/>
                <w:color w:val="auto"/>
                <w:sz w:val="20"/>
                <w:szCs w:val="20"/>
              </w:rPr>
              <w:t>D&amp;S</w:t>
            </w:r>
          </w:p>
        </w:tc>
        <w:tc>
          <w:tcPr>
            <w:tcW w:w="6781" w:type="dxa"/>
            <w:vAlign w:val="center"/>
          </w:tcPr>
          <w:p w14:paraId="02A0F105" w14:textId="77777777" w:rsidR="00A37BED" w:rsidRPr="00DF406D" w:rsidRDefault="00A37BED" w:rsidP="00DF406D">
            <w:pPr>
              <w:spacing w:before="60" w:after="60"/>
              <w:rPr>
                <w:i/>
                <w:color w:val="auto"/>
                <w:sz w:val="20"/>
                <w:szCs w:val="20"/>
              </w:rPr>
            </w:pPr>
            <w:r w:rsidRPr="00DF406D">
              <w:rPr>
                <w:i/>
                <w:color w:val="auto"/>
                <w:sz w:val="20"/>
                <w:szCs w:val="20"/>
              </w:rPr>
              <w:t>Development and Support</w:t>
            </w:r>
          </w:p>
        </w:tc>
      </w:tr>
      <w:tr w:rsidR="00DF406D" w:rsidRPr="00DF406D" w14:paraId="7B5B25AC" w14:textId="77777777" w:rsidTr="004162A0">
        <w:trPr>
          <w:trHeight w:val="360"/>
        </w:trPr>
        <w:tc>
          <w:tcPr>
            <w:tcW w:w="2389" w:type="dxa"/>
            <w:vAlign w:val="center"/>
          </w:tcPr>
          <w:p w14:paraId="1FCCE99F" w14:textId="77777777" w:rsidR="00A37BED" w:rsidRPr="00DF406D" w:rsidRDefault="00A37BED" w:rsidP="00DF406D">
            <w:pPr>
              <w:spacing w:before="60" w:after="60"/>
              <w:jc w:val="center"/>
              <w:rPr>
                <w:i/>
                <w:color w:val="auto"/>
                <w:sz w:val="20"/>
                <w:szCs w:val="20"/>
              </w:rPr>
            </w:pPr>
            <w:r w:rsidRPr="00DF406D">
              <w:rPr>
                <w:i/>
                <w:color w:val="auto"/>
                <w:sz w:val="20"/>
                <w:szCs w:val="20"/>
              </w:rPr>
              <w:t>MITS</w:t>
            </w:r>
          </w:p>
        </w:tc>
        <w:tc>
          <w:tcPr>
            <w:tcW w:w="6781" w:type="dxa"/>
            <w:vAlign w:val="center"/>
          </w:tcPr>
          <w:p w14:paraId="132B3349" w14:textId="77777777" w:rsidR="00A37BED" w:rsidRPr="00DF406D" w:rsidRDefault="00A37BED" w:rsidP="00DF406D">
            <w:pPr>
              <w:spacing w:before="60" w:after="60"/>
              <w:rPr>
                <w:i/>
                <w:color w:val="auto"/>
                <w:sz w:val="20"/>
                <w:szCs w:val="20"/>
              </w:rPr>
            </w:pPr>
            <w:r w:rsidRPr="00DF406D">
              <w:rPr>
                <w:i/>
                <w:color w:val="auto"/>
                <w:sz w:val="20"/>
                <w:szCs w:val="20"/>
              </w:rPr>
              <w:t>Managed IT Services</w:t>
            </w:r>
          </w:p>
        </w:tc>
      </w:tr>
      <w:tr w:rsidR="00DF406D" w:rsidRPr="00DF406D" w14:paraId="7291EC21" w14:textId="77777777" w:rsidTr="004162A0">
        <w:trPr>
          <w:trHeight w:val="360"/>
        </w:trPr>
        <w:tc>
          <w:tcPr>
            <w:tcW w:w="2389" w:type="dxa"/>
            <w:vAlign w:val="center"/>
          </w:tcPr>
          <w:p w14:paraId="72C1337D" w14:textId="77777777" w:rsidR="00A37BED" w:rsidRPr="00DF406D" w:rsidRDefault="00A37BED" w:rsidP="00DF406D">
            <w:pPr>
              <w:spacing w:before="60" w:after="60"/>
              <w:jc w:val="center"/>
              <w:rPr>
                <w:i/>
                <w:color w:val="auto"/>
                <w:sz w:val="20"/>
                <w:szCs w:val="20"/>
              </w:rPr>
            </w:pPr>
            <w:r w:rsidRPr="00DF406D">
              <w:rPr>
                <w:i/>
                <w:color w:val="auto"/>
                <w:sz w:val="20"/>
                <w:szCs w:val="20"/>
              </w:rPr>
              <w:t>TIC</w:t>
            </w:r>
          </w:p>
        </w:tc>
        <w:tc>
          <w:tcPr>
            <w:tcW w:w="6781" w:type="dxa"/>
            <w:vAlign w:val="center"/>
          </w:tcPr>
          <w:p w14:paraId="78E133EC" w14:textId="77777777" w:rsidR="00A37BED" w:rsidRPr="00DF406D" w:rsidRDefault="00A37BED" w:rsidP="00DF406D">
            <w:pPr>
              <w:spacing w:before="60" w:after="60"/>
              <w:rPr>
                <w:i/>
                <w:color w:val="auto"/>
                <w:sz w:val="20"/>
                <w:szCs w:val="20"/>
              </w:rPr>
            </w:pPr>
            <w:r w:rsidRPr="00DF406D">
              <w:rPr>
                <w:i/>
                <w:color w:val="auto"/>
                <w:sz w:val="20"/>
                <w:szCs w:val="20"/>
              </w:rPr>
              <w:t>TI Canada</w:t>
            </w:r>
          </w:p>
        </w:tc>
      </w:tr>
      <w:tr w:rsidR="00DF406D" w:rsidRPr="00DF406D" w14:paraId="2A999184" w14:textId="77777777" w:rsidTr="004162A0">
        <w:trPr>
          <w:trHeight w:val="360"/>
        </w:trPr>
        <w:tc>
          <w:tcPr>
            <w:tcW w:w="2389" w:type="dxa"/>
            <w:vAlign w:val="center"/>
          </w:tcPr>
          <w:p w14:paraId="631C9084" w14:textId="77777777" w:rsidR="00A37BED" w:rsidRPr="00DF406D" w:rsidRDefault="00A37BED" w:rsidP="00DF406D">
            <w:pPr>
              <w:spacing w:before="60" w:after="60"/>
              <w:jc w:val="center"/>
              <w:rPr>
                <w:i/>
                <w:color w:val="auto"/>
                <w:sz w:val="20"/>
                <w:szCs w:val="20"/>
              </w:rPr>
            </w:pPr>
            <w:r w:rsidRPr="00DF406D">
              <w:rPr>
                <w:i/>
                <w:color w:val="auto"/>
                <w:sz w:val="20"/>
                <w:szCs w:val="20"/>
              </w:rPr>
              <w:t>TICA</w:t>
            </w:r>
          </w:p>
        </w:tc>
        <w:tc>
          <w:tcPr>
            <w:tcW w:w="6781" w:type="dxa"/>
            <w:vAlign w:val="center"/>
          </w:tcPr>
          <w:p w14:paraId="59E112C2" w14:textId="77777777" w:rsidR="00A37BED" w:rsidRPr="00DF406D" w:rsidRDefault="00A37BED" w:rsidP="00DF406D">
            <w:pPr>
              <w:spacing w:before="60" w:after="60"/>
              <w:rPr>
                <w:i/>
                <w:color w:val="auto"/>
                <w:sz w:val="20"/>
                <w:szCs w:val="20"/>
              </w:rPr>
            </w:pPr>
            <w:r w:rsidRPr="00DF406D">
              <w:rPr>
                <w:i/>
                <w:color w:val="auto"/>
                <w:sz w:val="20"/>
                <w:szCs w:val="20"/>
              </w:rPr>
              <w:t>TI Central America</w:t>
            </w:r>
          </w:p>
        </w:tc>
      </w:tr>
      <w:tr w:rsidR="00DF406D" w:rsidRPr="00DF406D" w14:paraId="0D948CCA" w14:textId="77777777" w:rsidTr="004162A0">
        <w:trPr>
          <w:trHeight w:val="360"/>
        </w:trPr>
        <w:tc>
          <w:tcPr>
            <w:tcW w:w="2389" w:type="dxa"/>
            <w:vAlign w:val="center"/>
          </w:tcPr>
          <w:p w14:paraId="60704427" w14:textId="77777777" w:rsidR="00A37BED" w:rsidRPr="00DF406D" w:rsidRDefault="00A37BED" w:rsidP="00DF406D">
            <w:pPr>
              <w:spacing w:before="60" w:after="60"/>
              <w:jc w:val="center"/>
              <w:rPr>
                <w:i/>
                <w:color w:val="auto"/>
                <w:sz w:val="20"/>
                <w:szCs w:val="20"/>
              </w:rPr>
            </w:pPr>
            <w:r w:rsidRPr="00DF406D">
              <w:rPr>
                <w:i/>
                <w:color w:val="auto"/>
                <w:sz w:val="20"/>
                <w:szCs w:val="20"/>
              </w:rPr>
              <w:t>TIE</w:t>
            </w:r>
          </w:p>
        </w:tc>
        <w:tc>
          <w:tcPr>
            <w:tcW w:w="6781" w:type="dxa"/>
            <w:vAlign w:val="center"/>
          </w:tcPr>
          <w:p w14:paraId="4DF365C8" w14:textId="77777777" w:rsidR="00A37BED" w:rsidRPr="00DF406D" w:rsidRDefault="00A37BED" w:rsidP="00DF406D">
            <w:pPr>
              <w:spacing w:before="60" w:after="60"/>
              <w:rPr>
                <w:i/>
                <w:color w:val="auto"/>
                <w:sz w:val="20"/>
                <w:szCs w:val="20"/>
              </w:rPr>
            </w:pPr>
            <w:r w:rsidRPr="00DF406D">
              <w:rPr>
                <w:i/>
                <w:color w:val="auto"/>
                <w:sz w:val="20"/>
                <w:szCs w:val="20"/>
              </w:rPr>
              <w:t>TI Europe</w:t>
            </w:r>
          </w:p>
        </w:tc>
      </w:tr>
      <w:tr w:rsidR="00A37BED" w:rsidRPr="00DF406D" w14:paraId="0F72DE3A" w14:textId="77777777" w:rsidTr="004162A0">
        <w:trPr>
          <w:trHeight w:val="360"/>
        </w:trPr>
        <w:tc>
          <w:tcPr>
            <w:tcW w:w="2389" w:type="dxa"/>
            <w:vAlign w:val="center"/>
          </w:tcPr>
          <w:p w14:paraId="16E9E0C6" w14:textId="77777777" w:rsidR="00A37BED" w:rsidRPr="00DF406D" w:rsidRDefault="00A37BED" w:rsidP="00DF406D">
            <w:pPr>
              <w:spacing w:before="60" w:after="60"/>
              <w:jc w:val="center"/>
              <w:rPr>
                <w:i/>
                <w:color w:val="auto"/>
                <w:sz w:val="20"/>
                <w:szCs w:val="20"/>
              </w:rPr>
            </w:pPr>
            <w:r w:rsidRPr="00DF406D">
              <w:rPr>
                <w:i/>
                <w:color w:val="auto"/>
                <w:sz w:val="20"/>
                <w:szCs w:val="20"/>
              </w:rPr>
              <w:t>TS</w:t>
            </w:r>
          </w:p>
        </w:tc>
        <w:tc>
          <w:tcPr>
            <w:tcW w:w="6781" w:type="dxa"/>
            <w:vAlign w:val="center"/>
          </w:tcPr>
          <w:p w14:paraId="2560D908" w14:textId="77777777" w:rsidR="00A37BED" w:rsidRPr="00DF406D" w:rsidRDefault="00A37BED" w:rsidP="00DF406D">
            <w:pPr>
              <w:spacing w:before="60" w:after="60"/>
              <w:rPr>
                <w:i/>
                <w:color w:val="auto"/>
                <w:sz w:val="20"/>
                <w:szCs w:val="20"/>
              </w:rPr>
            </w:pPr>
            <w:r w:rsidRPr="00DF406D">
              <w:rPr>
                <w:i/>
                <w:color w:val="auto"/>
                <w:sz w:val="20"/>
                <w:szCs w:val="20"/>
              </w:rPr>
              <w:t>TELUS Technology Strategy</w:t>
            </w:r>
          </w:p>
        </w:tc>
      </w:tr>
    </w:tbl>
    <w:p w14:paraId="44C41423" w14:textId="77777777" w:rsidR="00A37BED" w:rsidRPr="00DF406D" w:rsidRDefault="00A37BED" w:rsidP="00DF406D">
      <w:pPr>
        <w:ind w:left="603"/>
        <w:rPr>
          <w:sz w:val="20"/>
          <w:szCs w:val="20"/>
        </w:rPr>
      </w:pPr>
    </w:p>
    <w:p w14:paraId="31455DFB" w14:textId="77777777" w:rsidR="00C952D0" w:rsidRPr="00DF406D" w:rsidRDefault="00C952D0" w:rsidP="00DF406D">
      <w:pPr>
        <w:ind w:left="603"/>
        <w:rPr>
          <w:sz w:val="20"/>
          <w:szCs w:val="20"/>
        </w:rPr>
      </w:pPr>
    </w:p>
    <w:p w14:paraId="4D3322CD" w14:textId="77777777" w:rsidR="00C952D0" w:rsidRPr="00DF406D" w:rsidRDefault="008B0FC8" w:rsidP="00DF406D">
      <w:pPr>
        <w:spacing w:before="120" w:after="120"/>
        <w:rPr>
          <w:b/>
          <w:smallCaps/>
          <w:sz w:val="20"/>
          <w:szCs w:val="20"/>
        </w:rPr>
      </w:pPr>
      <w:r w:rsidRPr="00DF406D">
        <w:rPr>
          <w:b/>
          <w:smallCaps/>
          <w:sz w:val="20"/>
          <w:szCs w:val="20"/>
        </w:rPr>
        <w:t>3.0</w:t>
      </w:r>
      <w:r w:rsidRPr="00DF406D">
        <w:rPr>
          <w:b/>
          <w:smallCaps/>
          <w:sz w:val="20"/>
          <w:szCs w:val="20"/>
        </w:rPr>
        <w:tab/>
        <w:t>Services</w:t>
      </w:r>
    </w:p>
    <w:p w14:paraId="3DCAEA4A" w14:textId="77777777" w:rsidR="00C952D0" w:rsidRPr="00DF406D" w:rsidRDefault="008B0FC8" w:rsidP="00DF406D">
      <w:pPr>
        <w:spacing w:after="120"/>
        <w:ind w:left="630" w:hanging="630"/>
        <w:rPr>
          <w:sz w:val="20"/>
          <w:szCs w:val="20"/>
        </w:rPr>
      </w:pPr>
      <w:r w:rsidRPr="00DF406D">
        <w:rPr>
          <w:sz w:val="20"/>
          <w:szCs w:val="20"/>
        </w:rPr>
        <w:t>3.1</w:t>
      </w:r>
      <w:r w:rsidRPr="00DF406D">
        <w:rPr>
          <w:sz w:val="20"/>
          <w:szCs w:val="20"/>
        </w:rPr>
        <w:tab/>
        <w:t xml:space="preserve">Subject to the Agreement, the SOW-specific scope of Services shall include the following: </w:t>
      </w:r>
    </w:p>
    <w:p w14:paraId="2C8AEE3A" w14:textId="77777777" w:rsidR="00487C22" w:rsidRPr="00DF406D" w:rsidRDefault="00487C22" w:rsidP="00DF406D">
      <w:pPr>
        <w:spacing w:after="120"/>
        <w:ind w:left="630" w:hanging="27"/>
        <w:rPr>
          <w:b/>
          <w:sz w:val="20"/>
          <w:szCs w:val="20"/>
        </w:rPr>
      </w:pPr>
      <w:r w:rsidRPr="00DF406D">
        <w:rPr>
          <w:b/>
          <w:sz w:val="20"/>
          <w:szCs w:val="20"/>
        </w:rPr>
        <w:t>Scope of Work</w:t>
      </w:r>
    </w:p>
    <w:p w14:paraId="68E1FCA3" w14:textId="77777777" w:rsidR="00487C22" w:rsidRPr="00DF406D" w:rsidRDefault="00487C22" w:rsidP="00DF406D">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after="120"/>
        <w:rPr>
          <w:color w:val="auto"/>
          <w:sz w:val="20"/>
        </w:rPr>
      </w:pPr>
      <w:r w:rsidRPr="00DF406D">
        <w:rPr>
          <w:color w:val="auto"/>
          <w:sz w:val="20"/>
        </w:rPr>
        <w:t>Wholesale</w:t>
      </w:r>
    </w:p>
    <w:p w14:paraId="40A5E3B0" w14:textId="77777777" w:rsidR="00487C22" w:rsidRPr="00DF406D" w:rsidRDefault="00487C22" w:rsidP="00DF406D">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spacing w:after="120"/>
        <w:rPr>
          <w:color w:val="auto"/>
          <w:sz w:val="20"/>
        </w:rPr>
      </w:pPr>
      <w:r w:rsidRPr="00DF406D">
        <w:rPr>
          <w:color w:val="auto"/>
          <w:sz w:val="20"/>
        </w:rPr>
        <w:lastRenderedPageBreak/>
        <w:t>Responsible to resolving Wholesale DSL Targets may first test the DSL service using TELUS systems and tools. The outcome of this test activity will indicate whether the DSL customer is in service or that there is a network related problem that requires the dispatch of a Field Technician Team. Tickets are made in web Lynx.</w:t>
      </w:r>
    </w:p>
    <w:p w14:paraId="371CB50C" w14:textId="77777777" w:rsidR="00487C22" w:rsidRPr="00DF406D" w:rsidRDefault="00487C22" w:rsidP="00DF406D">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after="120"/>
        <w:rPr>
          <w:color w:val="auto"/>
          <w:sz w:val="20"/>
        </w:rPr>
      </w:pPr>
      <w:r w:rsidRPr="00DF406D">
        <w:rPr>
          <w:color w:val="auto"/>
          <w:sz w:val="20"/>
        </w:rPr>
        <w:t>Provisioning</w:t>
      </w:r>
    </w:p>
    <w:p w14:paraId="635A6C97" w14:textId="77777777" w:rsidR="00487C22" w:rsidRPr="00DF406D" w:rsidRDefault="00487C22" w:rsidP="00DF406D">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spacing w:after="120"/>
        <w:rPr>
          <w:color w:val="auto"/>
          <w:sz w:val="20"/>
        </w:rPr>
      </w:pPr>
      <w:r w:rsidRPr="00DF406D">
        <w:rPr>
          <w:color w:val="auto"/>
          <w:sz w:val="20"/>
        </w:rPr>
        <w:t>Team members assigned to support Provisioning Targets will modify and process these Fallout Orders no later than the same day they are received to ensure their availability within their documented due date.</w:t>
      </w:r>
    </w:p>
    <w:p w14:paraId="1F04D7E4" w14:textId="77777777" w:rsidR="00487C22" w:rsidRPr="00DF406D" w:rsidRDefault="00487C22" w:rsidP="00DF406D">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after="120"/>
        <w:rPr>
          <w:color w:val="auto"/>
          <w:sz w:val="20"/>
        </w:rPr>
      </w:pPr>
      <w:r w:rsidRPr="00DF406D">
        <w:rPr>
          <w:color w:val="auto"/>
          <w:sz w:val="20"/>
        </w:rPr>
        <w:t>TAM Test and Accept Management tool</w:t>
      </w:r>
    </w:p>
    <w:p w14:paraId="17DB030C" w14:textId="25BE4978" w:rsidR="00487C22" w:rsidRPr="00DF406D" w:rsidRDefault="00487C22" w:rsidP="00DF406D">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spacing w:after="120"/>
        <w:rPr>
          <w:color w:val="auto"/>
          <w:sz w:val="20"/>
        </w:rPr>
      </w:pPr>
      <w:r w:rsidRPr="00DF406D">
        <w:rPr>
          <w:color w:val="auto"/>
          <w:sz w:val="20"/>
        </w:rPr>
        <w:t>TA</w:t>
      </w:r>
      <w:r w:rsidR="001847FD" w:rsidRPr="00DF406D">
        <w:rPr>
          <w:color w:val="auto"/>
          <w:sz w:val="20"/>
        </w:rPr>
        <w:t>M</w:t>
      </w:r>
      <w:r w:rsidRPr="00DF406D">
        <w:rPr>
          <w:color w:val="auto"/>
          <w:sz w:val="20"/>
        </w:rPr>
        <w:t xml:space="preserve"> technicians work &amp; test TELUS Managed devices (Carrier Ethernet Services Phase 3). Checking the connectivity to the device and complete the order by testing with the customer as mentioned in the order, which have been installed on the site before they are given over to customer for use. Responsible for Out/Change/New Services field tech on site, plugs in the router, calls CSA to verify everything is good.</w:t>
      </w:r>
    </w:p>
    <w:p w14:paraId="4810A632" w14:textId="77777777" w:rsidR="00487C22" w:rsidRPr="00DF406D" w:rsidRDefault="00487C22" w:rsidP="00DF406D">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after="120"/>
        <w:rPr>
          <w:color w:val="auto"/>
          <w:sz w:val="20"/>
        </w:rPr>
      </w:pPr>
      <w:r w:rsidRPr="00DF406D">
        <w:rPr>
          <w:color w:val="auto"/>
          <w:sz w:val="20"/>
        </w:rPr>
        <w:t>Out Order</w:t>
      </w:r>
    </w:p>
    <w:p w14:paraId="41C4A6E7" w14:textId="77777777" w:rsidR="00487C22" w:rsidRPr="00DF406D" w:rsidRDefault="00487C22" w:rsidP="00DF406D">
      <w:pPr>
        <w:pStyle w:val="ListParagraph"/>
        <w:numPr>
          <w:ilvl w:val="1"/>
          <w:numId w:val="38"/>
        </w:numPr>
        <w:pBdr>
          <w:top w:val="none" w:sz="0" w:space="0" w:color="auto"/>
          <w:left w:val="none" w:sz="0" w:space="0" w:color="auto"/>
          <w:bottom w:val="none" w:sz="0" w:space="0" w:color="auto"/>
          <w:right w:val="none" w:sz="0" w:space="0" w:color="auto"/>
          <w:between w:val="none" w:sz="0" w:space="0" w:color="auto"/>
        </w:pBdr>
        <w:spacing w:after="120"/>
        <w:rPr>
          <w:color w:val="auto"/>
          <w:sz w:val="20"/>
        </w:rPr>
      </w:pPr>
      <w:r w:rsidRPr="00DF406D">
        <w:rPr>
          <w:color w:val="auto"/>
          <w:sz w:val="20"/>
        </w:rPr>
        <w:t>Out order is created in C-tool &amp; Fox automatically</w:t>
      </w:r>
    </w:p>
    <w:p w14:paraId="3043C47C" w14:textId="77777777" w:rsidR="00C952D0" w:rsidRPr="00DF406D" w:rsidRDefault="008B0FC8" w:rsidP="00DF406D">
      <w:pPr>
        <w:spacing w:after="120"/>
        <w:ind w:left="603" w:hanging="603"/>
        <w:rPr>
          <w:sz w:val="20"/>
          <w:szCs w:val="20"/>
        </w:rPr>
      </w:pPr>
      <w:r w:rsidRPr="00DF406D">
        <w:rPr>
          <w:sz w:val="20"/>
          <w:szCs w:val="20"/>
        </w:rPr>
        <w:t>3.2</w:t>
      </w:r>
      <w:r w:rsidRPr="00DF406D">
        <w:rPr>
          <w:sz w:val="20"/>
          <w:szCs w:val="20"/>
        </w:rPr>
        <w:tab/>
        <w:t xml:space="preserve">The following activities and items are specifically excluded from the scope of Services under this SOW: </w:t>
      </w:r>
      <w:r w:rsidR="003C743E" w:rsidRPr="00DF406D">
        <w:rPr>
          <w:i/>
          <w:sz w:val="20"/>
          <w:szCs w:val="20"/>
        </w:rPr>
        <w:t>NA</w:t>
      </w:r>
    </w:p>
    <w:p w14:paraId="32D59759" w14:textId="77777777" w:rsidR="00C952D0" w:rsidRPr="00DF406D" w:rsidRDefault="00C952D0" w:rsidP="00DF406D">
      <w:pPr>
        <w:rPr>
          <w:b/>
          <w:smallCaps/>
          <w:sz w:val="20"/>
          <w:szCs w:val="20"/>
        </w:rPr>
      </w:pPr>
    </w:p>
    <w:p w14:paraId="471C040E" w14:textId="77777777" w:rsidR="00C952D0" w:rsidRPr="00DF406D" w:rsidRDefault="008B0FC8" w:rsidP="00DF406D">
      <w:pPr>
        <w:numPr>
          <w:ilvl w:val="0"/>
          <w:numId w:val="8"/>
        </w:numPr>
        <w:spacing w:before="120"/>
        <w:ind w:left="630" w:hanging="630"/>
        <w:rPr>
          <w:b/>
          <w:smallCaps/>
          <w:sz w:val="20"/>
          <w:szCs w:val="20"/>
        </w:rPr>
      </w:pPr>
      <w:r w:rsidRPr="00DF406D">
        <w:rPr>
          <w:b/>
          <w:smallCaps/>
          <w:sz w:val="20"/>
          <w:szCs w:val="20"/>
        </w:rPr>
        <w:t>Term and Schedule</w:t>
      </w:r>
    </w:p>
    <w:p w14:paraId="18D454F2" w14:textId="2FCF2A8C" w:rsidR="00C952D0" w:rsidRPr="00DF406D" w:rsidRDefault="008B0FC8" w:rsidP="00DF406D">
      <w:pPr>
        <w:numPr>
          <w:ilvl w:val="1"/>
          <w:numId w:val="8"/>
        </w:numPr>
        <w:spacing w:before="120"/>
        <w:ind w:left="605" w:hanging="600"/>
        <w:rPr>
          <w:sz w:val="20"/>
          <w:szCs w:val="20"/>
        </w:rPr>
      </w:pPr>
      <w:r w:rsidRPr="00DF406D">
        <w:rPr>
          <w:sz w:val="20"/>
          <w:szCs w:val="20"/>
        </w:rPr>
        <w:t xml:space="preserve">This Statement of Work shall commence on </w:t>
      </w:r>
      <w:r w:rsidR="00A77487" w:rsidRPr="00DF406D">
        <w:rPr>
          <w:i/>
          <w:sz w:val="20"/>
          <w:szCs w:val="20"/>
        </w:rPr>
        <w:t>June 24 2019</w:t>
      </w:r>
      <w:r w:rsidR="003C743E" w:rsidRPr="00DF406D">
        <w:rPr>
          <w:sz w:val="20"/>
          <w:szCs w:val="20"/>
        </w:rPr>
        <w:t xml:space="preserve"> </w:t>
      </w:r>
      <w:r w:rsidRPr="00DF406D">
        <w:rPr>
          <w:sz w:val="20"/>
          <w:szCs w:val="20"/>
        </w:rPr>
        <w:t>(“</w:t>
      </w:r>
      <w:r w:rsidRPr="00DF406D">
        <w:rPr>
          <w:b/>
          <w:sz w:val="20"/>
          <w:szCs w:val="20"/>
        </w:rPr>
        <w:t>SOW Start Date</w:t>
      </w:r>
      <w:r w:rsidRPr="00DF406D">
        <w:rPr>
          <w:sz w:val="20"/>
          <w:szCs w:val="20"/>
        </w:rPr>
        <w:t xml:space="preserve">”) and shall end on the later of </w:t>
      </w:r>
      <w:r w:rsidR="00082919" w:rsidRPr="00DF406D">
        <w:rPr>
          <w:sz w:val="20"/>
          <w:szCs w:val="20"/>
        </w:rPr>
        <w:t>June 23</w:t>
      </w:r>
      <w:r w:rsidR="00A77487" w:rsidRPr="00DF406D">
        <w:rPr>
          <w:sz w:val="20"/>
          <w:szCs w:val="20"/>
        </w:rPr>
        <w:t xml:space="preserve"> 202</w:t>
      </w:r>
      <w:r w:rsidR="00E75688" w:rsidRPr="00DF406D">
        <w:rPr>
          <w:sz w:val="20"/>
          <w:szCs w:val="20"/>
        </w:rPr>
        <w:t>4</w:t>
      </w:r>
      <w:r w:rsidR="003C743E" w:rsidRPr="00DF406D">
        <w:rPr>
          <w:sz w:val="20"/>
          <w:szCs w:val="20"/>
        </w:rPr>
        <w:t xml:space="preserve"> </w:t>
      </w:r>
      <w:r w:rsidRPr="00DF406D">
        <w:rPr>
          <w:sz w:val="20"/>
          <w:szCs w:val="20"/>
        </w:rPr>
        <w:t>(“</w:t>
      </w:r>
      <w:r w:rsidRPr="00DF406D">
        <w:rPr>
          <w:b/>
          <w:sz w:val="20"/>
          <w:szCs w:val="20"/>
        </w:rPr>
        <w:t>SOW End Date</w:t>
      </w:r>
      <w:r w:rsidRPr="00DF406D">
        <w:rPr>
          <w:sz w:val="20"/>
          <w:szCs w:val="20"/>
        </w:rPr>
        <w:t>”) and the date on which both of the following have occurred: (</w:t>
      </w:r>
      <w:proofErr w:type="spellStart"/>
      <w:r w:rsidRPr="00DF406D">
        <w:rPr>
          <w:sz w:val="20"/>
          <w:szCs w:val="20"/>
        </w:rPr>
        <w:t>i</w:t>
      </w:r>
      <w:proofErr w:type="spellEnd"/>
      <w:r w:rsidRPr="00DF406D">
        <w:rPr>
          <w:sz w:val="20"/>
          <w:szCs w:val="20"/>
        </w:rPr>
        <w:t>) TELUS has accepted all of TI’s required Deliverables for which Acceptance Criteria have been set out in this SOW, and (ii) TI has delivered to TELUS all Deliverables for which Acceptance Criteria have not been set out in this SOW, with the period from SOW Start Date to SOW End Date referred to as (“</w:t>
      </w:r>
      <w:r w:rsidRPr="00DF406D">
        <w:rPr>
          <w:b/>
          <w:sz w:val="20"/>
          <w:szCs w:val="20"/>
        </w:rPr>
        <w:t>SOW Term</w:t>
      </w:r>
      <w:r w:rsidRPr="00DF406D">
        <w:rPr>
          <w:sz w:val="20"/>
          <w:szCs w:val="20"/>
        </w:rPr>
        <w:t>”), unless terminated earlier in accordance with the Agreement.</w:t>
      </w:r>
    </w:p>
    <w:p w14:paraId="24CB82CF" w14:textId="77777777" w:rsidR="004F1687" w:rsidRPr="00DF406D" w:rsidRDefault="004F1687" w:rsidP="00DF406D">
      <w:pPr>
        <w:numPr>
          <w:ilvl w:val="1"/>
          <w:numId w:val="8"/>
        </w:numPr>
        <w:spacing w:before="120"/>
        <w:ind w:left="605" w:hanging="600"/>
        <w:rPr>
          <w:sz w:val="20"/>
          <w:szCs w:val="20"/>
        </w:rPr>
      </w:pPr>
      <w:r w:rsidRPr="00DF406D">
        <w:rPr>
          <w:sz w:val="20"/>
          <w:szCs w:val="20"/>
        </w:rPr>
        <w:t>The schedule is as follows:</w:t>
      </w:r>
    </w:p>
    <w:p w14:paraId="2E661033" w14:textId="77777777" w:rsidR="00C74361" w:rsidRPr="00DF406D" w:rsidRDefault="00C74361" w:rsidP="00DF406D">
      <w:pPr>
        <w:spacing w:before="120"/>
        <w:rPr>
          <w:sz w:val="20"/>
          <w:szCs w:val="20"/>
        </w:rPr>
      </w:pPr>
    </w:p>
    <w:tbl>
      <w:tblPr>
        <w:tblW w:w="5000" w:type="pct"/>
        <w:tblCellMar>
          <w:left w:w="0" w:type="dxa"/>
          <w:right w:w="0" w:type="dxa"/>
        </w:tblCellMar>
        <w:tblLook w:val="04A0" w:firstRow="1" w:lastRow="0" w:firstColumn="1" w:lastColumn="0" w:noHBand="0" w:noVBand="1"/>
      </w:tblPr>
      <w:tblGrid>
        <w:gridCol w:w="3220"/>
        <w:gridCol w:w="3219"/>
        <w:gridCol w:w="2901"/>
      </w:tblGrid>
      <w:tr w:rsidR="00DF406D" w:rsidRPr="00DF406D" w14:paraId="1DDE8053" w14:textId="77777777" w:rsidTr="00C74361">
        <w:trPr>
          <w:trHeight w:val="525"/>
        </w:trPr>
        <w:tc>
          <w:tcPr>
            <w:tcW w:w="1724" w:type="pct"/>
            <w:tcBorders>
              <w:top w:val="single" w:sz="8" w:space="0" w:color="000000"/>
              <w:left w:val="single" w:sz="8" w:space="0" w:color="000000"/>
              <w:bottom w:val="single" w:sz="8" w:space="0" w:color="000000"/>
              <w:right w:val="single" w:sz="8" w:space="0" w:color="000000"/>
            </w:tcBorders>
            <w:shd w:val="clear" w:color="auto" w:fill="FFCC99"/>
            <w:tcMar>
              <w:top w:w="0" w:type="dxa"/>
              <w:left w:w="108" w:type="dxa"/>
              <w:bottom w:w="0" w:type="dxa"/>
              <w:right w:w="108" w:type="dxa"/>
            </w:tcMar>
            <w:vAlign w:val="center"/>
            <w:hideMark/>
          </w:tcPr>
          <w:p w14:paraId="1C883591" w14:textId="77777777" w:rsidR="00C74361" w:rsidRPr="00DF406D" w:rsidRDefault="00C74361" w:rsidP="00DF406D">
            <w:pPr>
              <w:jc w:val="center"/>
              <w:rPr>
                <w:b/>
                <w:bCs/>
                <w:sz w:val="20"/>
                <w:szCs w:val="20"/>
              </w:rPr>
            </w:pPr>
            <w:r w:rsidRPr="00DF406D">
              <w:rPr>
                <w:b/>
                <w:bCs/>
                <w:sz w:val="20"/>
                <w:szCs w:val="20"/>
              </w:rPr>
              <w:t>Project Phase</w:t>
            </w:r>
          </w:p>
        </w:tc>
        <w:tc>
          <w:tcPr>
            <w:tcW w:w="1723" w:type="pct"/>
            <w:tcBorders>
              <w:top w:val="single" w:sz="8" w:space="0" w:color="000000"/>
              <w:left w:val="nil"/>
              <w:bottom w:val="single" w:sz="8" w:space="0" w:color="000000"/>
              <w:right w:val="single" w:sz="8" w:space="0" w:color="000000"/>
            </w:tcBorders>
            <w:shd w:val="clear" w:color="auto" w:fill="FFCC99"/>
            <w:tcMar>
              <w:top w:w="0" w:type="dxa"/>
              <w:left w:w="108" w:type="dxa"/>
              <w:bottom w:w="0" w:type="dxa"/>
              <w:right w:w="108" w:type="dxa"/>
            </w:tcMar>
            <w:vAlign w:val="center"/>
            <w:hideMark/>
          </w:tcPr>
          <w:p w14:paraId="307BC8A1" w14:textId="77777777" w:rsidR="00C74361" w:rsidRPr="00DF406D" w:rsidRDefault="00C74361" w:rsidP="00DF406D">
            <w:pPr>
              <w:jc w:val="center"/>
              <w:rPr>
                <w:b/>
                <w:bCs/>
                <w:sz w:val="20"/>
                <w:szCs w:val="20"/>
              </w:rPr>
            </w:pPr>
            <w:r w:rsidRPr="00DF406D">
              <w:rPr>
                <w:b/>
                <w:bCs/>
                <w:sz w:val="20"/>
                <w:szCs w:val="20"/>
              </w:rPr>
              <w:t>Start Date</w:t>
            </w:r>
          </w:p>
        </w:tc>
        <w:tc>
          <w:tcPr>
            <w:tcW w:w="1554" w:type="pct"/>
            <w:tcBorders>
              <w:top w:val="single" w:sz="8" w:space="0" w:color="000000"/>
              <w:left w:val="nil"/>
              <w:bottom w:val="single" w:sz="8" w:space="0" w:color="000000"/>
              <w:right w:val="single" w:sz="8" w:space="0" w:color="000000"/>
            </w:tcBorders>
            <w:shd w:val="clear" w:color="auto" w:fill="FFCC99"/>
            <w:tcMar>
              <w:top w:w="0" w:type="dxa"/>
              <w:left w:w="108" w:type="dxa"/>
              <w:bottom w:w="0" w:type="dxa"/>
              <w:right w:w="108" w:type="dxa"/>
            </w:tcMar>
            <w:vAlign w:val="center"/>
            <w:hideMark/>
          </w:tcPr>
          <w:p w14:paraId="17CC90DF" w14:textId="77777777" w:rsidR="00C74361" w:rsidRPr="00DF406D" w:rsidRDefault="00C74361" w:rsidP="00DF406D">
            <w:pPr>
              <w:jc w:val="center"/>
              <w:rPr>
                <w:b/>
                <w:bCs/>
                <w:sz w:val="20"/>
                <w:szCs w:val="20"/>
              </w:rPr>
            </w:pPr>
            <w:r w:rsidRPr="00DF406D">
              <w:rPr>
                <w:b/>
                <w:bCs/>
                <w:sz w:val="20"/>
                <w:szCs w:val="20"/>
              </w:rPr>
              <w:t>End Date</w:t>
            </w:r>
          </w:p>
        </w:tc>
      </w:tr>
      <w:tr w:rsidR="00DF406D" w:rsidRPr="00DF406D" w14:paraId="710BE770" w14:textId="77777777" w:rsidTr="00C74361">
        <w:trPr>
          <w:trHeight w:val="570"/>
        </w:trPr>
        <w:tc>
          <w:tcPr>
            <w:tcW w:w="1724"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BEDA44D" w14:textId="77777777" w:rsidR="00C74361" w:rsidRPr="00DF406D" w:rsidRDefault="00C74361" w:rsidP="00DF406D">
            <w:pPr>
              <w:jc w:val="center"/>
              <w:rPr>
                <w:b/>
                <w:bCs/>
                <w:sz w:val="20"/>
                <w:szCs w:val="20"/>
              </w:rPr>
            </w:pPr>
            <w:r w:rsidRPr="00DF406D">
              <w:rPr>
                <w:b/>
                <w:bCs/>
                <w:sz w:val="20"/>
                <w:szCs w:val="20"/>
              </w:rPr>
              <w:t xml:space="preserve">Training on site </w:t>
            </w:r>
          </w:p>
        </w:tc>
        <w:tc>
          <w:tcPr>
            <w:tcW w:w="1723"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C507FF" w14:textId="77777777" w:rsidR="00C74361" w:rsidRPr="00DF406D" w:rsidRDefault="00C74361" w:rsidP="00DF406D">
            <w:pPr>
              <w:rPr>
                <w:sz w:val="20"/>
                <w:szCs w:val="20"/>
              </w:rPr>
            </w:pPr>
            <w:r w:rsidRPr="00DF406D">
              <w:rPr>
                <w:sz w:val="20"/>
                <w:szCs w:val="20"/>
              </w:rPr>
              <w:t>13</w:t>
            </w:r>
            <w:r w:rsidRPr="00DF406D">
              <w:rPr>
                <w:sz w:val="20"/>
                <w:szCs w:val="20"/>
                <w:vertAlign w:val="superscript"/>
              </w:rPr>
              <w:t>th</w:t>
            </w:r>
            <w:r w:rsidRPr="00DF406D">
              <w:rPr>
                <w:sz w:val="20"/>
                <w:szCs w:val="20"/>
              </w:rPr>
              <w:t xml:space="preserve"> of May 2019 </w:t>
            </w:r>
          </w:p>
        </w:tc>
        <w:tc>
          <w:tcPr>
            <w:tcW w:w="1554"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FD09C60" w14:textId="77777777" w:rsidR="00C74361" w:rsidRPr="00DF406D" w:rsidRDefault="00C74361" w:rsidP="00DF406D">
            <w:pPr>
              <w:rPr>
                <w:sz w:val="20"/>
                <w:szCs w:val="20"/>
              </w:rPr>
            </w:pPr>
            <w:r w:rsidRPr="00DF406D">
              <w:rPr>
                <w:sz w:val="20"/>
                <w:szCs w:val="20"/>
              </w:rPr>
              <w:t>3</w:t>
            </w:r>
            <w:r w:rsidRPr="00DF406D">
              <w:rPr>
                <w:sz w:val="20"/>
                <w:szCs w:val="20"/>
                <w:vertAlign w:val="superscript"/>
              </w:rPr>
              <w:t>rd</w:t>
            </w:r>
            <w:r w:rsidRPr="00DF406D">
              <w:rPr>
                <w:sz w:val="20"/>
                <w:szCs w:val="20"/>
              </w:rPr>
              <w:t xml:space="preserve"> June 2019 </w:t>
            </w:r>
          </w:p>
        </w:tc>
      </w:tr>
      <w:tr w:rsidR="00DF406D" w:rsidRPr="00DF406D" w14:paraId="4DA9E997" w14:textId="77777777" w:rsidTr="00C74361">
        <w:trPr>
          <w:trHeight w:val="570"/>
        </w:trPr>
        <w:tc>
          <w:tcPr>
            <w:tcW w:w="1724"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BAA859" w14:textId="77777777" w:rsidR="00C74361" w:rsidRPr="00DF406D" w:rsidRDefault="00C74361" w:rsidP="00DF406D">
            <w:pPr>
              <w:jc w:val="center"/>
              <w:rPr>
                <w:b/>
                <w:bCs/>
                <w:sz w:val="20"/>
                <w:szCs w:val="20"/>
              </w:rPr>
            </w:pPr>
            <w:r w:rsidRPr="00DF406D">
              <w:rPr>
                <w:b/>
                <w:bCs/>
                <w:sz w:val="20"/>
                <w:szCs w:val="20"/>
              </w:rPr>
              <w:t xml:space="preserve">Nesting </w:t>
            </w:r>
          </w:p>
        </w:tc>
        <w:tc>
          <w:tcPr>
            <w:tcW w:w="1723"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D9577E" w14:textId="77777777" w:rsidR="00C74361" w:rsidRPr="00DF406D" w:rsidRDefault="00C74361" w:rsidP="00DF406D">
            <w:pPr>
              <w:rPr>
                <w:sz w:val="20"/>
                <w:szCs w:val="20"/>
              </w:rPr>
            </w:pPr>
            <w:r w:rsidRPr="00DF406D">
              <w:rPr>
                <w:sz w:val="20"/>
                <w:szCs w:val="20"/>
              </w:rPr>
              <w:t>10</w:t>
            </w:r>
            <w:r w:rsidRPr="00DF406D">
              <w:rPr>
                <w:sz w:val="20"/>
                <w:szCs w:val="20"/>
                <w:vertAlign w:val="superscript"/>
              </w:rPr>
              <w:t>th</w:t>
            </w:r>
            <w:r w:rsidRPr="00DF406D">
              <w:rPr>
                <w:sz w:val="20"/>
                <w:szCs w:val="20"/>
              </w:rPr>
              <w:t xml:space="preserve"> June 2019 </w:t>
            </w:r>
          </w:p>
        </w:tc>
        <w:tc>
          <w:tcPr>
            <w:tcW w:w="1554"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FE4BAD" w14:textId="77777777" w:rsidR="00C74361" w:rsidRPr="00DF406D" w:rsidRDefault="00082919" w:rsidP="00DF406D">
            <w:pPr>
              <w:rPr>
                <w:sz w:val="20"/>
                <w:szCs w:val="20"/>
              </w:rPr>
            </w:pPr>
            <w:r w:rsidRPr="00DF406D">
              <w:rPr>
                <w:sz w:val="20"/>
                <w:szCs w:val="20"/>
              </w:rPr>
              <w:t>23</w:t>
            </w:r>
            <w:r w:rsidR="00C74361" w:rsidRPr="00DF406D">
              <w:rPr>
                <w:sz w:val="20"/>
                <w:szCs w:val="20"/>
                <w:vertAlign w:val="superscript"/>
              </w:rPr>
              <w:t>th</w:t>
            </w:r>
            <w:r w:rsidR="00C74361" w:rsidRPr="00DF406D">
              <w:rPr>
                <w:sz w:val="20"/>
                <w:szCs w:val="20"/>
              </w:rPr>
              <w:t xml:space="preserve"> June 2019 </w:t>
            </w:r>
          </w:p>
        </w:tc>
      </w:tr>
      <w:tr w:rsidR="00C74361" w:rsidRPr="00DF406D" w14:paraId="48D14816" w14:textId="77777777" w:rsidTr="00C74361">
        <w:trPr>
          <w:trHeight w:val="570"/>
        </w:trPr>
        <w:tc>
          <w:tcPr>
            <w:tcW w:w="1724"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A73131C" w14:textId="77777777" w:rsidR="00C74361" w:rsidRPr="00DF406D" w:rsidRDefault="00C74361" w:rsidP="00DF406D">
            <w:pPr>
              <w:jc w:val="center"/>
              <w:rPr>
                <w:b/>
                <w:bCs/>
                <w:sz w:val="20"/>
                <w:szCs w:val="20"/>
              </w:rPr>
            </w:pPr>
            <w:r w:rsidRPr="00DF406D">
              <w:rPr>
                <w:b/>
                <w:bCs/>
                <w:sz w:val="20"/>
                <w:szCs w:val="20"/>
              </w:rPr>
              <w:t xml:space="preserve">Go live </w:t>
            </w:r>
          </w:p>
        </w:tc>
        <w:tc>
          <w:tcPr>
            <w:tcW w:w="1723"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BB0D70F" w14:textId="39A00B29" w:rsidR="00C74361" w:rsidRPr="00DF406D" w:rsidRDefault="00082919" w:rsidP="00DF406D">
            <w:pPr>
              <w:rPr>
                <w:sz w:val="20"/>
                <w:szCs w:val="20"/>
              </w:rPr>
            </w:pPr>
            <w:r w:rsidRPr="00DF406D">
              <w:rPr>
                <w:sz w:val="20"/>
                <w:szCs w:val="20"/>
              </w:rPr>
              <w:t>2</w:t>
            </w:r>
            <w:r w:rsidR="00B2589B" w:rsidRPr="00DF406D">
              <w:rPr>
                <w:sz w:val="20"/>
                <w:szCs w:val="20"/>
              </w:rPr>
              <w:t>4</w:t>
            </w:r>
            <w:r w:rsidR="00C74361" w:rsidRPr="00DF406D">
              <w:rPr>
                <w:sz w:val="20"/>
                <w:szCs w:val="20"/>
                <w:vertAlign w:val="superscript"/>
              </w:rPr>
              <w:t>th</w:t>
            </w:r>
            <w:r w:rsidR="00C74361" w:rsidRPr="00DF406D">
              <w:rPr>
                <w:sz w:val="20"/>
                <w:szCs w:val="20"/>
              </w:rPr>
              <w:t xml:space="preserve"> June 2019 </w:t>
            </w:r>
          </w:p>
        </w:tc>
        <w:tc>
          <w:tcPr>
            <w:tcW w:w="1554"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A375C00" w14:textId="25AA45DF" w:rsidR="00C74361" w:rsidRPr="00DF406D" w:rsidRDefault="00082919" w:rsidP="00DF406D">
            <w:pPr>
              <w:rPr>
                <w:sz w:val="20"/>
                <w:szCs w:val="20"/>
              </w:rPr>
            </w:pPr>
            <w:r w:rsidRPr="00DF406D">
              <w:rPr>
                <w:sz w:val="20"/>
                <w:szCs w:val="20"/>
              </w:rPr>
              <w:t>23</w:t>
            </w:r>
            <w:r w:rsidR="00C74361" w:rsidRPr="00DF406D">
              <w:rPr>
                <w:sz w:val="20"/>
                <w:szCs w:val="20"/>
                <w:vertAlign w:val="superscript"/>
              </w:rPr>
              <w:t>th</w:t>
            </w:r>
            <w:r w:rsidR="00C74361" w:rsidRPr="00DF406D">
              <w:rPr>
                <w:sz w:val="20"/>
                <w:szCs w:val="20"/>
              </w:rPr>
              <w:t xml:space="preserve"> June 20</w:t>
            </w:r>
            <w:r w:rsidR="00E75688" w:rsidRPr="00DF406D">
              <w:rPr>
                <w:sz w:val="20"/>
                <w:szCs w:val="20"/>
              </w:rPr>
              <w:t>24</w:t>
            </w:r>
            <w:r w:rsidR="00C74361" w:rsidRPr="00DF406D">
              <w:rPr>
                <w:sz w:val="20"/>
                <w:szCs w:val="20"/>
              </w:rPr>
              <w:t xml:space="preserve"> </w:t>
            </w:r>
          </w:p>
        </w:tc>
      </w:tr>
    </w:tbl>
    <w:p w14:paraId="1FC756E6" w14:textId="77777777" w:rsidR="00C74361" w:rsidRPr="00DF406D" w:rsidRDefault="00C74361" w:rsidP="00DF406D">
      <w:pPr>
        <w:spacing w:before="120"/>
        <w:rPr>
          <w:sz w:val="20"/>
          <w:szCs w:val="20"/>
        </w:rPr>
      </w:pPr>
    </w:p>
    <w:p w14:paraId="3D5D8667" w14:textId="1A622D21" w:rsidR="00C952D0" w:rsidRPr="00DF406D" w:rsidRDefault="008B0FC8" w:rsidP="00DF406D">
      <w:pPr>
        <w:numPr>
          <w:ilvl w:val="1"/>
          <w:numId w:val="8"/>
        </w:numPr>
        <w:spacing w:before="120"/>
        <w:ind w:left="605" w:hanging="600"/>
        <w:rPr>
          <w:sz w:val="20"/>
          <w:szCs w:val="20"/>
        </w:rPr>
      </w:pPr>
      <w:r w:rsidRPr="00DF406D">
        <w:rPr>
          <w:sz w:val="20"/>
          <w:szCs w:val="20"/>
        </w:rPr>
        <w:t xml:space="preserve">At any time during the SOW Term, TELUS may terminate this SOW early for convenience by providing TI with a notice of at least </w:t>
      </w:r>
      <w:r w:rsidR="00B2589B" w:rsidRPr="00DF406D">
        <w:rPr>
          <w:sz w:val="20"/>
          <w:szCs w:val="20"/>
        </w:rPr>
        <w:t>thir</w:t>
      </w:r>
      <w:r w:rsidRPr="00DF406D">
        <w:rPr>
          <w:sz w:val="20"/>
          <w:szCs w:val="20"/>
        </w:rPr>
        <w:t>ty (</w:t>
      </w:r>
      <w:r w:rsidR="00B2589B" w:rsidRPr="00DF406D">
        <w:rPr>
          <w:sz w:val="20"/>
          <w:szCs w:val="20"/>
        </w:rPr>
        <w:t>3</w:t>
      </w:r>
      <w:r w:rsidRPr="00DF406D">
        <w:rPr>
          <w:sz w:val="20"/>
          <w:szCs w:val="20"/>
        </w:rPr>
        <w:t xml:space="preserve">0) calendar days. During such period, TI will wind down </w:t>
      </w:r>
      <w:proofErr w:type="gramStart"/>
      <w:r w:rsidRPr="00DF406D">
        <w:rPr>
          <w:sz w:val="20"/>
          <w:szCs w:val="20"/>
        </w:rPr>
        <w:t>provision .of</w:t>
      </w:r>
      <w:proofErr w:type="gramEnd"/>
      <w:r w:rsidRPr="00DF406D">
        <w:rPr>
          <w:sz w:val="20"/>
          <w:szCs w:val="20"/>
        </w:rPr>
        <w:t xml:space="preserve"> the applicable Services in the manner specified by TELUS, acting reasonably. In the event of any such termination, TELUS will pay to TI, subject to the provisions in this SOW and the Agreement relating to payment, (a) the amounts due to TI for Services satisfactorily performed, (b) any agreed upon termination fees identified in SOW to account for TI’s </w:t>
      </w:r>
      <w:proofErr w:type="spellStart"/>
      <w:r w:rsidRPr="00DF406D">
        <w:rPr>
          <w:sz w:val="20"/>
          <w:szCs w:val="20"/>
        </w:rPr>
        <w:t>unamortised</w:t>
      </w:r>
      <w:proofErr w:type="spellEnd"/>
      <w:r w:rsidRPr="00DF406D">
        <w:rPr>
          <w:sz w:val="20"/>
          <w:szCs w:val="20"/>
        </w:rPr>
        <w:t xml:space="preserve"> and stranded costs and (c) related Expenses incurred up to the effective date of termination, provided that payment of such amounts will constitute TELUS' entire liability and TI's sole remedy for such termination.</w:t>
      </w:r>
    </w:p>
    <w:p w14:paraId="47F9F6E2" w14:textId="77777777" w:rsidR="00C952D0" w:rsidRPr="00DF406D" w:rsidRDefault="00C952D0" w:rsidP="00DF406D">
      <w:pPr>
        <w:rPr>
          <w:sz w:val="20"/>
          <w:szCs w:val="20"/>
        </w:rPr>
      </w:pPr>
    </w:p>
    <w:p w14:paraId="5B81114B" w14:textId="77777777" w:rsidR="00C952D0" w:rsidRPr="00DF406D" w:rsidRDefault="008B0FC8" w:rsidP="00DF406D">
      <w:pPr>
        <w:numPr>
          <w:ilvl w:val="0"/>
          <w:numId w:val="8"/>
        </w:numPr>
        <w:spacing w:after="120"/>
        <w:ind w:left="600" w:hanging="600"/>
        <w:rPr>
          <w:b/>
          <w:smallCaps/>
          <w:sz w:val="20"/>
          <w:szCs w:val="20"/>
        </w:rPr>
      </w:pPr>
      <w:r w:rsidRPr="00DF406D">
        <w:rPr>
          <w:b/>
          <w:smallCaps/>
          <w:sz w:val="20"/>
          <w:szCs w:val="20"/>
        </w:rPr>
        <w:t>Place of Performance and Hours</w:t>
      </w:r>
    </w:p>
    <w:p w14:paraId="0181583F" w14:textId="77777777" w:rsidR="00C952D0" w:rsidRPr="00DF406D" w:rsidRDefault="008B0FC8" w:rsidP="00DF406D">
      <w:pPr>
        <w:numPr>
          <w:ilvl w:val="1"/>
          <w:numId w:val="8"/>
        </w:numPr>
        <w:spacing w:after="120"/>
        <w:ind w:left="601" w:hanging="601"/>
        <w:rPr>
          <w:sz w:val="20"/>
          <w:szCs w:val="20"/>
        </w:rPr>
      </w:pPr>
      <w:r w:rsidRPr="00DF406D">
        <w:rPr>
          <w:sz w:val="20"/>
          <w:szCs w:val="20"/>
        </w:rPr>
        <w:t>TI shall perform the Services (or cause them to be performed) at the following TI Facilities:</w:t>
      </w:r>
    </w:p>
    <w:p w14:paraId="5A230EE0" w14:textId="77777777" w:rsidR="003C743E" w:rsidRPr="00DF406D" w:rsidRDefault="003C743E" w:rsidP="00DF406D">
      <w:pPr>
        <w:numPr>
          <w:ilvl w:val="1"/>
          <w:numId w:val="29"/>
        </w:numPr>
        <w:pBdr>
          <w:top w:val="nil"/>
          <w:left w:val="nil"/>
          <w:bottom w:val="nil"/>
          <w:right w:val="nil"/>
          <w:between w:val="nil"/>
        </w:pBdr>
        <w:spacing w:after="120"/>
        <w:ind w:left="1134" w:firstLine="0"/>
        <w:rPr>
          <w:sz w:val="20"/>
          <w:szCs w:val="20"/>
        </w:rPr>
      </w:pPr>
      <w:r w:rsidRPr="00DF406D">
        <w:rPr>
          <w:sz w:val="20"/>
          <w:szCs w:val="20"/>
        </w:rPr>
        <w:lastRenderedPageBreak/>
        <w:t xml:space="preserve">Canadian TI Facilities: </w:t>
      </w:r>
      <w:r w:rsidR="00034C92" w:rsidRPr="00DF406D">
        <w:rPr>
          <w:i/>
          <w:sz w:val="20"/>
          <w:szCs w:val="20"/>
        </w:rPr>
        <w:t>NA</w:t>
      </w:r>
      <w:r w:rsidRPr="00DF406D">
        <w:rPr>
          <w:i/>
          <w:sz w:val="20"/>
          <w:szCs w:val="20"/>
        </w:rPr>
        <w:t xml:space="preserve"> </w:t>
      </w:r>
    </w:p>
    <w:p w14:paraId="0DFE84BD" w14:textId="77777777" w:rsidR="003C743E" w:rsidRPr="00DF406D" w:rsidRDefault="003C743E" w:rsidP="00DF406D">
      <w:pPr>
        <w:numPr>
          <w:ilvl w:val="1"/>
          <w:numId w:val="29"/>
        </w:numPr>
        <w:pBdr>
          <w:top w:val="nil"/>
          <w:left w:val="nil"/>
          <w:bottom w:val="nil"/>
          <w:right w:val="nil"/>
          <w:between w:val="nil"/>
        </w:pBdr>
        <w:spacing w:after="120"/>
        <w:ind w:left="1134" w:firstLine="0"/>
        <w:rPr>
          <w:sz w:val="20"/>
          <w:szCs w:val="20"/>
        </w:rPr>
      </w:pPr>
      <w:r w:rsidRPr="00DF406D">
        <w:rPr>
          <w:sz w:val="20"/>
          <w:szCs w:val="20"/>
        </w:rPr>
        <w:t xml:space="preserve">Other North American TI Facilities (outside Canada) </w:t>
      </w:r>
      <w:r w:rsidRPr="00DF406D">
        <w:rPr>
          <w:i/>
          <w:sz w:val="20"/>
          <w:szCs w:val="20"/>
        </w:rPr>
        <w:t>None.</w:t>
      </w:r>
    </w:p>
    <w:p w14:paraId="73BBD921" w14:textId="03915E52" w:rsidR="003C743E" w:rsidRPr="00C72B64" w:rsidRDefault="003C743E" w:rsidP="00C72B64">
      <w:pPr>
        <w:numPr>
          <w:ilvl w:val="1"/>
          <w:numId w:val="29"/>
        </w:numPr>
        <w:pBdr>
          <w:top w:val="nil"/>
          <w:left w:val="nil"/>
          <w:bottom w:val="nil"/>
          <w:right w:val="nil"/>
          <w:between w:val="nil"/>
        </w:pBdr>
        <w:spacing w:after="120"/>
        <w:ind w:left="1138" w:firstLine="0"/>
        <w:rPr>
          <w:sz w:val="20"/>
          <w:szCs w:val="20"/>
        </w:rPr>
      </w:pPr>
      <w:r w:rsidRPr="00DF406D">
        <w:rPr>
          <w:sz w:val="20"/>
          <w:szCs w:val="20"/>
        </w:rPr>
        <w:t>Offshore TI Facilities:</w:t>
      </w:r>
      <w:r w:rsidRPr="00C72B64">
        <w:rPr>
          <w:i/>
          <w:sz w:val="20"/>
          <w:szCs w:val="20"/>
        </w:rPr>
        <w:tab/>
      </w:r>
      <w:r w:rsidRPr="00C72B64">
        <w:rPr>
          <w:i/>
          <w:sz w:val="20"/>
          <w:szCs w:val="20"/>
        </w:rPr>
        <w:tab/>
      </w:r>
    </w:p>
    <w:p w14:paraId="5C2D8BF4" w14:textId="77777777" w:rsidR="004C2273" w:rsidRPr="00DF406D" w:rsidRDefault="004C2273" w:rsidP="00DF406D">
      <w:pPr>
        <w:spacing w:after="120"/>
        <w:ind w:left="2160" w:firstLine="720"/>
        <w:jc w:val="left"/>
        <w:rPr>
          <w:i/>
          <w:sz w:val="20"/>
          <w:szCs w:val="20"/>
        </w:rPr>
      </w:pPr>
    </w:p>
    <w:p w14:paraId="0885BC8E" w14:textId="77777777" w:rsidR="00C952D0" w:rsidRPr="00DF406D" w:rsidRDefault="008B0FC8" w:rsidP="00DF406D">
      <w:pPr>
        <w:spacing w:after="120"/>
        <w:ind w:left="600" w:hanging="600"/>
        <w:rPr>
          <w:sz w:val="20"/>
          <w:szCs w:val="20"/>
        </w:rPr>
      </w:pPr>
      <w:r w:rsidRPr="00DF406D">
        <w:rPr>
          <w:sz w:val="20"/>
          <w:szCs w:val="20"/>
        </w:rPr>
        <w:t>5.2</w:t>
      </w:r>
      <w:r w:rsidRPr="00DF406D">
        <w:rPr>
          <w:sz w:val="20"/>
          <w:szCs w:val="20"/>
        </w:rPr>
        <w:tab/>
        <w:t xml:space="preserve">Subject to TELUS security policies, processes and procedures and only as required and deemed reasonably necessary by TELUS for TI to perform the Services, and then only with prior written approval by the TELUS Manager, TI Service Representatives shall also have reasonable access to offices at TELUS Facilities located at </w:t>
      </w:r>
      <w:r w:rsidRPr="00DF406D">
        <w:rPr>
          <w:i/>
          <w:sz w:val="20"/>
          <w:szCs w:val="20"/>
        </w:rPr>
        <w:t>any TELUS Canada facilities as directed by TELUS Manager.</w:t>
      </w:r>
    </w:p>
    <w:p w14:paraId="0D9F46EA" w14:textId="77777777" w:rsidR="00C952D0" w:rsidRPr="00DF406D" w:rsidRDefault="008B0FC8" w:rsidP="00DF406D">
      <w:pPr>
        <w:numPr>
          <w:ilvl w:val="1"/>
          <w:numId w:val="4"/>
        </w:numPr>
        <w:spacing w:after="120"/>
        <w:ind w:left="616" w:hanging="602"/>
        <w:rPr>
          <w:sz w:val="20"/>
          <w:szCs w:val="20"/>
        </w:rPr>
      </w:pPr>
      <w:r w:rsidRPr="00DF406D">
        <w:rPr>
          <w:sz w:val="20"/>
          <w:szCs w:val="20"/>
        </w:rPr>
        <w:t xml:space="preserve">For greater certainty, TI shall not be authorized to perform any part of the Services under this SOW from any locations other than those TI Facilities or TELUS Facilities specifically and explicitly authorized above. </w:t>
      </w:r>
    </w:p>
    <w:p w14:paraId="327042BF" w14:textId="3A796E67" w:rsidR="00B2589B" w:rsidRPr="00DF406D" w:rsidRDefault="00B2589B" w:rsidP="00DF406D">
      <w:pPr>
        <w:numPr>
          <w:ilvl w:val="1"/>
          <w:numId w:val="4"/>
        </w:numPr>
        <w:spacing w:after="120"/>
        <w:ind w:left="616" w:hanging="602"/>
        <w:rPr>
          <w:sz w:val="20"/>
          <w:szCs w:val="20"/>
        </w:rPr>
      </w:pPr>
      <w:r w:rsidRPr="00DF406D">
        <w:rPr>
          <w:sz w:val="20"/>
          <w:szCs w:val="20"/>
        </w:rPr>
        <w:t>Offshore TI Representatives will perform the Services under this SOW during TELUS business hours (</w:t>
      </w:r>
      <w:r w:rsidR="00F12BB3" w:rsidRPr="00DF406D">
        <w:rPr>
          <w:sz w:val="20"/>
          <w:szCs w:val="20"/>
        </w:rPr>
        <w:t>as mentioned in “Appendix A Point # 2</w:t>
      </w:r>
      <w:r w:rsidRPr="00DF406D">
        <w:rPr>
          <w:sz w:val="20"/>
          <w:szCs w:val="20"/>
        </w:rPr>
        <w:t>) and on call support for weekends and holidays. There will be times in the engagement where TI will need to participate in meetings, discussions and training sessions with TELUS team members. In these cases, TI will endeavor to adjust the work schedule so there is a reasonable overlap between the TI locations performing the service and the TELUS team members supporting the meetings, discussions and training sessions. Generally, the work calendar will adhere to the TELUS working calendar in Canada, however, the detailed schedule for each role and approval for ad-hoc non-working days or non-regular hours shall be set by the TI Manager in consultation with the TELUS Manager.</w:t>
      </w:r>
    </w:p>
    <w:p w14:paraId="17BD54A8" w14:textId="77777777" w:rsidR="00B2589B" w:rsidRPr="00DF406D" w:rsidRDefault="00B2589B" w:rsidP="00DF406D">
      <w:pPr>
        <w:spacing w:after="120"/>
        <w:ind w:left="616"/>
        <w:rPr>
          <w:sz w:val="20"/>
          <w:szCs w:val="20"/>
        </w:rPr>
      </w:pPr>
    </w:p>
    <w:p w14:paraId="55657E82" w14:textId="77777777" w:rsidR="00C952D0" w:rsidRPr="00DF406D" w:rsidRDefault="008B0FC8" w:rsidP="00DF406D">
      <w:pPr>
        <w:numPr>
          <w:ilvl w:val="0"/>
          <w:numId w:val="8"/>
        </w:numPr>
        <w:spacing w:after="120"/>
        <w:ind w:left="600" w:hanging="600"/>
        <w:rPr>
          <w:b/>
          <w:smallCaps/>
          <w:sz w:val="20"/>
          <w:szCs w:val="20"/>
        </w:rPr>
      </w:pPr>
      <w:r w:rsidRPr="00DF406D">
        <w:rPr>
          <w:b/>
          <w:smallCaps/>
          <w:sz w:val="20"/>
          <w:szCs w:val="20"/>
        </w:rPr>
        <w:t>Structure and Roles</w:t>
      </w:r>
    </w:p>
    <w:p w14:paraId="31B31406" w14:textId="77777777" w:rsidR="00C952D0" w:rsidRPr="00DF406D" w:rsidRDefault="008B0FC8" w:rsidP="00DF406D">
      <w:pPr>
        <w:numPr>
          <w:ilvl w:val="1"/>
          <w:numId w:val="8"/>
        </w:numPr>
        <w:spacing w:after="120"/>
        <w:rPr>
          <w:sz w:val="20"/>
          <w:szCs w:val="20"/>
        </w:rPr>
      </w:pPr>
      <w:r w:rsidRPr="00DF406D">
        <w:rPr>
          <w:sz w:val="20"/>
          <w:szCs w:val="20"/>
        </w:rPr>
        <w:t>The TI Manager will be responsible for the overall performance, delivery and management of Services in respect of this SOW and will be regularly available to meet with the TELUS Manager. The TI Manager will procure and manage TI resources as required in furtherance of TI’s obligations under this SOW, and shall be responsible for providing qualified TI resources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3E13F901" w14:textId="77777777" w:rsidR="00C952D0" w:rsidRPr="00DF406D" w:rsidRDefault="008B0FC8" w:rsidP="00DF406D">
      <w:pPr>
        <w:numPr>
          <w:ilvl w:val="1"/>
          <w:numId w:val="8"/>
        </w:numPr>
        <w:spacing w:after="120"/>
        <w:rPr>
          <w:sz w:val="20"/>
          <w:szCs w:val="20"/>
        </w:rPr>
      </w:pPr>
      <w:r w:rsidRPr="00DF406D">
        <w:rPr>
          <w:sz w:val="20"/>
          <w:szCs w:val="20"/>
        </w:rPr>
        <w:t>The TELUS Manager will be responsible for monitoring TI and will work with TI resources and TELUS resources to perform project reviews, manage internal TELUS activities related to the Project, and serve as TI’s single point of contact with respect to interfacing with TELUS.</w:t>
      </w:r>
    </w:p>
    <w:p w14:paraId="1F447880" w14:textId="77777777" w:rsidR="00C952D0" w:rsidRPr="00DF406D" w:rsidRDefault="008B0FC8" w:rsidP="00DF406D">
      <w:pPr>
        <w:numPr>
          <w:ilvl w:val="1"/>
          <w:numId w:val="8"/>
        </w:numPr>
        <w:spacing w:after="120"/>
        <w:rPr>
          <w:sz w:val="20"/>
          <w:szCs w:val="20"/>
        </w:rPr>
      </w:pPr>
      <w:r w:rsidRPr="00DF406D">
        <w:rPr>
          <w:sz w:val="20"/>
          <w:szCs w:val="20"/>
        </w:rPr>
        <w:t>The Parties shall appoint the following key personnel for the SOW Term:</w:t>
      </w:r>
    </w:p>
    <w:p w14:paraId="20CF97E0" w14:textId="77777777" w:rsidR="000E004A" w:rsidRPr="00DF406D" w:rsidRDefault="008B0FC8" w:rsidP="00DF406D">
      <w:pPr>
        <w:spacing w:after="120"/>
        <w:ind w:left="840"/>
        <w:rPr>
          <w:sz w:val="20"/>
          <w:szCs w:val="20"/>
        </w:rPr>
      </w:pPr>
      <w:r w:rsidRPr="00DF406D">
        <w:rPr>
          <w:sz w:val="20"/>
          <w:szCs w:val="20"/>
        </w:rPr>
        <w:t>For TELUS, as TELUS Manager under the Agreement for purposes of this SOW:</w:t>
      </w:r>
    </w:p>
    <w:p w14:paraId="570229E4" w14:textId="1D3E5040" w:rsidR="000E004A" w:rsidRPr="00DF406D" w:rsidRDefault="00C72B64" w:rsidP="00DF406D">
      <w:pPr>
        <w:numPr>
          <w:ilvl w:val="0"/>
          <w:numId w:val="30"/>
        </w:numPr>
        <w:pBdr>
          <w:top w:val="nil"/>
          <w:left w:val="nil"/>
          <w:bottom w:val="nil"/>
          <w:right w:val="nil"/>
          <w:between w:val="nil"/>
        </w:pBdr>
        <w:spacing w:after="120"/>
        <w:rPr>
          <w:sz w:val="20"/>
          <w:szCs w:val="20"/>
        </w:rPr>
      </w:pPr>
      <w:r>
        <w:rPr>
          <w:sz w:val="20"/>
          <w:szCs w:val="20"/>
        </w:rPr>
        <w:t>Super Mock</w:t>
      </w:r>
      <w:r w:rsidR="000E004A" w:rsidRPr="00DF406D">
        <w:rPr>
          <w:sz w:val="20"/>
          <w:szCs w:val="20"/>
        </w:rPr>
        <w:t xml:space="preserve"> </w:t>
      </w:r>
      <w:proofErr w:type="gramStart"/>
      <w:r w:rsidR="000E004A" w:rsidRPr="00DF406D">
        <w:rPr>
          <w:sz w:val="20"/>
          <w:szCs w:val="20"/>
        </w:rPr>
        <w:t xml:space="preserve">Smyth  </w:t>
      </w:r>
      <w:r w:rsidR="000E004A" w:rsidRPr="00C72B64">
        <w:rPr>
          <w:sz w:val="20"/>
          <w:szCs w:val="20"/>
        </w:rPr>
        <w:t>(</w:t>
      </w:r>
      <w:proofErr w:type="gramEnd"/>
      <w:r w:rsidR="000E004A" w:rsidRPr="00DF406D">
        <w:rPr>
          <w:sz w:val="20"/>
          <w:szCs w:val="20"/>
        </w:rPr>
        <w:t>TELUS Manager);</w:t>
      </w:r>
    </w:p>
    <w:p w14:paraId="090DEE8B" w14:textId="77777777" w:rsidR="000E004A" w:rsidRPr="00DF406D" w:rsidRDefault="000E004A" w:rsidP="00DF406D">
      <w:pPr>
        <w:spacing w:after="120"/>
        <w:ind w:left="120" w:firstLine="720"/>
        <w:rPr>
          <w:sz w:val="20"/>
          <w:szCs w:val="20"/>
        </w:rPr>
      </w:pPr>
      <w:r w:rsidRPr="00DF406D">
        <w:rPr>
          <w:sz w:val="20"/>
          <w:szCs w:val="20"/>
        </w:rPr>
        <w:t xml:space="preserve">For TI, as TI CSM under the Agreement for purposes of this SOW: </w:t>
      </w:r>
    </w:p>
    <w:p w14:paraId="7CCBF57E" w14:textId="5F2BC987" w:rsidR="008630B5" w:rsidRPr="00DF406D" w:rsidRDefault="00C72B64" w:rsidP="00DF406D">
      <w:pPr>
        <w:numPr>
          <w:ilvl w:val="0"/>
          <w:numId w:val="39"/>
        </w:numPr>
        <w:pBdr>
          <w:top w:val="nil"/>
          <w:left w:val="nil"/>
          <w:bottom w:val="nil"/>
          <w:right w:val="nil"/>
          <w:between w:val="nil"/>
        </w:pBdr>
        <w:spacing w:after="120"/>
        <w:rPr>
          <w:sz w:val="20"/>
          <w:szCs w:val="20"/>
        </w:rPr>
      </w:pPr>
      <w:r>
        <w:rPr>
          <w:sz w:val="20"/>
          <w:szCs w:val="20"/>
        </w:rPr>
        <w:t>Super Mock</w:t>
      </w:r>
      <w:r w:rsidR="00016BBB" w:rsidRPr="00DF406D">
        <w:rPr>
          <w:sz w:val="20"/>
          <w:szCs w:val="20"/>
        </w:rPr>
        <w:t xml:space="preserve"> </w:t>
      </w:r>
      <w:proofErr w:type="spellStart"/>
      <w:r w:rsidR="00B53569">
        <w:rPr>
          <w:sz w:val="20"/>
          <w:szCs w:val="20"/>
        </w:rPr>
        <w:t>smth</w:t>
      </w:r>
      <w:proofErr w:type="spellEnd"/>
      <w:r w:rsidR="00B53569" w:rsidRPr="00DF406D">
        <w:rPr>
          <w:sz w:val="20"/>
          <w:szCs w:val="20"/>
        </w:rPr>
        <w:t xml:space="preserve"> </w:t>
      </w:r>
      <w:r w:rsidR="008630B5" w:rsidRPr="00DF406D">
        <w:rPr>
          <w:sz w:val="20"/>
          <w:szCs w:val="20"/>
        </w:rPr>
        <w:t>Digital - powered by TELUS International)</w:t>
      </w:r>
    </w:p>
    <w:p w14:paraId="64BA2607" w14:textId="0BC8049E" w:rsidR="000E004A" w:rsidRPr="00DF406D" w:rsidRDefault="00C72B64" w:rsidP="00DF406D">
      <w:pPr>
        <w:numPr>
          <w:ilvl w:val="0"/>
          <w:numId w:val="39"/>
        </w:numPr>
        <w:pBdr>
          <w:top w:val="nil"/>
          <w:left w:val="nil"/>
          <w:bottom w:val="nil"/>
          <w:right w:val="nil"/>
          <w:between w:val="nil"/>
        </w:pBdr>
        <w:spacing w:after="120"/>
        <w:rPr>
          <w:sz w:val="20"/>
          <w:szCs w:val="20"/>
        </w:rPr>
      </w:pPr>
      <w:r>
        <w:rPr>
          <w:sz w:val="20"/>
          <w:szCs w:val="20"/>
        </w:rPr>
        <w:t>Super Mock</w:t>
      </w:r>
      <w:r w:rsidRPr="00DF406D">
        <w:rPr>
          <w:sz w:val="20"/>
          <w:szCs w:val="20"/>
        </w:rPr>
        <w:t xml:space="preserve"> </w:t>
      </w:r>
      <w:r w:rsidR="000E004A" w:rsidRPr="00DF406D">
        <w:rPr>
          <w:sz w:val="20"/>
          <w:szCs w:val="20"/>
        </w:rPr>
        <w:t>as Delivery Account Manager or delegates as agreed by the parties (</w:t>
      </w:r>
      <w:proofErr w:type="spellStart"/>
      <w:r w:rsidR="002E1C0B">
        <w:rPr>
          <w:sz w:val="20"/>
          <w:szCs w:val="20"/>
        </w:rPr>
        <w:t>smth</w:t>
      </w:r>
      <w:proofErr w:type="spellEnd"/>
      <w:r w:rsidR="000E004A" w:rsidRPr="00DF406D">
        <w:rPr>
          <w:sz w:val="20"/>
          <w:szCs w:val="20"/>
        </w:rPr>
        <w:t xml:space="preserve"> Digital - powered by TELUS International)</w:t>
      </w:r>
    </w:p>
    <w:p w14:paraId="5451C145" w14:textId="37F2AFFF" w:rsidR="000E004A" w:rsidRPr="00DF406D" w:rsidRDefault="00C72B64" w:rsidP="00DF406D">
      <w:pPr>
        <w:numPr>
          <w:ilvl w:val="0"/>
          <w:numId w:val="39"/>
        </w:numPr>
        <w:pBdr>
          <w:top w:val="nil"/>
          <w:left w:val="nil"/>
          <w:bottom w:val="nil"/>
          <w:right w:val="nil"/>
          <w:between w:val="nil"/>
        </w:pBdr>
        <w:spacing w:after="120"/>
        <w:rPr>
          <w:sz w:val="20"/>
          <w:szCs w:val="20"/>
        </w:rPr>
      </w:pPr>
      <w:r>
        <w:rPr>
          <w:sz w:val="20"/>
          <w:szCs w:val="20"/>
        </w:rPr>
        <w:t>Super Mock</w:t>
      </w:r>
      <w:r w:rsidRPr="00DF406D">
        <w:rPr>
          <w:sz w:val="20"/>
          <w:szCs w:val="20"/>
        </w:rPr>
        <w:t xml:space="preserve"> </w:t>
      </w:r>
      <w:r w:rsidR="000E004A" w:rsidRPr="00DF406D">
        <w:rPr>
          <w:sz w:val="20"/>
          <w:szCs w:val="20"/>
        </w:rPr>
        <w:t>as Project Owner (</w:t>
      </w:r>
      <w:proofErr w:type="spellStart"/>
      <w:r w:rsidR="002E1C0B">
        <w:rPr>
          <w:sz w:val="20"/>
          <w:szCs w:val="20"/>
        </w:rPr>
        <w:t>smth</w:t>
      </w:r>
      <w:bookmarkStart w:id="0" w:name="_GoBack"/>
      <w:bookmarkEnd w:id="0"/>
      <w:proofErr w:type="spellEnd"/>
      <w:r w:rsidR="000E004A" w:rsidRPr="00DF406D">
        <w:rPr>
          <w:sz w:val="20"/>
          <w:szCs w:val="20"/>
        </w:rPr>
        <w:t xml:space="preserve"> Digital - powered by TELUS International)</w:t>
      </w:r>
    </w:p>
    <w:p w14:paraId="5F704F07" w14:textId="77777777" w:rsidR="00C952D0" w:rsidRPr="00DF406D" w:rsidRDefault="008B0FC8" w:rsidP="00DF406D">
      <w:pPr>
        <w:ind w:left="840"/>
        <w:rPr>
          <w:sz w:val="20"/>
          <w:szCs w:val="20"/>
        </w:rPr>
      </w:pPr>
      <w:r w:rsidRPr="00DF406D">
        <w:rPr>
          <w:sz w:val="20"/>
          <w:szCs w:val="20"/>
        </w:rPr>
        <w:t>The key personnel for TI cannot be removed from this SOW without TELUS Manager prior written consent.</w:t>
      </w:r>
    </w:p>
    <w:p w14:paraId="7294AD03" w14:textId="77777777" w:rsidR="00C952D0" w:rsidRPr="00DF406D" w:rsidRDefault="00C952D0" w:rsidP="00DF406D">
      <w:pPr>
        <w:rPr>
          <w:b/>
          <w:smallCaps/>
          <w:sz w:val="20"/>
          <w:szCs w:val="20"/>
        </w:rPr>
      </w:pPr>
    </w:p>
    <w:p w14:paraId="4CBE3464" w14:textId="77777777" w:rsidR="00C952D0" w:rsidRPr="00DF406D" w:rsidRDefault="008B0FC8" w:rsidP="00DF406D">
      <w:pPr>
        <w:numPr>
          <w:ilvl w:val="0"/>
          <w:numId w:val="8"/>
        </w:numPr>
        <w:spacing w:after="120"/>
        <w:rPr>
          <w:b/>
          <w:smallCaps/>
          <w:sz w:val="20"/>
          <w:szCs w:val="20"/>
        </w:rPr>
      </w:pPr>
      <w:r w:rsidRPr="00DF406D">
        <w:rPr>
          <w:b/>
          <w:smallCaps/>
          <w:sz w:val="20"/>
          <w:szCs w:val="20"/>
        </w:rPr>
        <w:t>General Responsibilities</w:t>
      </w:r>
    </w:p>
    <w:p w14:paraId="37ECB42C" w14:textId="77777777" w:rsidR="00C952D0" w:rsidRPr="00DF406D" w:rsidRDefault="008B0FC8" w:rsidP="00DF406D">
      <w:pPr>
        <w:numPr>
          <w:ilvl w:val="1"/>
          <w:numId w:val="8"/>
        </w:numPr>
        <w:spacing w:after="120"/>
        <w:ind w:left="630" w:hanging="630"/>
        <w:rPr>
          <w:sz w:val="20"/>
          <w:szCs w:val="20"/>
        </w:rPr>
      </w:pPr>
      <w:r w:rsidRPr="00DF406D">
        <w:rPr>
          <w:sz w:val="20"/>
          <w:szCs w:val="20"/>
          <w:u w:val="single"/>
        </w:rPr>
        <w:lastRenderedPageBreak/>
        <w:t>TI Responsibilities</w:t>
      </w:r>
      <w:r w:rsidRPr="00DF406D">
        <w:rPr>
          <w:sz w:val="20"/>
          <w:szCs w:val="20"/>
        </w:rPr>
        <w:t>:</w:t>
      </w:r>
    </w:p>
    <w:p w14:paraId="0EC8DFA4" w14:textId="77777777" w:rsidR="00C952D0" w:rsidRPr="00DF406D" w:rsidRDefault="008B0FC8" w:rsidP="00DF406D">
      <w:pPr>
        <w:numPr>
          <w:ilvl w:val="0"/>
          <w:numId w:val="25"/>
        </w:numPr>
        <w:spacing w:after="120"/>
        <w:rPr>
          <w:sz w:val="20"/>
          <w:szCs w:val="20"/>
        </w:rPr>
      </w:pPr>
      <w:r w:rsidRPr="00DF406D">
        <w:rPr>
          <w:sz w:val="20"/>
          <w:szCs w:val="20"/>
        </w:rPr>
        <w:t>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14:paraId="4B386062" w14:textId="77777777" w:rsidR="00C952D0" w:rsidRPr="00DF406D" w:rsidRDefault="008B0FC8" w:rsidP="00DF406D">
      <w:pPr>
        <w:numPr>
          <w:ilvl w:val="0"/>
          <w:numId w:val="25"/>
        </w:numPr>
        <w:spacing w:after="120"/>
        <w:rPr>
          <w:sz w:val="20"/>
          <w:szCs w:val="20"/>
        </w:rPr>
      </w:pPr>
      <w:r w:rsidRPr="00DF406D">
        <w:rPr>
          <w:sz w:val="20"/>
          <w:szCs w:val="20"/>
        </w:rPr>
        <w:t>Without limiting TI’s obligations under this SOW and the Agreement, TI will follow reasonable direction of the TELUS Manager and other managers as from time to time designated by the TELUS Manager.</w:t>
      </w:r>
    </w:p>
    <w:p w14:paraId="4CD66638" w14:textId="321FCC15" w:rsidR="00C952D0" w:rsidRPr="00DF406D" w:rsidRDefault="008B0FC8" w:rsidP="00DF406D">
      <w:pPr>
        <w:numPr>
          <w:ilvl w:val="0"/>
          <w:numId w:val="25"/>
        </w:numPr>
        <w:spacing w:after="120"/>
        <w:rPr>
          <w:sz w:val="20"/>
          <w:szCs w:val="20"/>
        </w:rPr>
      </w:pPr>
      <w:r w:rsidRPr="00DF406D">
        <w:rPr>
          <w:sz w:val="20"/>
          <w:szCs w:val="20"/>
        </w:rPr>
        <w:t xml:space="preserve">The TI Manager (or another TI Representative designated by the TI Manager) shall arrange for </w:t>
      </w:r>
      <w:r w:rsidR="00F12BB3" w:rsidRPr="00DF406D">
        <w:rPr>
          <w:sz w:val="20"/>
          <w:szCs w:val="20"/>
        </w:rPr>
        <w:t xml:space="preserve">Weekly </w:t>
      </w:r>
      <w:r w:rsidRPr="00DF406D">
        <w:rPr>
          <w:sz w:val="20"/>
          <w:szCs w:val="20"/>
        </w:rPr>
        <w:t>status checkpoints with the TELUS Manager (or such other frequency agreed between TI Manager and TELUS Manager), and shall submit to the TELUS Manager status reports, in a mutually agreed upon format appropriate for the scale and duration of the Services in this SOW, prior to such status checkpoints on the status of Services.</w:t>
      </w:r>
    </w:p>
    <w:p w14:paraId="581C4B48" w14:textId="77777777" w:rsidR="00C952D0" w:rsidRPr="00DF406D" w:rsidRDefault="008B0FC8" w:rsidP="00DF406D">
      <w:pPr>
        <w:numPr>
          <w:ilvl w:val="0"/>
          <w:numId w:val="25"/>
        </w:numPr>
        <w:spacing w:after="120"/>
        <w:rPr>
          <w:sz w:val="20"/>
          <w:szCs w:val="20"/>
        </w:rPr>
      </w:pPr>
      <w:r w:rsidRPr="00DF406D">
        <w:rPr>
          <w:sz w:val="20"/>
          <w:szCs w:val="20"/>
        </w:rPr>
        <w:t>The TI Manager shall proactively escalate issues/concerns to the TELUS Manager which may have a negative impact on TI’s ability to provide the Services in accordance with this SOW and the Agreement. In the event of potential negative Service impacts caused by TELUS, the TI Manager will make all reasonable and proactive efforts to work with the TELUS Manager towards creating alternative, risk-mitigating solutions to deliver the Project on time, in scope, and within the Fees contemplated hereunder.</w:t>
      </w:r>
    </w:p>
    <w:p w14:paraId="5080FA4C" w14:textId="77777777" w:rsidR="00C952D0" w:rsidRPr="00DF406D" w:rsidRDefault="008B0FC8" w:rsidP="00DF406D">
      <w:pPr>
        <w:numPr>
          <w:ilvl w:val="0"/>
          <w:numId w:val="25"/>
        </w:numPr>
        <w:spacing w:after="60"/>
        <w:rPr>
          <w:sz w:val="20"/>
          <w:szCs w:val="20"/>
        </w:rPr>
      </w:pPr>
      <w:r w:rsidRPr="00DF406D">
        <w:rPr>
          <w:sz w:val="20"/>
          <w:szCs w:val="20"/>
        </w:rPr>
        <w:t>In addition, without limitation, TI shall also be overall responsible for the following:</w:t>
      </w:r>
    </w:p>
    <w:p w14:paraId="7F0F1A16" w14:textId="77777777" w:rsidR="00C952D0" w:rsidRPr="00DF406D" w:rsidRDefault="00BE3824" w:rsidP="00DF406D">
      <w:pPr>
        <w:numPr>
          <w:ilvl w:val="1"/>
          <w:numId w:val="25"/>
        </w:numPr>
        <w:pBdr>
          <w:top w:val="none" w:sz="0" w:space="0" w:color="000000"/>
          <w:left w:val="none" w:sz="0" w:space="0" w:color="000000"/>
          <w:bottom w:val="none" w:sz="0" w:space="0" w:color="000000"/>
          <w:right w:val="none" w:sz="0" w:space="0" w:color="000000"/>
          <w:between w:val="none" w:sz="0" w:space="0" w:color="000000"/>
        </w:pBdr>
        <w:spacing w:after="120" w:line="259" w:lineRule="auto"/>
        <w:jc w:val="left"/>
        <w:rPr>
          <w:sz w:val="20"/>
          <w:szCs w:val="20"/>
        </w:rPr>
      </w:pPr>
      <w:r w:rsidRPr="00DF406D">
        <w:rPr>
          <w:i/>
          <w:sz w:val="20"/>
          <w:szCs w:val="20"/>
        </w:rPr>
        <w:t>NA</w:t>
      </w:r>
    </w:p>
    <w:p w14:paraId="0168AE17" w14:textId="77777777" w:rsidR="00C952D0" w:rsidRPr="00DF406D" w:rsidRDefault="00C952D0" w:rsidP="00DF406D">
      <w:pPr>
        <w:spacing w:after="120"/>
        <w:ind w:left="1215"/>
        <w:rPr>
          <w:sz w:val="20"/>
          <w:szCs w:val="20"/>
        </w:rPr>
      </w:pPr>
    </w:p>
    <w:p w14:paraId="27EB51A5" w14:textId="77777777" w:rsidR="00C952D0" w:rsidRPr="00DF406D" w:rsidRDefault="008B0FC8" w:rsidP="00DF406D">
      <w:pPr>
        <w:numPr>
          <w:ilvl w:val="1"/>
          <w:numId w:val="8"/>
        </w:numPr>
        <w:spacing w:after="120"/>
        <w:rPr>
          <w:sz w:val="20"/>
          <w:szCs w:val="20"/>
          <w:u w:val="single"/>
        </w:rPr>
      </w:pPr>
      <w:r w:rsidRPr="00DF406D">
        <w:rPr>
          <w:sz w:val="20"/>
          <w:szCs w:val="20"/>
          <w:u w:val="single"/>
        </w:rPr>
        <w:t>TELUS Responsibilities</w:t>
      </w:r>
      <w:r w:rsidRPr="00DF406D">
        <w:rPr>
          <w:sz w:val="20"/>
          <w:szCs w:val="20"/>
        </w:rPr>
        <w:t>: TELUS shall be responsible for the following.</w:t>
      </w:r>
    </w:p>
    <w:p w14:paraId="09A7DDA5" w14:textId="77777777" w:rsidR="00C952D0" w:rsidRPr="00DF406D" w:rsidRDefault="008B0FC8" w:rsidP="00DF406D">
      <w:pPr>
        <w:numPr>
          <w:ilvl w:val="0"/>
          <w:numId w:val="23"/>
        </w:numPr>
        <w:spacing w:after="120"/>
        <w:rPr>
          <w:sz w:val="20"/>
          <w:szCs w:val="20"/>
        </w:rPr>
      </w:pPr>
      <w:r w:rsidRPr="00DF406D">
        <w:rPr>
          <w:sz w:val="20"/>
          <w:szCs w:val="20"/>
        </w:rPr>
        <w:t>The management of third party suppliers to the Program, except subcontractors to TI and except as otherwise agreed to by TI and TELUS;</w:t>
      </w:r>
    </w:p>
    <w:p w14:paraId="07EEB27D" w14:textId="77777777" w:rsidR="00C952D0" w:rsidRPr="00DF406D" w:rsidRDefault="008B0FC8" w:rsidP="00DF406D">
      <w:pPr>
        <w:numPr>
          <w:ilvl w:val="0"/>
          <w:numId w:val="23"/>
        </w:numPr>
        <w:spacing w:after="120"/>
        <w:rPr>
          <w:sz w:val="20"/>
          <w:szCs w:val="20"/>
        </w:rPr>
      </w:pPr>
      <w:r w:rsidRPr="00DF406D">
        <w:rPr>
          <w:sz w:val="20"/>
          <w:szCs w:val="20"/>
        </w:rPr>
        <w:t>With reasonable advance written notice from TI requesting access, providing TI with reasonable and timely access to TELUS employees (including subject matter experts and individuals with appropriate functional, technical and industry skills) and other resources, facilities, technical documentation and information systems necessary for TI to perform its obligations under this SOW;</w:t>
      </w:r>
    </w:p>
    <w:p w14:paraId="6B420F55" w14:textId="77777777" w:rsidR="00C952D0" w:rsidRPr="00DF406D" w:rsidRDefault="008B0FC8" w:rsidP="00DF406D">
      <w:pPr>
        <w:numPr>
          <w:ilvl w:val="0"/>
          <w:numId w:val="23"/>
        </w:numPr>
        <w:spacing w:after="120"/>
        <w:rPr>
          <w:sz w:val="20"/>
          <w:szCs w:val="20"/>
        </w:rPr>
      </w:pPr>
      <w:r w:rsidRPr="00DF406D">
        <w:rPr>
          <w:sz w:val="20"/>
          <w:szCs w:val="20"/>
        </w:rPr>
        <w:t>TELUS x-IDs;</w:t>
      </w:r>
    </w:p>
    <w:p w14:paraId="60530EA0" w14:textId="77777777" w:rsidR="00C952D0" w:rsidRPr="00DF406D" w:rsidRDefault="008B0FC8" w:rsidP="00DF406D">
      <w:pPr>
        <w:numPr>
          <w:ilvl w:val="0"/>
          <w:numId w:val="23"/>
        </w:numPr>
        <w:spacing w:after="120"/>
        <w:rPr>
          <w:sz w:val="20"/>
          <w:szCs w:val="20"/>
        </w:rPr>
      </w:pPr>
      <w:r w:rsidRPr="00DF406D">
        <w:rPr>
          <w:sz w:val="20"/>
          <w:szCs w:val="20"/>
        </w:rPr>
        <w:t>Appropriate access and login credentials to all TELUS tools, systems, servers, and other applicable resources necessary for TI to perform its obligations under this SOW;</w:t>
      </w:r>
    </w:p>
    <w:p w14:paraId="6D64F128" w14:textId="77777777" w:rsidR="00C952D0" w:rsidRPr="00DF406D" w:rsidRDefault="008B0FC8" w:rsidP="00DF406D">
      <w:pPr>
        <w:numPr>
          <w:ilvl w:val="0"/>
          <w:numId w:val="23"/>
        </w:numPr>
        <w:spacing w:after="120"/>
        <w:rPr>
          <w:sz w:val="20"/>
          <w:szCs w:val="20"/>
        </w:rPr>
      </w:pPr>
      <w:r w:rsidRPr="00DF406D">
        <w:rPr>
          <w:sz w:val="20"/>
          <w:szCs w:val="20"/>
        </w:rPr>
        <w:t>Reasonably timely responses to questions and approvals sought by TI from TELUS in writing, as applicable;</w:t>
      </w:r>
    </w:p>
    <w:p w14:paraId="54846DFC" w14:textId="77777777" w:rsidR="00C952D0" w:rsidRPr="00DF406D" w:rsidRDefault="008B0FC8" w:rsidP="00DF406D">
      <w:pPr>
        <w:numPr>
          <w:ilvl w:val="0"/>
          <w:numId w:val="23"/>
        </w:numPr>
        <w:spacing w:after="120"/>
        <w:rPr>
          <w:sz w:val="20"/>
          <w:szCs w:val="20"/>
        </w:rPr>
      </w:pPr>
      <w:r w:rsidRPr="00DF406D">
        <w:rPr>
          <w:sz w:val="20"/>
          <w:szCs w:val="20"/>
        </w:rPr>
        <w:t>[Note: Insert any other specific functions or activities within TELUS control and necessary for TELUS to perform in order for TI to meet its obligations under this SOW].</w:t>
      </w:r>
    </w:p>
    <w:p w14:paraId="777C5075" w14:textId="77777777" w:rsidR="00C952D0" w:rsidRPr="00DF406D" w:rsidRDefault="008B0FC8" w:rsidP="00DF406D">
      <w:pPr>
        <w:spacing w:after="120"/>
        <w:rPr>
          <w:sz w:val="20"/>
          <w:szCs w:val="20"/>
        </w:rPr>
      </w:pPr>
      <w:r w:rsidRPr="00DF406D">
        <w:rPr>
          <w:sz w:val="20"/>
          <w:szCs w:val="20"/>
        </w:rPr>
        <w:t>Notwithstanding the foregoing, TI will not have access to third party tools, systems, servers, facilities, documentation and other such resources, unless otherwise approved by TELUS manager.</w:t>
      </w:r>
    </w:p>
    <w:p w14:paraId="772798A1" w14:textId="77777777" w:rsidR="00C952D0" w:rsidRPr="00DF406D" w:rsidRDefault="00C952D0" w:rsidP="00DF406D">
      <w:pPr>
        <w:rPr>
          <w:smallCaps/>
          <w:sz w:val="20"/>
          <w:szCs w:val="20"/>
        </w:rPr>
      </w:pPr>
    </w:p>
    <w:p w14:paraId="451749B4"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spacing w:after="120"/>
        <w:ind w:left="600"/>
        <w:rPr>
          <w:b/>
          <w:smallCaps/>
          <w:sz w:val="20"/>
          <w:szCs w:val="20"/>
        </w:rPr>
      </w:pPr>
      <w:r w:rsidRPr="00DF406D">
        <w:rPr>
          <w:b/>
          <w:i/>
          <w:smallCaps/>
          <w:sz w:val="20"/>
          <w:szCs w:val="20"/>
        </w:rPr>
        <w:tab/>
      </w:r>
    </w:p>
    <w:p w14:paraId="297369EA" w14:textId="127A701A" w:rsidR="00F723B9" w:rsidRPr="00DF406D" w:rsidRDefault="00082919" w:rsidP="00DF406D">
      <w:pPr>
        <w:numPr>
          <w:ilvl w:val="0"/>
          <w:numId w:val="22"/>
        </w:numPr>
        <w:pBdr>
          <w:top w:val="none" w:sz="0" w:space="0" w:color="000000"/>
          <w:left w:val="none" w:sz="0" w:space="0" w:color="000000"/>
          <w:bottom w:val="none" w:sz="0" w:space="0" w:color="000000"/>
          <w:right w:val="none" w:sz="0" w:space="0" w:color="000000"/>
          <w:between w:val="none" w:sz="0" w:space="0" w:color="000000"/>
        </w:pBdr>
        <w:spacing w:after="120"/>
        <w:rPr>
          <w:b/>
          <w:smallCaps/>
          <w:sz w:val="20"/>
          <w:szCs w:val="20"/>
        </w:rPr>
      </w:pPr>
      <w:proofErr w:type="spellStart"/>
      <w:r w:rsidRPr="00DF406D">
        <w:rPr>
          <w:b/>
          <w:smallCaps/>
          <w:sz w:val="20"/>
          <w:szCs w:val="20"/>
        </w:rPr>
        <w:t>INTENTIONA</w:t>
      </w:r>
      <w:r w:rsidR="001C3A76" w:rsidRPr="00DF406D">
        <w:rPr>
          <w:b/>
          <w:smallCaps/>
          <w:sz w:val="20"/>
          <w:szCs w:val="20"/>
        </w:rPr>
        <w:t>l</w:t>
      </w:r>
      <w:r w:rsidRPr="00DF406D">
        <w:rPr>
          <w:b/>
          <w:smallCaps/>
          <w:sz w:val="20"/>
          <w:szCs w:val="20"/>
        </w:rPr>
        <w:t>LY</w:t>
      </w:r>
      <w:proofErr w:type="spellEnd"/>
      <w:r w:rsidRPr="00DF406D">
        <w:rPr>
          <w:b/>
          <w:smallCaps/>
          <w:sz w:val="20"/>
          <w:szCs w:val="20"/>
        </w:rPr>
        <w:t xml:space="preserve"> LEFT BLANK</w:t>
      </w:r>
    </w:p>
    <w:p w14:paraId="4BB30296" w14:textId="77777777" w:rsidR="00C952D0" w:rsidRPr="00DF406D" w:rsidRDefault="00C952D0" w:rsidP="00DF406D">
      <w:pPr>
        <w:rPr>
          <w:b/>
          <w:smallCaps/>
          <w:sz w:val="20"/>
          <w:szCs w:val="20"/>
        </w:rPr>
      </w:pPr>
    </w:p>
    <w:p w14:paraId="2D770065" w14:textId="77777777" w:rsidR="00C952D0" w:rsidRPr="00DF406D" w:rsidRDefault="008B0FC8" w:rsidP="00DF406D">
      <w:pPr>
        <w:numPr>
          <w:ilvl w:val="0"/>
          <w:numId w:val="6"/>
        </w:numPr>
        <w:spacing w:after="120"/>
        <w:ind w:left="616" w:hanging="616"/>
        <w:rPr>
          <w:b/>
          <w:smallCaps/>
          <w:sz w:val="20"/>
          <w:szCs w:val="20"/>
        </w:rPr>
      </w:pPr>
      <w:r w:rsidRPr="00DF406D">
        <w:rPr>
          <w:b/>
          <w:smallCaps/>
          <w:sz w:val="20"/>
          <w:szCs w:val="20"/>
        </w:rPr>
        <w:t>Fees, Expenses and Payment Terms</w:t>
      </w:r>
    </w:p>
    <w:p w14:paraId="4956FC9B" w14:textId="77777777" w:rsidR="004162A0" w:rsidRPr="00DF406D" w:rsidRDefault="004162A0" w:rsidP="00DF406D">
      <w:pPr>
        <w:numPr>
          <w:ilvl w:val="1"/>
          <w:numId w:val="6"/>
        </w:numPr>
        <w:pBdr>
          <w:top w:val="nil"/>
          <w:left w:val="nil"/>
          <w:bottom w:val="nil"/>
          <w:right w:val="nil"/>
          <w:between w:val="nil"/>
        </w:pBdr>
        <w:spacing w:after="120"/>
        <w:rPr>
          <w:sz w:val="20"/>
          <w:szCs w:val="20"/>
        </w:rPr>
      </w:pPr>
      <w:r w:rsidRPr="00DF406D">
        <w:rPr>
          <w:sz w:val="20"/>
          <w:szCs w:val="20"/>
        </w:rPr>
        <w:t>No Charges (fees, charges, expenses, etc.) will accrue to TELUS for this Program and Services other than those enumerated in this Section 9.</w:t>
      </w:r>
    </w:p>
    <w:p w14:paraId="29259EF3" w14:textId="77777777" w:rsidR="004162A0" w:rsidRPr="00DF406D" w:rsidRDefault="004162A0" w:rsidP="00DF406D">
      <w:pPr>
        <w:numPr>
          <w:ilvl w:val="1"/>
          <w:numId w:val="6"/>
        </w:numPr>
        <w:pBdr>
          <w:top w:val="nil"/>
          <w:left w:val="nil"/>
          <w:bottom w:val="nil"/>
          <w:right w:val="nil"/>
          <w:between w:val="nil"/>
        </w:pBdr>
        <w:spacing w:after="120"/>
        <w:rPr>
          <w:sz w:val="20"/>
          <w:szCs w:val="20"/>
        </w:rPr>
      </w:pPr>
      <w:r w:rsidRPr="00DF406D">
        <w:rPr>
          <w:sz w:val="20"/>
          <w:szCs w:val="20"/>
        </w:rPr>
        <w:lastRenderedPageBreak/>
        <w:t>Fee, payment and related terms are set forth in the Article 8 of the Agreement.</w:t>
      </w:r>
    </w:p>
    <w:p w14:paraId="234FA58C" w14:textId="77777777" w:rsidR="004162A0" w:rsidRPr="00DF406D" w:rsidRDefault="004162A0" w:rsidP="00DF406D">
      <w:pPr>
        <w:numPr>
          <w:ilvl w:val="1"/>
          <w:numId w:val="6"/>
        </w:numPr>
        <w:pBdr>
          <w:top w:val="nil"/>
          <w:left w:val="nil"/>
          <w:bottom w:val="nil"/>
          <w:right w:val="nil"/>
          <w:between w:val="nil"/>
        </w:pBdr>
        <w:spacing w:after="120"/>
        <w:rPr>
          <w:sz w:val="20"/>
          <w:szCs w:val="20"/>
        </w:rPr>
      </w:pPr>
      <w:r w:rsidRPr="00DF406D">
        <w:rPr>
          <w:sz w:val="20"/>
          <w:szCs w:val="20"/>
        </w:rPr>
        <w:t>The invoice amount for Services rendered during a particular calendar month shall be calculated as follows:</w:t>
      </w:r>
    </w:p>
    <w:p w14:paraId="418EBA76" w14:textId="444B6C8E" w:rsidR="004162A0" w:rsidRPr="00DF406D" w:rsidRDefault="004162A0" w:rsidP="00DF406D">
      <w:pPr>
        <w:spacing w:after="120"/>
        <w:ind w:left="607"/>
        <w:rPr>
          <w:sz w:val="20"/>
          <w:szCs w:val="20"/>
        </w:rPr>
      </w:pPr>
      <w:r w:rsidRPr="00DF406D">
        <w:rPr>
          <w:sz w:val="20"/>
          <w:szCs w:val="20"/>
        </w:rPr>
        <w:t>The total monthly Charge will be calculated by multiplying the month’s total eligible number of Transactions, for the calendar month in question, by the corresponding Transaction Rate shown in Table 9.3-1 (“Transaction Rate”)</w:t>
      </w:r>
      <w:r w:rsidR="0096118E" w:rsidRPr="00DF406D">
        <w:rPr>
          <w:sz w:val="20"/>
          <w:szCs w:val="20"/>
        </w:rPr>
        <w:t xml:space="preserve"> and presented to </w:t>
      </w:r>
      <w:proofErr w:type="spellStart"/>
      <w:r w:rsidR="0096118E" w:rsidRPr="00DF406D">
        <w:rPr>
          <w:sz w:val="20"/>
          <w:szCs w:val="20"/>
        </w:rPr>
        <w:t>Telus</w:t>
      </w:r>
      <w:proofErr w:type="spellEnd"/>
      <w:r w:rsidR="0096118E" w:rsidRPr="00DF406D">
        <w:rPr>
          <w:sz w:val="20"/>
          <w:szCs w:val="20"/>
        </w:rPr>
        <w:t xml:space="preserve"> Manager for approval on monthly basis. The invoice will accompany this </w:t>
      </w:r>
      <w:r w:rsidR="00A90D59" w:rsidRPr="00DF406D">
        <w:rPr>
          <w:sz w:val="20"/>
          <w:szCs w:val="20"/>
        </w:rPr>
        <w:t>written</w:t>
      </w:r>
      <w:r w:rsidR="0096118E" w:rsidRPr="00DF406D">
        <w:rPr>
          <w:sz w:val="20"/>
          <w:szCs w:val="20"/>
        </w:rPr>
        <w:t xml:space="preserve"> approval by </w:t>
      </w:r>
      <w:proofErr w:type="spellStart"/>
      <w:r w:rsidR="0096118E" w:rsidRPr="00DF406D">
        <w:rPr>
          <w:sz w:val="20"/>
          <w:szCs w:val="20"/>
        </w:rPr>
        <w:t>Telus</w:t>
      </w:r>
      <w:proofErr w:type="spellEnd"/>
      <w:r w:rsidR="0096118E" w:rsidRPr="00DF406D">
        <w:rPr>
          <w:sz w:val="20"/>
          <w:szCs w:val="20"/>
        </w:rPr>
        <w:t xml:space="preserve"> Manager of the cost calculation for the invoice </w:t>
      </w:r>
    </w:p>
    <w:p w14:paraId="1B94091A" w14:textId="77777777" w:rsidR="004162A0" w:rsidRPr="00DF406D" w:rsidRDefault="004162A0" w:rsidP="00DF406D">
      <w:pPr>
        <w:autoSpaceDE w:val="0"/>
        <w:autoSpaceDN w:val="0"/>
        <w:adjustRightInd w:val="0"/>
        <w:spacing w:after="60" w:line="360" w:lineRule="auto"/>
        <w:ind w:left="749"/>
        <w:rPr>
          <w:i/>
          <w:sz w:val="20"/>
          <w:u w:val="single"/>
        </w:rPr>
      </w:pPr>
      <w:r w:rsidRPr="00DF406D">
        <w:rPr>
          <w:i/>
          <w:sz w:val="20"/>
          <w:u w:val="single"/>
        </w:rPr>
        <w:t>Table 9.3-1:</w:t>
      </w:r>
      <w:r w:rsidRPr="00DF406D">
        <w:rPr>
          <w:i/>
          <w:sz w:val="20"/>
        </w:rPr>
        <w:t xml:space="preserve"> Transaction Rate</w:t>
      </w:r>
    </w:p>
    <w:tbl>
      <w:tblPr>
        <w:tblW w:w="852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0"/>
        <w:gridCol w:w="2143"/>
        <w:gridCol w:w="2489"/>
      </w:tblGrid>
      <w:tr w:rsidR="00DF406D" w:rsidRPr="00DF406D" w14:paraId="28A868F4" w14:textId="77777777" w:rsidTr="00A90D59">
        <w:trPr>
          <w:trHeight w:val="955"/>
        </w:trPr>
        <w:tc>
          <w:tcPr>
            <w:tcW w:w="3890" w:type="dxa"/>
            <w:shd w:val="clear" w:color="auto" w:fill="auto"/>
            <w:vAlign w:val="bottom"/>
            <w:hideMark/>
          </w:tcPr>
          <w:p w14:paraId="192DE1D2" w14:textId="77777777" w:rsidR="00BF5A70" w:rsidRPr="00DF406D" w:rsidRDefault="00BF5A70" w:rsidP="00DF406D">
            <w:pPr>
              <w:jc w:val="center"/>
              <w:rPr>
                <w:b/>
                <w:sz w:val="20"/>
              </w:rPr>
            </w:pPr>
            <w:r w:rsidRPr="00DF406D">
              <w:rPr>
                <w:b/>
                <w:sz w:val="20"/>
              </w:rPr>
              <w:t>Services Category</w:t>
            </w:r>
          </w:p>
          <w:p w14:paraId="103CF1AF" w14:textId="77777777" w:rsidR="00BF5A70" w:rsidRPr="00DF406D" w:rsidRDefault="00BF5A70" w:rsidP="00DF406D">
            <w:pPr>
              <w:jc w:val="center"/>
              <w:rPr>
                <w:b/>
                <w:sz w:val="20"/>
              </w:rPr>
            </w:pPr>
          </w:p>
          <w:p w14:paraId="0D10897D" w14:textId="77777777" w:rsidR="00BF5A70" w:rsidRPr="00DF406D" w:rsidRDefault="00BF5A70" w:rsidP="00DF406D">
            <w:pPr>
              <w:jc w:val="center"/>
              <w:rPr>
                <w:b/>
                <w:sz w:val="20"/>
              </w:rPr>
            </w:pPr>
          </w:p>
        </w:tc>
        <w:tc>
          <w:tcPr>
            <w:tcW w:w="2143" w:type="dxa"/>
          </w:tcPr>
          <w:p w14:paraId="4E773BC1" w14:textId="77777777" w:rsidR="00BF5A70" w:rsidRPr="00DF406D" w:rsidRDefault="00BF5A70" w:rsidP="00DF406D">
            <w:pPr>
              <w:jc w:val="center"/>
              <w:rPr>
                <w:b/>
                <w:sz w:val="20"/>
              </w:rPr>
            </w:pPr>
          </w:p>
          <w:p w14:paraId="4F3C2F8F" w14:textId="77777777" w:rsidR="00BF5A70" w:rsidRPr="00DF406D" w:rsidRDefault="00BF5A70" w:rsidP="00DF406D">
            <w:pPr>
              <w:jc w:val="center"/>
              <w:rPr>
                <w:b/>
                <w:sz w:val="20"/>
              </w:rPr>
            </w:pPr>
          </w:p>
          <w:p w14:paraId="52F94FA0" w14:textId="77777777" w:rsidR="00BF5A70" w:rsidRPr="00DF406D" w:rsidRDefault="00BF5A70" w:rsidP="00DF406D">
            <w:pPr>
              <w:jc w:val="center"/>
              <w:rPr>
                <w:b/>
                <w:sz w:val="20"/>
              </w:rPr>
            </w:pPr>
            <w:r w:rsidRPr="00DF406D">
              <w:rPr>
                <w:b/>
                <w:sz w:val="20"/>
              </w:rPr>
              <w:t xml:space="preserve">Shift </w:t>
            </w:r>
          </w:p>
          <w:p w14:paraId="41707C53" w14:textId="77777777" w:rsidR="00BF5A70" w:rsidRPr="00DF406D" w:rsidRDefault="00BF5A70" w:rsidP="00DF406D">
            <w:pPr>
              <w:jc w:val="center"/>
              <w:rPr>
                <w:b/>
                <w:sz w:val="20"/>
              </w:rPr>
            </w:pPr>
            <w:r w:rsidRPr="00DF406D">
              <w:rPr>
                <w:b/>
                <w:sz w:val="20"/>
              </w:rPr>
              <w:t>Coverage</w:t>
            </w:r>
          </w:p>
        </w:tc>
        <w:tc>
          <w:tcPr>
            <w:tcW w:w="2489" w:type="dxa"/>
          </w:tcPr>
          <w:p w14:paraId="135E55C5" w14:textId="77777777" w:rsidR="00BF5A70" w:rsidRPr="00DF406D" w:rsidRDefault="00BF5A70" w:rsidP="00DF406D">
            <w:pPr>
              <w:jc w:val="center"/>
              <w:rPr>
                <w:b/>
                <w:sz w:val="20"/>
              </w:rPr>
            </w:pPr>
            <w:r w:rsidRPr="00DF406D">
              <w:rPr>
                <w:b/>
                <w:sz w:val="20"/>
              </w:rPr>
              <w:br/>
              <w:t>Transaction</w:t>
            </w:r>
            <w:r w:rsidRPr="00DF406D">
              <w:rPr>
                <w:b/>
                <w:sz w:val="20"/>
              </w:rPr>
              <w:br/>
              <w:t>Rate</w:t>
            </w:r>
          </w:p>
          <w:p w14:paraId="250D2356" w14:textId="77777777" w:rsidR="00BF5A70" w:rsidRPr="00DF406D" w:rsidRDefault="00BF5A70" w:rsidP="00DF406D">
            <w:pPr>
              <w:jc w:val="center"/>
              <w:rPr>
                <w:b/>
                <w:sz w:val="20"/>
              </w:rPr>
            </w:pPr>
            <w:r w:rsidRPr="00DF406D">
              <w:rPr>
                <w:b/>
                <w:sz w:val="20"/>
              </w:rPr>
              <w:t>(CAD)</w:t>
            </w:r>
          </w:p>
          <w:p w14:paraId="041159A3" w14:textId="77777777" w:rsidR="00BF5A70" w:rsidRPr="00DF406D" w:rsidRDefault="00BF5A70" w:rsidP="00DF406D">
            <w:pPr>
              <w:jc w:val="center"/>
              <w:rPr>
                <w:b/>
                <w:sz w:val="20"/>
              </w:rPr>
            </w:pPr>
          </w:p>
        </w:tc>
      </w:tr>
      <w:tr w:rsidR="00DF406D" w:rsidRPr="00DF406D" w14:paraId="59079679" w14:textId="77777777" w:rsidTr="00A90D59">
        <w:trPr>
          <w:trHeight w:val="300"/>
        </w:trPr>
        <w:tc>
          <w:tcPr>
            <w:tcW w:w="3890" w:type="dxa"/>
            <w:shd w:val="clear" w:color="auto" w:fill="auto"/>
            <w:vAlign w:val="center"/>
            <w:hideMark/>
          </w:tcPr>
          <w:p w14:paraId="5FCF2EF5" w14:textId="77777777" w:rsidR="00BF5A70" w:rsidRPr="00DF406D" w:rsidRDefault="00BF5A70" w:rsidP="00DF406D">
            <w:pPr>
              <w:rPr>
                <w:sz w:val="20"/>
              </w:rPr>
            </w:pPr>
            <w:r w:rsidRPr="00DF406D">
              <w:rPr>
                <w:sz w:val="20"/>
                <w:szCs w:val="20"/>
              </w:rPr>
              <w:t xml:space="preserve">Wholesale (Ticket Volume)    </w:t>
            </w:r>
          </w:p>
        </w:tc>
        <w:tc>
          <w:tcPr>
            <w:tcW w:w="2143" w:type="dxa"/>
          </w:tcPr>
          <w:p w14:paraId="2A49506F" w14:textId="77777777" w:rsidR="00BF5A70" w:rsidRPr="00DF406D" w:rsidRDefault="00BF5A70" w:rsidP="00DF406D">
            <w:pPr>
              <w:jc w:val="center"/>
              <w:rPr>
                <w:sz w:val="20"/>
                <w:szCs w:val="20"/>
              </w:rPr>
            </w:pPr>
            <w:r w:rsidRPr="00DF406D">
              <w:rPr>
                <w:sz w:val="20"/>
                <w:szCs w:val="20"/>
              </w:rPr>
              <w:t>7x14</w:t>
            </w:r>
          </w:p>
        </w:tc>
        <w:tc>
          <w:tcPr>
            <w:tcW w:w="2489" w:type="dxa"/>
            <w:vAlign w:val="center"/>
          </w:tcPr>
          <w:p w14:paraId="599F8D96" w14:textId="77777777" w:rsidR="00BF5A70" w:rsidRPr="00DF406D" w:rsidRDefault="00BF5A70" w:rsidP="00DF406D">
            <w:pPr>
              <w:jc w:val="center"/>
              <w:rPr>
                <w:sz w:val="20"/>
              </w:rPr>
            </w:pPr>
            <w:r w:rsidRPr="00DF406D">
              <w:rPr>
                <w:sz w:val="20"/>
                <w:szCs w:val="20"/>
              </w:rPr>
              <w:t>$4.78</w:t>
            </w:r>
          </w:p>
        </w:tc>
      </w:tr>
      <w:tr w:rsidR="00DF406D" w:rsidRPr="00DF406D" w14:paraId="4F228742" w14:textId="77777777" w:rsidTr="00A90D59">
        <w:trPr>
          <w:trHeight w:val="300"/>
        </w:trPr>
        <w:tc>
          <w:tcPr>
            <w:tcW w:w="3890" w:type="dxa"/>
            <w:shd w:val="clear" w:color="auto" w:fill="auto"/>
            <w:vAlign w:val="center"/>
          </w:tcPr>
          <w:p w14:paraId="132477C7" w14:textId="77777777" w:rsidR="00BF5A70" w:rsidRPr="00DF406D" w:rsidRDefault="00BF5A70" w:rsidP="00DF406D">
            <w:pPr>
              <w:rPr>
                <w:sz w:val="20"/>
              </w:rPr>
            </w:pPr>
            <w:r w:rsidRPr="00DF406D">
              <w:rPr>
                <w:sz w:val="20"/>
                <w:szCs w:val="20"/>
              </w:rPr>
              <w:t xml:space="preserve">Wholesale Provisioning         </w:t>
            </w:r>
          </w:p>
        </w:tc>
        <w:tc>
          <w:tcPr>
            <w:tcW w:w="2143" w:type="dxa"/>
          </w:tcPr>
          <w:p w14:paraId="7913BC45" w14:textId="77777777" w:rsidR="00BF5A70" w:rsidRPr="00DF406D" w:rsidRDefault="00BF5A70" w:rsidP="00DF406D">
            <w:pPr>
              <w:jc w:val="center"/>
              <w:rPr>
                <w:sz w:val="20"/>
                <w:szCs w:val="20"/>
              </w:rPr>
            </w:pPr>
            <w:r w:rsidRPr="00DF406D">
              <w:rPr>
                <w:sz w:val="20"/>
                <w:szCs w:val="20"/>
              </w:rPr>
              <w:t>7x14</w:t>
            </w:r>
          </w:p>
        </w:tc>
        <w:tc>
          <w:tcPr>
            <w:tcW w:w="2489" w:type="dxa"/>
            <w:vAlign w:val="center"/>
          </w:tcPr>
          <w:p w14:paraId="052A9F00" w14:textId="77777777" w:rsidR="00BF5A70" w:rsidRPr="00DF406D" w:rsidRDefault="00BF5A70" w:rsidP="00DF406D">
            <w:pPr>
              <w:jc w:val="center"/>
              <w:rPr>
                <w:sz w:val="20"/>
              </w:rPr>
            </w:pPr>
            <w:r w:rsidRPr="00DF406D">
              <w:rPr>
                <w:sz w:val="20"/>
                <w:szCs w:val="20"/>
              </w:rPr>
              <w:t>$1.50</w:t>
            </w:r>
          </w:p>
        </w:tc>
      </w:tr>
      <w:tr w:rsidR="00DF406D" w:rsidRPr="00DF406D" w14:paraId="622170D3" w14:textId="77777777" w:rsidTr="00A90D59">
        <w:trPr>
          <w:trHeight w:val="300"/>
        </w:trPr>
        <w:tc>
          <w:tcPr>
            <w:tcW w:w="3890" w:type="dxa"/>
            <w:shd w:val="clear" w:color="auto" w:fill="auto"/>
            <w:vAlign w:val="center"/>
          </w:tcPr>
          <w:p w14:paraId="7AABDB05" w14:textId="77777777" w:rsidR="00BF5A70" w:rsidRPr="00DF406D" w:rsidRDefault="00BF5A70" w:rsidP="00DF406D">
            <w:pPr>
              <w:rPr>
                <w:bCs/>
                <w:sz w:val="20"/>
                <w:szCs w:val="22"/>
                <w:lang w:val="fr-FR"/>
              </w:rPr>
            </w:pPr>
            <w:r w:rsidRPr="00DF406D">
              <w:rPr>
                <w:sz w:val="20"/>
                <w:szCs w:val="20"/>
              </w:rPr>
              <w:t>TAM</w:t>
            </w:r>
          </w:p>
        </w:tc>
        <w:tc>
          <w:tcPr>
            <w:tcW w:w="2143" w:type="dxa"/>
          </w:tcPr>
          <w:p w14:paraId="2DFE4C2C" w14:textId="77777777" w:rsidR="00BF5A70" w:rsidRPr="00DF406D" w:rsidRDefault="00BF5A70" w:rsidP="00DF406D">
            <w:pPr>
              <w:jc w:val="center"/>
              <w:rPr>
                <w:sz w:val="20"/>
                <w:szCs w:val="20"/>
              </w:rPr>
            </w:pPr>
            <w:r w:rsidRPr="00DF406D">
              <w:rPr>
                <w:sz w:val="20"/>
                <w:szCs w:val="20"/>
              </w:rPr>
              <w:t>5x14</w:t>
            </w:r>
          </w:p>
        </w:tc>
        <w:tc>
          <w:tcPr>
            <w:tcW w:w="2489" w:type="dxa"/>
            <w:vAlign w:val="center"/>
          </w:tcPr>
          <w:p w14:paraId="0FBD097B" w14:textId="77777777" w:rsidR="00BF5A70" w:rsidRPr="00DF406D" w:rsidRDefault="00BF5A70" w:rsidP="00DF406D">
            <w:pPr>
              <w:jc w:val="center"/>
              <w:rPr>
                <w:sz w:val="20"/>
                <w:lang w:val="fr-FR"/>
              </w:rPr>
            </w:pPr>
            <w:r w:rsidRPr="00DF406D">
              <w:rPr>
                <w:sz w:val="20"/>
                <w:szCs w:val="20"/>
              </w:rPr>
              <w:t>$5.83</w:t>
            </w:r>
          </w:p>
        </w:tc>
      </w:tr>
      <w:tr w:rsidR="00BF5A70" w:rsidRPr="00DF406D" w14:paraId="56C78CC5" w14:textId="77777777" w:rsidTr="00A90D59">
        <w:trPr>
          <w:trHeight w:val="300"/>
        </w:trPr>
        <w:tc>
          <w:tcPr>
            <w:tcW w:w="3890" w:type="dxa"/>
            <w:shd w:val="clear" w:color="auto" w:fill="auto"/>
            <w:vAlign w:val="center"/>
          </w:tcPr>
          <w:p w14:paraId="37F230E2" w14:textId="77777777" w:rsidR="00BF5A70" w:rsidRPr="00DF406D" w:rsidRDefault="00BF5A70" w:rsidP="00DF406D">
            <w:pPr>
              <w:rPr>
                <w:bCs/>
                <w:sz w:val="20"/>
                <w:szCs w:val="22"/>
                <w:lang w:val="fr-FR"/>
              </w:rPr>
            </w:pPr>
            <w:r w:rsidRPr="00DF406D">
              <w:rPr>
                <w:sz w:val="20"/>
                <w:szCs w:val="20"/>
              </w:rPr>
              <w:t>Out Orders</w:t>
            </w:r>
          </w:p>
        </w:tc>
        <w:tc>
          <w:tcPr>
            <w:tcW w:w="2143" w:type="dxa"/>
          </w:tcPr>
          <w:p w14:paraId="614A2CF6" w14:textId="77777777" w:rsidR="00BF5A70" w:rsidRPr="00DF406D" w:rsidRDefault="00BF5A70" w:rsidP="00DF406D">
            <w:pPr>
              <w:jc w:val="center"/>
              <w:rPr>
                <w:sz w:val="20"/>
                <w:szCs w:val="20"/>
              </w:rPr>
            </w:pPr>
            <w:r w:rsidRPr="00DF406D">
              <w:rPr>
                <w:sz w:val="20"/>
                <w:szCs w:val="20"/>
              </w:rPr>
              <w:t>7x24</w:t>
            </w:r>
          </w:p>
        </w:tc>
        <w:tc>
          <w:tcPr>
            <w:tcW w:w="2489" w:type="dxa"/>
            <w:vAlign w:val="center"/>
          </w:tcPr>
          <w:p w14:paraId="75ABB18E" w14:textId="77777777" w:rsidR="00BF5A70" w:rsidRPr="00DF406D" w:rsidRDefault="00BF5A70" w:rsidP="00DF406D">
            <w:pPr>
              <w:jc w:val="center"/>
              <w:rPr>
                <w:sz w:val="20"/>
                <w:lang w:val="fr-FR"/>
              </w:rPr>
            </w:pPr>
            <w:r w:rsidRPr="00DF406D">
              <w:rPr>
                <w:sz w:val="20"/>
                <w:szCs w:val="20"/>
              </w:rPr>
              <w:t>$0.37</w:t>
            </w:r>
          </w:p>
        </w:tc>
      </w:tr>
    </w:tbl>
    <w:p w14:paraId="407048E5" w14:textId="77777777" w:rsidR="004162A0" w:rsidRPr="00DF406D" w:rsidRDefault="004162A0" w:rsidP="00DF406D">
      <w:pPr>
        <w:spacing w:after="120"/>
        <w:ind w:left="607"/>
        <w:rPr>
          <w:sz w:val="20"/>
          <w:szCs w:val="20"/>
          <w:lang w:val="fr-FR"/>
        </w:rPr>
      </w:pPr>
    </w:p>
    <w:p w14:paraId="2EA93F2D" w14:textId="77777777" w:rsidR="004162A0" w:rsidRPr="00DF406D" w:rsidRDefault="004162A0" w:rsidP="00DF406D">
      <w:pPr>
        <w:numPr>
          <w:ilvl w:val="1"/>
          <w:numId w:val="6"/>
        </w:numPr>
        <w:pBdr>
          <w:top w:val="nil"/>
          <w:left w:val="nil"/>
          <w:bottom w:val="nil"/>
          <w:right w:val="nil"/>
          <w:between w:val="nil"/>
        </w:pBdr>
        <w:spacing w:after="120"/>
        <w:rPr>
          <w:sz w:val="20"/>
        </w:rPr>
      </w:pPr>
      <w:r w:rsidRPr="00DF406D">
        <w:rPr>
          <w:sz w:val="20"/>
        </w:rPr>
        <w:t>TELUS Annual Forecast. Fourteen (14) calendar da</w:t>
      </w:r>
      <w:r w:rsidR="00BF5A70" w:rsidRPr="00DF406D">
        <w:rPr>
          <w:sz w:val="20"/>
        </w:rPr>
        <w:t>ys prior to June 24, 2019</w:t>
      </w:r>
      <w:r w:rsidRPr="00DF406D">
        <w:rPr>
          <w:sz w:val="20"/>
        </w:rPr>
        <w:t xml:space="preserve"> and approximately annually thereafter, TELUS may provide to TI in writing a twelve (12) month estimate of expected Transactions (the “TELUS Annual Forecast”) for TI’s annual resource planning purposes only. If at any time during the SOW Term, TELUS fails to provide TI with a TELUS Annual Forecast on or around the date required, TI will notify TELUS, in writing, and will use the last estimate received from TELUS for annual planning and other purposes until such time as TELUS provides an updated TELUS Annual Forecast.</w:t>
      </w:r>
    </w:p>
    <w:p w14:paraId="2DE96DDA" w14:textId="77777777" w:rsidR="004162A0" w:rsidRPr="00DF406D" w:rsidRDefault="004162A0" w:rsidP="00DF406D">
      <w:pPr>
        <w:spacing w:after="120"/>
        <w:ind w:left="644"/>
        <w:rPr>
          <w:sz w:val="20"/>
        </w:rPr>
      </w:pPr>
      <w:r w:rsidRPr="00DF406D">
        <w:rPr>
          <w:sz w:val="20"/>
        </w:rPr>
        <w:t>As of the SOW Effective Date, TELUS’ estimate of expe</w:t>
      </w:r>
      <w:r w:rsidR="00BF5A70" w:rsidRPr="00DF406D">
        <w:rPr>
          <w:sz w:val="20"/>
        </w:rPr>
        <w:t>cted Transactions from July 2019</w:t>
      </w:r>
      <w:r w:rsidRPr="00DF406D">
        <w:rPr>
          <w:sz w:val="20"/>
        </w:rPr>
        <w:t xml:space="preserve"> to June 2</w:t>
      </w:r>
      <w:r w:rsidR="00BF5A70" w:rsidRPr="00DF406D">
        <w:rPr>
          <w:sz w:val="20"/>
        </w:rPr>
        <w:t>020</w:t>
      </w:r>
      <w:r w:rsidRPr="00DF406D">
        <w:rPr>
          <w:sz w:val="20"/>
        </w:rPr>
        <w:t xml:space="preserve"> is as follows:</w:t>
      </w:r>
    </w:p>
    <w:p w14:paraId="6F280920" w14:textId="77777777" w:rsidR="004162A0" w:rsidRPr="00DF406D" w:rsidRDefault="004162A0" w:rsidP="00DF406D">
      <w:pPr>
        <w:spacing w:after="120"/>
        <w:ind w:left="644"/>
        <w:rPr>
          <w:i/>
          <w:sz w:val="20"/>
        </w:rPr>
      </w:pPr>
      <w:r w:rsidRPr="00DF406D">
        <w:rPr>
          <w:i/>
          <w:sz w:val="20"/>
        </w:rPr>
        <w:t>Table 9.4-1: Initial TELUS Annual Forecast</w:t>
      </w:r>
    </w:p>
    <w:tbl>
      <w:tblPr>
        <w:tblW w:w="10422" w:type="dxa"/>
        <w:tblInd w:w="-5" w:type="dxa"/>
        <w:tblLook w:val="04A0" w:firstRow="1" w:lastRow="0" w:firstColumn="1" w:lastColumn="0" w:noHBand="0" w:noVBand="1"/>
      </w:tblPr>
      <w:tblGrid>
        <w:gridCol w:w="1418"/>
        <w:gridCol w:w="685"/>
        <w:gridCol w:w="766"/>
        <w:gridCol w:w="749"/>
        <w:gridCol w:w="738"/>
        <w:gridCol w:w="774"/>
        <w:gridCol w:w="756"/>
        <w:gridCol w:w="725"/>
        <w:gridCol w:w="747"/>
        <w:gridCol w:w="783"/>
        <w:gridCol w:w="747"/>
        <w:gridCol w:w="802"/>
        <w:gridCol w:w="732"/>
      </w:tblGrid>
      <w:tr w:rsidR="00DF406D" w:rsidRPr="00DF406D" w14:paraId="28375BAE" w14:textId="77777777" w:rsidTr="00BF5A70">
        <w:trPr>
          <w:trHeight w:val="300"/>
        </w:trPr>
        <w:tc>
          <w:tcPr>
            <w:tcW w:w="1418"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6DF31505" w14:textId="5EB5FB8C" w:rsidR="00BF5A70" w:rsidRPr="00DF406D" w:rsidRDefault="00BF5A70" w:rsidP="00DF406D">
            <w:pPr>
              <w:jc w:val="left"/>
              <w:rPr>
                <w:rFonts w:ascii="Calibri" w:eastAsia="Times New Roman" w:hAnsi="Calibri" w:cs="Times New Roman"/>
                <w:b/>
                <w:bCs/>
                <w:sz w:val="16"/>
                <w:szCs w:val="16"/>
              </w:rPr>
            </w:pPr>
            <w:r w:rsidRPr="00DF406D">
              <w:rPr>
                <w:rFonts w:ascii="Calibri" w:eastAsia="Times New Roman" w:hAnsi="Calibri" w:cs="Times New Roman"/>
                <w:b/>
                <w:bCs/>
                <w:sz w:val="16"/>
                <w:szCs w:val="16"/>
              </w:rPr>
              <w:t>Forecast Volumes</w:t>
            </w:r>
          </w:p>
        </w:tc>
        <w:tc>
          <w:tcPr>
            <w:tcW w:w="685"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217A5F86"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Jul-19</w:t>
            </w:r>
          </w:p>
        </w:tc>
        <w:tc>
          <w:tcPr>
            <w:tcW w:w="766" w:type="dxa"/>
            <w:tcBorders>
              <w:top w:val="single" w:sz="4" w:space="0" w:color="auto"/>
              <w:left w:val="nil"/>
              <w:bottom w:val="single" w:sz="4" w:space="0" w:color="auto"/>
              <w:right w:val="single" w:sz="4" w:space="0" w:color="auto"/>
            </w:tcBorders>
            <w:shd w:val="clear" w:color="000000" w:fill="7030A0"/>
            <w:noWrap/>
            <w:vAlign w:val="center"/>
            <w:hideMark/>
          </w:tcPr>
          <w:p w14:paraId="6EAF5126"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Aug-19</w:t>
            </w:r>
          </w:p>
        </w:tc>
        <w:tc>
          <w:tcPr>
            <w:tcW w:w="749" w:type="dxa"/>
            <w:tcBorders>
              <w:top w:val="single" w:sz="4" w:space="0" w:color="auto"/>
              <w:left w:val="nil"/>
              <w:bottom w:val="single" w:sz="4" w:space="0" w:color="auto"/>
              <w:right w:val="single" w:sz="4" w:space="0" w:color="auto"/>
            </w:tcBorders>
            <w:shd w:val="clear" w:color="000000" w:fill="7030A0"/>
            <w:noWrap/>
            <w:vAlign w:val="center"/>
            <w:hideMark/>
          </w:tcPr>
          <w:p w14:paraId="56C904DB"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Sep-19</w:t>
            </w:r>
          </w:p>
        </w:tc>
        <w:tc>
          <w:tcPr>
            <w:tcW w:w="738" w:type="dxa"/>
            <w:tcBorders>
              <w:top w:val="single" w:sz="4" w:space="0" w:color="auto"/>
              <w:left w:val="nil"/>
              <w:bottom w:val="single" w:sz="4" w:space="0" w:color="auto"/>
              <w:right w:val="single" w:sz="4" w:space="0" w:color="auto"/>
            </w:tcBorders>
            <w:shd w:val="clear" w:color="000000" w:fill="7030A0"/>
            <w:noWrap/>
            <w:vAlign w:val="center"/>
            <w:hideMark/>
          </w:tcPr>
          <w:p w14:paraId="78CC2EAE"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Oct-19</w:t>
            </w:r>
          </w:p>
        </w:tc>
        <w:tc>
          <w:tcPr>
            <w:tcW w:w="774" w:type="dxa"/>
            <w:tcBorders>
              <w:top w:val="single" w:sz="4" w:space="0" w:color="auto"/>
              <w:left w:val="nil"/>
              <w:bottom w:val="single" w:sz="4" w:space="0" w:color="auto"/>
              <w:right w:val="single" w:sz="4" w:space="0" w:color="auto"/>
            </w:tcBorders>
            <w:shd w:val="clear" w:color="000000" w:fill="7030A0"/>
            <w:noWrap/>
            <w:vAlign w:val="center"/>
            <w:hideMark/>
          </w:tcPr>
          <w:p w14:paraId="4C27C358"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Nov-19</w:t>
            </w:r>
          </w:p>
        </w:tc>
        <w:tc>
          <w:tcPr>
            <w:tcW w:w="756" w:type="dxa"/>
            <w:tcBorders>
              <w:top w:val="single" w:sz="4" w:space="0" w:color="auto"/>
              <w:left w:val="nil"/>
              <w:bottom w:val="single" w:sz="4" w:space="0" w:color="auto"/>
              <w:right w:val="single" w:sz="4" w:space="0" w:color="auto"/>
            </w:tcBorders>
            <w:shd w:val="clear" w:color="000000" w:fill="7030A0"/>
            <w:noWrap/>
            <w:vAlign w:val="center"/>
            <w:hideMark/>
          </w:tcPr>
          <w:p w14:paraId="2C7DE3CE"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Dec-19</w:t>
            </w:r>
          </w:p>
        </w:tc>
        <w:tc>
          <w:tcPr>
            <w:tcW w:w="725" w:type="dxa"/>
            <w:tcBorders>
              <w:top w:val="single" w:sz="4" w:space="0" w:color="auto"/>
              <w:left w:val="nil"/>
              <w:bottom w:val="single" w:sz="4" w:space="0" w:color="auto"/>
              <w:right w:val="single" w:sz="4" w:space="0" w:color="auto"/>
            </w:tcBorders>
            <w:shd w:val="clear" w:color="000000" w:fill="7030A0"/>
            <w:noWrap/>
            <w:vAlign w:val="center"/>
            <w:hideMark/>
          </w:tcPr>
          <w:p w14:paraId="749931B2"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Jan-20</w:t>
            </w:r>
          </w:p>
        </w:tc>
        <w:tc>
          <w:tcPr>
            <w:tcW w:w="747" w:type="dxa"/>
            <w:tcBorders>
              <w:top w:val="single" w:sz="4" w:space="0" w:color="auto"/>
              <w:left w:val="nil"/>
              <w:bottom w:val="single" w:sz="4" w:space="0" w:color="auto"/>
              <w:right w:val="single" w:sz="4" w:space="0" w:color="auto"/>
            </w:tcBorders>
            <w:shd w:val="clear" w:color="000000" w:fill="7030A0"/>
            <w:noWrap/>
            <w:vAlign w:val="center"/>
            <w:hideMark/>
          </w:tcPr>
          <w:p w14:paraId="34146E07"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Feb-20</w:t>
            </w:r>
          </w:p>
        </w:tc>
        <w:tc>
          <w:tcPr>
            <w:tcW w:w="783" w:type="dxa"/>
            <w:tcBorders>
              <w:top w:val="single" w:sz="4" w:space="0" w:color="auto"/>
              <w:left w:val="nil"/>
              <w:bottom w:val="single" w:sz="4" w:space="0" w:color="auto"/>
              <w:right w:val="single" w:sz="4" w:space="0" w:color="auto"/>
            </w:tcBorders>
            <w:shd w:val="clear" w:color="000000" w:fill="7030A0"/>
            <w:noWrap/>
            <w:vAlign w:val="center"/>
            <w:hideMark/>
          </w:tcPr>
          <w:p w14:paraId="0ECDDFD5"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Mar-20</w:t>
            </w:r>
          </w:p>
        </w:tc>
        <w:tc>
          <w:tcPr>
            <w:tcW w:w="747" w:type="dxa"/>
            <w:tcBorders>
              <w:top w:val="single" w:sz="4" w:space="0" w:color="auto"/>
              <w:left w:val="nil"/>
              <w:bottom w:val="single" w:sz="4" w:space="0" w:color="auto"/>
              <w:right w:val="single" w:sz="4" w:space="0" w:color="auto"/>
            </w:tcBorders>
            <w:shd w:val="clear" w:color="000000" w:fill="7030A0"/>
            <w:noWrap/>
            <w:vAlign w:val="center"/>
            <w:hideMark/>
          </w:tcPr>
          <w:p w14:paraId="0B10A754"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Apr-20</w:t>
            </w:r>
          </w:p>
        </w:tc>
        <w:tc>
          <w:tcPr>
            <w:tcW w:w="802" w:type="dxa"/>
            <w:tcBorders>
              <w:top w:val="single" w:sz="4" w:space="0" w:color="auto"/>
              <w:left w:val="nil"/>
              <w:bottom w:val="single" w:sz="4" w:space="0" w:color="auto"/>
              <w:right w:val="single" w:sz="4" w:space="0" w:color="auto"/>
            </w:tcBorders>
            <w:shd w:val="clear" w:color="000000" w:fill="7030A0"/>
            <w:noWrap/>
            <w:vAlign w:val="center"/>
            <w:hideMark/>
          </w:tcPr>
          <w:p w14:paraId="18EFF6CB"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May-20</w:t>
            </w:r>
          </w:p>
        </w:tc>
        <w:tc>
          <w:tcPr>
            <w:tcW w:w="732" w:type="dxa"/>
            <w:tcBorders>
              <w:top w:val="single" w:sz="4" w:space="0" w:color="auto"/>
              <w:left w:val="nil"/>
              <w:bottom w:val="single" w:sz="4" w:space="0" w:color="auto"/>
              <w:right w:val="single" w:sz="4" w:space="0" w:color="auto"/>
            </w:tcBorders>
            <w:shd w:val="clear" w:color="000000" w:fill="7030A0"/>
            <w:noWrap/>
            <w:vAlign w:val="center"/>
            <w:hideMark/>
          </w:tcPr>
          <w:p w14:paraId="48DB82D7" w14:textId="77777777" w:rsidR="00BF5A70" w:rsidRPr="00DF406D" w:rsidRDefault="00BF5A70" w:rsidP="00DF406D">
            <w:pPr>
              <w:jc w:val="center"/>
              <w:rPr>
                <w:rFonts w:ascii="Calibri" w:eastAsia="Times New Roman" w:hAnsi="Calibri" w:cs="Times New Roman"/>
                <w:b/>
                <w:bCs/>
                <w:sz w:val="16"/>
                <w:szCs w:val="16"/>
              </w:rPr>
            </w:pPr>
            <w:r w:rsidRPr="00DF406D">
              <w:rPr>
                <w:rFonts w:ascii="Calibri" w:eastAsia="Times New Roman" w:hAnsi="Calibri" w:cs="Times New Roman"/>
                <w:b/>
                <w:bCs/>
                <w:sz w:val="16"/>
                <w:szCs w:val="16"/>
              </w:rPr>
              <w:t>Jun-20</w:t>
            </w:r>
          </w:p>
        </w:tc>
      </w:tr>
      <w:tr w:rsidR="00DF406D" w:rsidRPr="00DF406D" w14:paraId="43D042B3" w14:textId="77777777" w:rsidTr="00A90D59">
        <w:trPr>
          <w:trHeight w:val="300"/>
        </w:trPr>
        <w:tc>
          <w:tcPr>
            <w:tcW w:w="1418" w:type="dxa"/>
            <w:tcBorders>
              <w:top w:val="nil"/>
              <w:left w:val="single" w:sz="4" w:space="0" w:color="auto"/>
              <w:bottom w:val="single" w:sz="4" w:space="0" w:color="auto"/>
              <w:right w:val="single" w:sz="4" w:space="0" w:color="auto"/>
            </w:tcBorders>
            <w:shd w:val="clear" w:color="auto" w:fill="auto"/>
            <w:noWrap/>
            <w:hideMark/>
          </w:tcPr>
          <w:p w14:paraId="6EC4F96D" w14:textId="77777777" w:rsidR="00BF5A70" w:rsidRPr="00DF406D" w:rsidRDefault="00BF5A70" w:rsidP="00DF406D">
            <w:pPr>
              <w:jc w:val="left"/>
              <w:rPr>
                <w:rFonts w:eastAsia="Times New Roman"/>
                <w:sz w:val="16"/>
                <w:szCs w:val="16"/>
              </w:rPr>
            </w:pPr>
            <w:r w:rsidRPr="00DF406D">
              <w:rPr>
                <w:sz w:val="16"/>
                <w:szCs w:val="16"/>
              </w:rPr>
              <w:t xml:space="preserve">Wholesale (Ticket Volume)    </w:t>
            </w:r>
          </w:p>
        </w:tc>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15A1B4EC" w14:textId="77777777" w:rsidR="00BF5A70" w:rsidRPr="00DF406D" w:rsidRDefault="00BF5A70" w:rsidP="00DF406D">
            <w:pPr>
              <w:jc w:val="center"/>
              <w:rPr>
                <w:rFonts w:eastAsia="Times New Roman"/>
                <w:sz w:val="16"/>
                <w:szCs w:val="16"/>
              </w:rPr>
            </w:pPr>
            <w:r w:rsidRPr="00DF406D">
              <w:rPr>
                <w:sz w:val="16"/>
                <w:szCs w:val="16"/>
                <w:lang w:eastAsia="en-CA"/>
              </w:rPr>
              <w:t>500</w:t>
            </w:r>
          </w:p>
        </w:tc>
        <w:tc>
          <w:tcPr>
            <w:tcW w:w="766" w:type="dxa"/>
            <w:tcBorders>
              <w:top w:val="nil"/>
              <w:left w:val="nil"/>
              <w:bottom w:val="single" w:sz="4" w:space="0" w:color="auto"/>
              <w:right w:val="single" w:sz="4" w:space="0" w:color="auto"/>
            </w:tcBorders>
            <w:shd w:val="clear" w:color="auto" w:fill="auto"/>
            <w:noWrap/>
            <w:vAlign w:val="bottom"/>
            <w:hideMark/>
          </w:tcPr>
          <w:p w14:paraId="77A691FB" w14:textId="77777777" w:rsidR="00BF5A70" w:rsidRPr="00DF406D" w:rsidRDefault="00BF5A70" w:rsidP="00DF406D">
            <w:pPr>
              <w:jc w:val="center"/>
              <w:rPr>
                <w:rFonts w:eastAsia="Times New Roman"/>
                <w:sz w:val="16"/>
                <w:szCs w:val="16"/>
              </w:rPr>
            </w:pPr>
            <w:r w:rsidRPr="00DF406D">
              <w:rPr>
                <w:sz w:val="16"/>
                <w:szCs w:val="16"/>
                <w:lang w:eastAsia="en-CA"/>
              </w:rPr>
              <w:t>450</w:t>
            </w:r>
          </w:p>
        </w:tc>
        <w:tc>
          <w:tcPr>
            <w:tcW w:w="749" w:type="dxa"/>
            <w:tcBorders>
              <w:top w:val="nil"/>
              <w:left w:val="nil"/>
              <w:bottom w:val="single" w:sz="4" w:space="0" w:color="auto"/>
              <w:right w:val="single" w:sz="4" w:space="0" w:color="auto"/>
            </w:tcBorders>
            <w:shd w:val="clear" w:color="auto" w:fill="auto"/>
            <w:noWrap/>
            <w:vAlign w:val="bottom"/>
            <w:hideMark/>
          </w:tcPr>
          <w:p w14:paraId="4C3B38A1" w14:textId="77777777" w:rsidR="00BF5A70" w:rsidRPr="00DF406D" w:rsidRDefault="00BF5A70" w:rsidP="00DF406D">
            <w:pPr>
              <w:jc w:val="center"/>
              <w:rPr>
                <w:rFonts w:eastAsia="Times New Roman"/>
                <w:sz w:val="16"/>
                <w:szCs w:val="16"/>
              </w:rPr>
            </w:pPr>
            <w:r w:rsidRPr="00DF406D">
              <w:rPr>
                <w:sz w:val="16"/>
                <w:szCs w:val="16"/>
                <w:lang w:eastAsia="en-CA"/>
              </w:rPr>
              <w:t>600</w:t>
            </w:r>
          </w:p>
        </w:tc>
        <w:tc>
          <w:tcPr>
            <w:tcW w:w="738" w:type="dxa"/>
            <w:tcBorders>
              <w:top w:val="nil"/>
              <w:left w:val="nil"/>
              <w:bottom w:val="single" w:sz="4" w:space="0" w:color="auto"/>
              <w:right w:val="single" w:sz="4" w:space="0" w:color="auto"/>
            </w:tcBorders>
            <w:shd w:val="clear" w:color="auto" w:fill="auto"/>
            <w:noWrap/>
            <w:vAlign w:val="bottom"/>
            <w:hideMark/>
          </w:tcPr>
          <w:p w14:paraId="16F84871" w14:textId="77777777" w:rsidR="00BF5A70" w:rsidRPr="00DF406D" w:rsidRDefault="00BF5A70" w:rsidP="00DF406D">
            <w:pPr>
              <w:jc w:val="center"/>
              <w:rPr>
                <w:rFonts w:eastAsia="Times New Roman"/>
                <w:sz w:val="16"/>
                <w:szCs w:val="16"/>
              </w:rPr>
            </w:pPr>
            <w:r w:rsidRPr="00DF406D">
              <w:rPr>
                <w:sz w:val="16"/>
                <w:szCs w:val="16"/>
                <w:lang w:eastAsia="en-CA"/>
              </w:rPr>
              <w:t>600</w:t>
            </w:r>
          </w:p>
        </w:tc>
        <w:tc>
          <w:tcPr>
            <w:tcW w:w="774" w:type="dxa"/>
            <w:tcBorders>
              <w:top w:val="nil"/>
              <w:left w:val="nil"/>
              <w:bottom w:val="single" w:sz="4" w:space="0" w:color="auto"/>
              <w:right w:val="single" w:sz="4" w:space="0" w:color="auto"/>
            </w:tcBorders>
            <w:shd w:val="clear" w:color="auto" w:fill="auto"/>
            <w:noWrap/>
            <w:vAlign w:val="bottom"/>
            <w:hideMark/>
          </w:tcPr>
          <w:p w14:paraId="4DFFC342" w14:textId="77777777" w:rsidR="00BF5A70" w:rsidRPr="00DF406D" w:rsidRDefault="00BF5A70" w:rsidP="00DF406D">
            <w:pPr>
              <w:jc w:val="center"/>
              <w:rPr>
                <w:rFonts w:eastAsia="Times New Roman"/>
                <w:sz w:val="16"/>
                <w:szCs w:val="16"/>
              </w:rPr>
            </w:pPr>
            <w:r w:rsidRPr="00DF406D">
              <w:rPr>
                <w:sz w:val="16"/>
                <w:szCs w:val="16"/>
                <w:lang w:eastAsia="en-CA"/>
              </w:rPr>
              <w:t>600</w:t>
            </w:r>
          </w:p>
        </w:tc>
        <w:tc>
          <w:tcPr>
            <w:tcW w:w="756" w:type="dxa"/>
            <w:tcBorders>
              <w:top w:val="nil"/>
              <w:left w:val="nil"/>
              <w:bottom w:val="single" w:sz="4" w:space="0" w:color="auto"/>
              <w:right w:val="single" w:sz="4" w:space="0" w:color="auto"/>
            </w:tcBorders>
            <w:shd w:val="clear" w:color="auto" w:fill="auto"/>
            <w:noWrap/>
            <w:vAlign w:val="bottom"/>
            <w:hideMark/>
          </w:tcPr>
          <w:p w14:paraId="67F29B42" w14:textId="77777777" w:rsidR="00BF5A70" w:rsidRPr="00DF406D" w:rsidRDefault="00BF5A70" w:rsidP="00DF406D">
            <w:pPr>
              <w:jc w:val="center"/>
              <w:rPr>
                <w:rFonts w:eastAsia="Times New Roman"/>
                <w:sz w:val="16"/>
                <w:szCs w:val="16"/>
              </w:rPr>
            </w:pPr>
            <w:r w:rsidRPr="00DF406D">
              <w:rPr>
                <w:sz w:val="16"/>
                <w:szCs w:val="16"/>
                <w:lang w:eastAsia="en-CA"/>
              </w:rPr>
              <w:t>600</w:t>
            </w:r>
          </w:p>
        </w:tc>
        <w:tc>
          <w:tcPr>
            <w:tcW w:w="725" w:type="dxa"/>
            <w:tcBorders>
              <w:top w:val="nil"/>
              <w:left w:val="nil"/>
              <w:bottom w:val="single" w:sz="4" w:space="0" w:color="auto"/>
              <w:right w:val="single" w:sz="4" w:space="0" w:color="auto"/>
            </w:tcBorders>
            <w:shd w:val="clear" w:color="auto" w:fill="auto"/>
            <w:noWrap/>
            <w:vAlign w:val="bottom"/>
            <w:hideMark/>
          </w:tcPr>
          <w:p w14:paraId="613B1C79" w14:textId="77777777" w:rsidR="00BF5A70" w:rsidRPr="00DF406D" w:rsidRDefault="00BF5A70" w:rsidP="00DF406D">
            <w:pPr>
              <w:jc w:val="center"/>
              <w:rPr>
                <w:rFonts w:eastAsia="Times New Roman"/>
                <w:sz w:val="16"/>
                <w:szCs w:val="16"/>
              </w:rPr>
            </w:pPr>
            <w:r w:rsidRPr="00DF406D">
              <w:rPr>
                <w:sz w:val="16"/>
                <w:szCs w:val="16"/>
                <w:lang w:eastAsia="en-CA"/>
              </w:rPr>
              <w:t>550</w:t>
            </w:r>
          </w:p>
        </w:tc>
        <w:tc>
          <w:tcPr>
            <w:tcW w:w="747" w:type="dxa"/>
            <w:tcBorders>
              <w:top w:val="nil"/>
              <w:left w:val="nil"/>
              <w:bottom w:val="single" w:sz="4" w:space="0" w:color="auto"/>
              <w:right w:val="single" w:sz="4" w:space="0" w:color="auto"/>
            </w:tcBorders>
            <w:shd w:val="clear" w:color="auto" w:fill="auto"/>
            <w:noWrap/>
            <w:vAlign w:val="bottom"/>
            <w:hideMark/>
          </w:tcPr>
          <w:p w14:paraId="33C04492" w14:textId="77777777" w:rsidR="00BF5A70" w:rsidRPr="00DF406D" w:rsidRDefault="00BF5A70" w:rsidP="00DF406D">
            <w:pPr>
              <w:jc w:val="center"/>
              <w:rPr>
                <w:rFonts w:eastAsia="Times New Roman"/>
                <w:sz w:val="16"/>
                <w:szCs w:val="16"/>
              </w:rPr>
            </w:pPr>
            <w:r w:rsidRPr="00DF406D">
              <w:rPr>
                <w:sz w:val="16"/>
                <w:szCs w:val="16"/>
                <w:lang w:eastAsia="en-CA"/>
              </w:rPr>
              <w:t>500</w:t>
            </w:r>
          </w:p>
        </w:tc>
        <w:tc>
          <w:tcPr>
            <w:tcW w:w="783" w:type="dxa"/>
            <w:tcBorders>
              <w:top w:val="nil"/>
              <w:left w:val="nil"/>
              <w:bottom w:val="single" w:sz="4" w:space="0" w:color="auto"/>
              <w:right w:val="single" w:sz="4" w:space="0" w:color="auto"/>
            </w:tcBorders>
            <w:shd w:val="clear" w:color="auto" w:fill="auto"/>
            <w:noWrap/>
            <w:vAlign w:val="bottom"/>
            <w:hideMark/>
          </w:tcPr>
          <w:p w14:paraId="72135D1E" w14:textId="77777777" w:rsidR="00BF5A70" w:rsidRPr="00DF406D" w:rsidRDefault="00BF5A70" w:rsidP="00DF406D">
            <w:pPr>
              <w:jc w:val="center"/>
              <w:rPr>
                <w:rFonts w:eastAsia="Times New Roman"/>
                <w:sz w:val="16"/>
                <w:szCs w:val="16"/>
              </w:rPr>
            </w:pPr>
            <w:r w:rsidRPr="00DF406D">
              <w:rPr>
                <w:sz w:val="16"/>
                <w:szCs w:val="16"/>
                <w:lang w:eastAsia="en-CA"/>
              </w:rPr>
              <w:t>550</w:t>
            </w:r>
          </w:p>
        </w:tc>
        <w:tc>
          <w:tcPr>
            <w:tcW w:w="747" w:type="dxa"/>
            <w:tcBorders>
              <w:top w:val="nil"/>
              <w:left w:val="nil"/>
              <w:bottom w:val="single" w:sz="4" w:space="0" w:color="auto"/>
              <w:right w:val="single" w:sz="4" w:space="0" w:color="auto"/>
            </w:tcBorders>
            <w:shd w:val="clear" w:color="auto" w:fill="auto"/>
            <w:noWrap/>
            <w:vAlign w:val="bottom"/>
            <w:hideMark/>
          </w:tcPr>
          <w:p w14:paraId="6BE83E0F" w14:textId="77777777" w:rsidR="00BF5A70" w:rsidRPr="00DF406D" w:rsidRDefault="00BF5A70" w:rsidP="00DF406D">
            <w:pPr>
              <w:jc w:val="center"/>
              <w:rPr>
                <w:rFonts w:eastAsia="Times New Roman"/>
                <w:sz w:val="16"/>
                <w:szCs w:val="16"/>
              </w:rPr>
            </w:pPr>
            <w:r w:rsidRPr="00DF406D">
              <w:rPr>
                <w:sz w:val="16"/>
                <w:szCs w:val="16"/>
                <w:lang w:eastAsia="en-CA"/>
              </w:rPr>
              <w:t>600</w:t>
            </w:r>
          </w:p>
        </w:tc>
        <w:tc>
          <w:tcPr>
            <w:tcW w:w="802" w:type="dxa"/>
            <w:tcBorders>
              <w:top w:val="nil"/>
              <w:left w:val="nil"/>
              <w:bottom w:val="single" w:sz="4" w:space="0" w:color="auto"/>
              <w:right w:val="single" w:sz="4" w:space="0" w:color="auto"/>
            </w:tcBorders>
            <w:shd w:val="clear" w:color="auto" w:fill="auto"/>
            <w:noWrap/>
            <w:vAlign w:val="bottom"/>
            <w:hideMark/>
          </w:tcPr>
          <w:p w14:paraId="47A1B086" w14:textId="77777777" w:rsidR="00BF5A70" w:rsidRPr="00DF406D" w:rsidRDefault="00BF5A70" w:rsidP="00DF406D">
            <w:pPr>
              <w:jc w:val="center"/>
              <w:rPr>
                <w:rFonts w:eastAsia="Times New Roman"/>
                <w:sz w:val="16"/>
                <w:szCs w:val="16"/>
              </w:rPr>
            </w:pPr>
            <w:r w:rsidRPr="00DF406D">
              <w:rPr>
                <w:sz w:val="16"/>
                <w:szCs w:val="16"/>
                <w:lang w:eastAsia="en-CA"/>
              </w:rPr>
              <w:t>600</w:t>
            </w:r>
          </w:p>
        </w:tc>
        <w:tc>
          <w:tcPr>
            <w:tcW w:w="732" w:type="dxa"/>
            <w:tcBorders>
              <w:top w:val="nil"/>
              <w:left w:val="nil"/>
              <w:bottom w:val="single" w:sz="4" w:space="0" w:color="auto"/>
              <w:right w:val="single" w:sz="4" w:space="0" w:color="auto"/>
            </w:tcBorders>
            <w:shd w:val="clear" w:color="auto" w:fill="auto"/>
            <w:noWrap/>
            <w:vAlign w:val="bottom"/>
            <w:hideMark/>
          </w:tcPr>
          <w:p w14:paraId="20FDCDE3" w14:textId="77777777" w:rsidR="00BF5A70" w:rsidRPr="00DF406D" w:rsidRDefault="00BF5A70" w:rsidP="00DF406D">
            <w:pPr>
              <w:jc w:val="center"/>
              <w:rPr>
                <w:rFonts w:eastAsia="Times New Roman"/>
                <w:sz w:val="16"/>
                <w:szCs w:val="16"/>
              </w:rPr>
            </w:pPr>
            <w:r w:rsidRPr="00DF406D">
              <w:rPr>
                <w:sz w:val="16"/>
                <w:szCs w:val="16"/>
                <w:lang w:eastAsia="en-CA"/>
              </w:rPr>
              <w:t>600</w:t>
            </w:r>
          </w:p>
        </w:tc>
      </w:tr>
      <w:tr w:rsidR="00DF406D" w:rsidRPr="00DF406D" w14:paraId="6EFF395F" w14:textId="77777777" w:rsidTr="00A90D59">
        <w:trPr>
          <w:trHeight w:val="300"/>
        </w:trPr>
        <w:tc>
          <w:tcPr>
            <w:tcW w:w="1418" w:type="dxa"/>
            <w:tcBorders>
              <w:top w:val="nil"/>
              <w:left w:val="single" w:sz="4" w:space="0" w:color="auto"/>
              <w:bottom w:val="single" w:sz="4" w:space="0" w:color="auto"/>
              <w:right w:val="single" w:sz="4" w:space="0" w:color="auto"/>
            </w:tcBorders>
            <w:shd w:val="clear" w:color="auto" w:fill="auto"/>
            <w:noWrap/>
            <w:hideMark/>
          </w:tcPr>
          <w:p w14:paraId="279BA093" w14:textId="77777777" w:rsidR="00BF5A70" w:rsidRPr="00DF406D" w:rsidRDefault="00BF5A70" w:rsidP="00DF406D">
            <w:pPr>
              <w:jc w:val="left"/>
              <w:rPr>
                <w:rFonts w:eastAsia="Times New Roman"/>
                <w:sz w:val="16"/>
                <w:szCs w:val="16"/>
              </w:rPr>
            </w:pPr>
            <w:r w:rsidRPr="00DF406D">
              <w:rPr>
                <w:sz w:val="16"/>
                <w:szCs w:val="16"/>
              </w:rPr>
              <w:t xml:space="preserve">Wholesale Provisioning         </w:t>
            </w:r>
          </w:p>
        </w:tc>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186BEF30" w14:textId="77777777" w:rsidR="00BF5A70" w:rsidRPr="00DF406D" w:rsidRDefault="00BF5A70" w:rsidP="00DF406D">
            <w:pPr>
              <w:jc w:val="center"/>
              <w:rPr>
                <w:rFonts w:eastAsia="Times New Roman"/>
                <w:sz w:val="16"/>
                <w:szCs w:val="16"/>
              </w:rPr>
            </w:pPr>
            <w:r w:rsidRPr="00DF406D">
              <w:rPr>
                <w:sz w:val="16"/>
                <w:szCs w:val="16"/>
                <w:lang w:eastAsia="en-CA"/>
              </w:rPr>
              <w:t>500</w:t>
            </w:r>
          </w:p>
        </w:tc>
        <w:tc>
          <w:tcPr>
            <w:tcW w:w="766" w:type="dxa"/>
            <w:tcBorders>
              <w:top w:val="nil"/>
              <w:left w:val="nil"/>
              <w:bottom w:val="single" w:sz="4" w:space="0" w:color="auto"/>
              <w:right w:val="single" w:sz="4" w:space="0" w:color="auto"/>
            </w:tcBorders>
            <w:shd w:val="clear" w:color="auto" w:fill="auto"/>
            <w:noWrap/>
            <w:vAlign w:val="bottom"/>
            <w:hideMark/>
          </w:tcPr>
          <w:p w14:paraId="7FC3B85C" w14:textId="77777777" w:rsidR="00BF5A70" w:rsidRPr="00DF406D" w:rsidRDefault="00BF5A70" w:rsidP="00DF406D">
            <w:pPr>
              <w:jc w:val="center"/>
              <w:rPr>
                <w:rFonts w:eastAsia="Times New Roman"/>
                <w:sz w:val="16"/>
                <w:szCs w:val="16"/>
              </w:rPr>
            </w:pPr>
            <w:r w:rsidRPr="00DF406D">
              <w:rPr>
                <w:sz w:val="16"/>
                <w:szCs w:val="16"/>
                <w:lang w:eastAsia="en-CA"/>
              </w:rPr>
              <w:t>250</w:t>
            </w:r>
          </w:p>
        </w:tc>
        <w:tc>
          <w:tcPr>
            <w:tcW w:w="749" w:type="dxa"/>
            <w:tcBorders>
              <w:top w:val="nil"/>
              <w:left w:val="nil"/>
              <w:bottom w:val="single" w:sz="4" w:space="0" w:color="auto"/>
              <w:right w:val="single" w:sz="4" w:space="0" w:color="auto"/>
            </w:tcBorders>
            <w:shd w:val="clear" w:color="auto" w:fill="auto"/>
            <w:noWrap/>
            <w:vAlign w:val="bottom"/>
            <w:hideMark/>
          </w:tcPr>
          <w:p w14:paraId="12849CE8" w14:textId="77777777" w:rsidR="00BF5A70" w:rsidRPr="00DF406D" w:rsidRDefault="00BF5A70" w:rsidP="00DF406D">
            <w:pPr>
              <w:jc w:val="center"/>
              <w:rPr>
                <w:rFonts w:eastAsia="Times New Roman"/>
                <w:sz w:val="16"/>
                <w:szCs w:val="16"/>
              </w:rPr>
            </w:pPr>
            <w:r w:rsidRPr="00DF406D">
              <w:rPr>
                <w:sz w:val="16"/>
                <w:szCs w:val="16"/>
                <w:lang w:eastAsia="en-CA"/>
              </w:rPr>
              <w:t>250</w:t>
            </w:r>
          </w:p>
        </w:tc>
        <w:tc>
          <w:tcPr>
            <w:tcW w:w="738" w:type="dxa"/>
            <w:tcBorders>
              <w:top w:val="nil"/>
              <w:left w:val="nil"/>
              <w:bottom w:val="single" w:sz="4" w:space="0" w:color="auto"/>
              <w:right w:val="single" w:sz="4" w:space="0" w:color="auto"/>
            </w:tcBorders>
            <w:shd w:val="clear" w:color="auto" w:fill="auto"/>
            <w:noWrap/>
            <w:vAlign w:val="bottom"/>
            <w:hideMark/>
          </w:tcPr>
          <w:p w14:paraId="048430F3" w14:textId="77777777" w:rsidR="00BF5A70" w:rsidRPr="00DF406D" w:rsidRDefault="00BF5A70" w:rsidP="00DF406D">
            <w:pPr>
              <w:jc w:val="center"/>
              <w:rPr>
                <w:rFonts w:eastAsia="Times New Roman"/>
                <w:sz w:val="16"/>
                <w:szCs w:val="16"/>
              </w:rPr>
            </w:pPr>
            <w:r w:rsidRPr="00DF406D">
              <w:rPr>
                <w:sz w:val="16"/>
                <w:szCs w:val="16"/>
                <w:lang w:eastAsia="en-CA"/>
              </w:rPr>
              <w:t>300</w:t>
            </w:r>
          </w:p>
        </w:tc>
        <w:tc>
          <w:tcPr>
            <w:tcW w:w="774" w:type="dxa"/>
            <w:tcBorders>
              <w:top w:val="nil"/>
              <w:left w:val="nil"/>
              <w:bottom w:val="single" w:sz="4" w:space="0" w:color="auto"/>
              <w:right w:val="single" w:sz="4" w:space="0" w:color="auto"/>
            </w:tcBorders>
            <w:shd w:val="clear" w:color="auto" w:fill="auto"/>
            <w:noWrap/>
            <w:vAlign w:val="bottom"/>
            <w:hideMark/>
          </w:tcPr>
          <w:p w14:paraId="5E568463" w14:textId="77777777" w:rsidR="00BF5A70" w:rsidRPr="00DF406D" w:rsidRDefault="00BF5A70" w:rsidP="00DF406D">
            <w:pPr>
              <w:jc w:val="center"/>
              <w:rPr>
                <w:rFonts w:eastAsia="Times New Roman"/>
                <w:sz w:val="16"/>
                <w:szCs w:val="16"/>
              </w:rPr>
            </w:pPr>
            <w:r w:rsidRPr="00DF406D">
              <w:rPr>
                <w:sz w:val="16"/>
                <w:szCs w:val="16"/>
                <w:lang w:eastAsia="en-CA"/>
              </w:rPr>
              <w:t>250</w:t>
            </w:r>
          </w:p>
        </w:tc>
        <w:tc>
          <w:tcPr>
            <w:tcW w:w="756" w:type="dxa"/>
            <w:tcBorders>
              <w:top w:val="nil"/>
              <w:left w:val="nil"/>
              <w:bottom w:val="single" w:sz="4" w:space="0" w:color="auto"/>
              <w:right w:val="single" w:sz="4" w:space="0" w:color="auto"/>
            </w:tcBorders>
            <w:shd w:val="clear" w:color="auto" w:fill="auto"/>
            <w:noWrap/>
            <w:vAlign w:val="bottom"/>
            <w:hideMark/>
          </w:tcPr>
          <w:p w14:paraId="3821A6F4" w14:textId="77777777" w:rsidR="00BF5A70" w:rsidRPr="00DF406D" w:rsidRDefault="00BF5A70" w:rsidP="00DF406D">
            <w:pPr>
              <w:jc w:val="center"/>
              <w:rPr>
                <w:rFonts w:eastAsia="Times New Roman"/>
                <w:sz w:val="16"/>
                <w:szCs w:val="16"/>
              </w:rPr>
            </w:pPr>
            <w:r w:rsidRPr="00DF406D">
              <w:rPr>
                <w:sz w:val="16"/>
                <w:szCs w:val="16"/>
                <w:lang w:eastAsia="en-CA"/>
              </w:rPr>
              <w:t>250</w:t>
            </w:r>
          </w:p>
        </w:tc>
        <w:tc>
          <w:tcPr>
            <w:tcW w:w="725" w:type="dxa"/>
            <w:tcBorders>
              <w:top w:val="nil"/>
              <w:left w:val="nil"/>
              <w:bottom w:val="single" w:sz="4" w:space="0" w:color="auto"/>
              <w:right w:val="single" w:sz="4" w:space="0" w:color="auto"/>
            </w:tcBorders>
            <w:shd w:val="clear" w:color="auto" w:fill="auto"/>
            <w:noWrap/>
            <w:vAlign w:val="bottom"/>
            <w:hideMark/>
          </w:tcPr>
          <w:p w14:paraId="7E0EA213" w14:textId="77777777" w:rsidR="00BF5A70" w:rsidRPr="00DF406D" w:rsidRDefault="00BF5A70" w:rsidP="00DF406D">
            <w:pPr>
              <w:jc w:val="center"/>
              <w:rPr>
                <w:rFonts w:eastAsia="Times New Roman"/>
                <w:sz w:val="16"/>
                <w:szCs w:val="16"/>
              </w:rPr>
            </w:pPr>
            <w:r w:rsidRPr="00DF406D">
              <w:rPr>
                <w:sz w:val="16"/>
                <w:szCs w:val="16"/>
                <w:lang w:eastAsia="en-CA"/>
              </w:rPr>
              <w:t>250</w:t>
            </w:r>
          </w:p>
        </w:tc>
        <w:tc>
          <w:tcPr>
            <w:tcW w:w="747" w:type="dxa"/>
            <w:tcBorders>
              <w:top w:val="nil"/>
              <w:left w:val="nil"/>
              <w:bottom w:val="single" w:sz="4" w:space="0" w:color="auto"/>
              <w:right w:val="single" w:sz="4" w:space="0" w:color="auto"/>
            </w:tcBorders>
            <w:shd w:val="clear" w:color="auto" w:fill="auto"/>
            <w:noWrap/>
            <w:vAlign w:val="bottom"/>
            <w:hideMark/>
          </w:tcPr>
          <w:p w14:paraId="126C9F07" w14:textId="77777777" w:rsidR="00BF5A70" w:rsidRPr="00DF406D" w:rsidRDefault="00BF5A70" w:rsidP="00DF406D">
            <w:pPr>
              <w:jc w:val="center"/>
              <w:rPr>
                <w:rFonts w:eastAsia="Times New Roman"/>
                <w:sz w:val="16"/>
                <w:szCs w:val="16"/>
              </w:rPr>
            </w:pPr>
            <w:r w:rsidRPr="00DF406D">
              <w:rPr>
                <w:sz w:val="16"/>
                <w:szCs w:val="16"/>
                <w:lang w:eastAsia="en-CA"/>
              </w:rPr>
              <w:t>300</w:t>
            </w:r>
          </w:p>
        </w:tc>
        <w:tc>
          <w:tcPr>
            <w:tcW w:w="783" w:type="dxa"/>
            <w:tcBorders>
              <w:top w:val="nil"/>
              <w:left w:val="nil"/>
              <w:bottom w:val="single" w:sz="4" w:space="0" w:color="auto"/>
              <w:right w:val="single" w:sz="4" w:space="0" w:color="auto"/>
            </w:tcBorders>
            <w:shd w:val="clear" w:color="auto" w:fill="auto"/>
            <w:noWrap/>
            <w:vAlign w:val="bottom"/>
            <w:hideMark/>
          </w:tcPr>
          <w:p w14:paraId="6C1D8736" w14:textId="77777777" w:rsidR="00BF5A70" w:rsidRPr="00DF406D" w:rsidRDefault="00BF5A70" w:rsidP="00DF406D">
            <w:pPr>
              <w:jc w:val="center"/>
              <w:rPr>
                <w:rFonts w:eastAsia="Times New Roman"/>
                <w:sz w:val="16"/>
                <w:szCs w:val="16"/>
              </w:rPr>
            </w:pPr>
            <w:r w:rsidRPr="00DF406D">
              <w:rPr>
                <w:sz w:val="16"/>
                <w:szCs w:val="16"/>
                <w:lang w:eastAsia="en-CA"/>
              </w:rPr>
              <w:t>350</w:t>
            </w:r>
          </w:p>
        </w:tc>
        <w:tc>
          <w:tcPr>
            <w:tcW w:w="747" w:type="dxa"/>
            <w:tcBorders>
              <w:top w:val="nil"/>
              <w:left w:val="nil"/>
              <w:bottom w:val="single" w:sz="4" w:space="0" w:color="auto"/>
              <w:right w:val="single" w:sz="4" w:space="0" w:color="auto"/>
            </w:tcBorders>
            <w:shd w:val="clear" w:color="auto" w:fill="auto"/>
            <w:noWrap/>
            <w:vAlign w:val="bottom"/>
            <w:hideMark/>
          </w:tcPr>
          <w:p w14:paraId="43D9213F" w14:textId="77777777" w:rsidR="00BF5A70" w:rsidRPr="00DF406D" w:rsidRDefault="00BF5A70" w:rsidP="00DF406D">
            <w:pPr>
              <w:jc w:val="center"/>
              <w:rPr>
                <w:rFonts w:eastAsia="Times New Roman"/>
                <w:sz w:val="16"/>
                <w:szCs w:val="16"/>
              </w:rPr>
            </w:pPr>
            <w:r w:rsidRPr="00DF406D">
              <w:rPr>
                <w:sz w:val="16"/>
                <w:szCs w:val="16"/>
                <w:lang w:eastAsia="en-CA"/>
              </w:rPr>
              <w:t>350</w:t>
            </w:r>
          </w:p>
        </w:tc>
        <w:tc>
          <w:tcPr>
            <w:tcW w:w="802" w:type="dxa"/>
            <w:tcBorders>
              <w:top w:val="nil"/>
              <w:left w:val="nil"/>
              <w:bottom w:val="single" w:sz="4" w:space="0" w:color="auto"/>
              <w:right w:val="single" w:sz="4" w:space="0" w:color="auto"/>
            </w:tcBorders>
            <w:shd w:val="clear" w:color="auto" w:fill="auto"/>
            <w:noWrap/>
            <w:vAlign w:val="bottom"/>
            <w:hideMark/>
          </w:tcPr>
          <w:p w14:paraId="7BDD46D3" w14:textId="77777777" w:rsidR="00BF5A70" w:rsidRPr="00DF406D" w:rsidRDefault="00BF5A70" w:rsidP="00DF406D">
            <w:pPr>
              <w:jc w:val="center"/>
              <w:rPr>
                <w:rFonts w:eastAsia="Times New Roman"/>
                <w:sz w:val="16"/>
                <w:szCs w:val="16"/>
              </w:rPr>
            </w:pPr>
            <w:r w:rsidRPr="00DF406D">
              <w:rPr>
                <w:sz w:val="16"/>
                <w:szCs w:val="16"/>
                <w:lang w:eastAsia="en-CA"/>
              </w:rPr>
              <w:t>350</w:t>
            </w:r>
          </w:p>
        </w:tc>
        <w:tc>
          <w:tcPr>
            <w:tcW w:w="732" w:type="dxa"/>
            <w:tcBorders>
              <w:top w:val="nil"/>
              <w:left w:val="nil"/>
              <w:bottom w:val="single" w:sz="4" w:space="0" w:color="auto"/>
              <w:right w:val="single" w:sz="4" w:space="0" w:color="auto"/>
            </w:tcBorders>
            <w:shd w:val="clear" w:color="auto" w:fill="auto"/>
            <w:noWrap/>
            <w:vAlign w:val="bottom"/>
            <w:hideMark/>
          </w:tcPr>
          <w:p w14:paraId="72F2FDCB" w14:textId="77777777" w:rsidR="00BF5A70" w:rsidRPr="00DF406D" w:rsidRDefault="00BF5A70" w:rsidP="00DF406D">
            <w:pPr>
              <w:jc w:val="center"/>
              <w:rPr>
                <w:rFonts w:eastAsia="Times New Roman"/>
                <w:sz w:val="16"/>
                <w:szCs w:val="16"/>
              </w:rPr>
            </w:pPr>
            <w:r w:rsidRPr="00DF406D">
              <w:rPr>
                <w:sz w:val="16"/>
                <w:szCs w:val="16"/>
                <w:lang w:eastAsia="en-CA"/>
              </w:rPr>
              <w:t>350</w:t>
            </w:r>
          </w:p>
        </w:tc>
      </w:tr>
      <w:tr w:rsidR="00DF406D" w:rsidRPr="00DF406D" w14:paraId="46EC538A" w14:textId="77777777" w:rsidTr="00A90D59">
        <w:trPr>
          <w:trHeight w:val="300"/>
        </w:trPr>
        <w:tc>
          <w:tcPr>
            <w:tcW w:w="1418" w:type="dxa"/>
            <w:tcBorders>
              <w:top w:val="nil"/>
              <w:left w:val="single" w:sz="4" w:space="0" w:color="auto"/>
              <w:bottom w:val="single" w:sz="4" w:space="0" w:color="auto"/>
              <w:right w:val="single" w:sz="4" w:space="0" w:color="auto"/>
            </w:tcBorders>
            <w:shd w:val="clear" w:color="auto" w:fill="auto"/>
            <w:noWrap/>
            <w:hideMark/>
          </w:tcPr>
          <w:p w14:paraId="5048EF9E" w14:textId="77777777" w:rsidR="00BF5A70" w:rsidRPr="00DF406D" w:rsidRDefault="00BF5A70" w:rsidP="00DF406D">
            <w:pPr>
              <w:jc w:val="left"/>
              <w:rPr>
                <w:rFonts w:eastAsia="Times New Roman"/>
                <w:sz w:val="16"/>
                <w:szCs w:val="16"/>
              </w:rPr>
            </w:pPr>
            <w:r w:rsidRPr="00DF406D">
              <w:rPr>
                <w:sz w:val="16"/>
                <w:szCs w:val="16"/>
              </w:rPr>
              <w:t>TA TAM</w:t>
            </w:r>
          </w:p>
        </w:tc>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191D4EDA" w14:textId="77777777" w:rsidR="00BF5A70" w:rsidRPr="00DF406D" w:rsidRDefault="00BF5A70" w:rsidP="00DF406D">
            <w:pPr>
              <w:jc w:val="center"/>
              <w:rPr>
                <w:rFonts w:eastAsia="Times New Roman"/>
                <w:sz w:val="16"/>
                <w:szCs w:val="16"/>
              </w:rPr>
            </w:pPr>
            <w:r w:rsidRPr="00DF406D">
              <w:rPr>
                <w:sz w:val="16"/>
                <w:szCs w:val="16"/>
                <w:lang w:eastAsia="en-CA"/>
              </w:rPr>
              <w:t>640</w:t>
            </w:r>
          </w:p>
        </w:tc>
        <w:tc>
          <w:tcPr>
            <w:tcW w:w="766" w:type="dxa"/>
            <w:tcBorders>
              <w:top w:val="nil"/>
              <w:left w:val="nil"/>
              <w:bottom w:val="single" w:sz="4" w:space="0" w:color="auto"/>
              <w:right w:val="single" w:sz="4" w:space="0" w:color="auto"/>
            </w:tcBorders>
            <w:shd w:val="clear" w:color="auto" w:fill="auto"/>
            <w:noWrap/>
            <w:vAlign w:val="bottom"/>
            <w:hideMark/>
          </w:tcPr>
          <w:p w14:paraId="1466BB7E" w14:textId="77777777" w:rsidR="00BF5A70" w:rsidRPr="00DF406D" w:rsidRDefault="00BF5A70" w:rsidP="00DF406D">
            <w:pPr>
              <w:jc w:val="center"/>
              <w:rPr>
                <w:rFonts w:eastAsia="Times New Roman"/>
                <w:sz w:val="16"/>
                <w:szCs w:val="16"/>
              </w:rPr>
            </w:pPr>
            <w:r w:rsidRPr="00DF406D">
              <w:rPr>
                <w:sz w:val="16"/>
                <w:szCs w:val="16"/>
                <w:lang w:eastAsia="en-CA"/>
              </w:rPr>
              <w:t>600</w:t>
            </w:r>
          </w:p>
        </w:tc>
        <w:tc>
          <w:tcPr>
            <w:tcW w:w="749" w:type="dxa"/>
            <w:tcBorders>
              <w:top w:val="nil"/>
              <w:left w:val="nil"/>
              <w:bottom w:val="single" w:sz="4" w:space="0" w:color="auto"/>
              <w:right w:val="single" w:sz="4" w:space="0" w:color="auto"/>
            </w:tcBorders>
            <w:shd w:val="clear" w:color="auto" w:fill="auto"/>
            <w:noWrap/>
            <w:vAlign w:val="bottom"/>
            <w:hideMark/>
          </w:tcPr>
          <w:p w14:paraId="44339063" w14:textId="77777777" w:rsidR="00BF5A70" w:rsidRPr="00DF406D" w:rsidRDefault="00BF5A70" w:rsidP="00DF406D">
            <w:pPr>
              <w:jc w:val="center"/>
              <w:rPr>
                <w:rFonts w:eastAsia="Times New Roman"/>
                <w:sz w:val="16"/>
                <w:szCs w:val="16"/>
              </w:rPr>
            </w:pPr>
            <w:r w:rsidRPr="00DF406D">
              <w:rPr>
                <w:sz w:val="16"/>
                <w:szCs w:val="16"/>
                <w:lang w:eastAsia="en-CA"/>
              </w:rPr>
              <w:t>750</w:t>
            </w:r>
          </w:p>
        </w:tc>
        <w:tc>
          <w:tcPr>
            <w:tcW w:w="738" w:type="dxa"/>
            <w:tcBorders>
              <w:top w:val="nil"/>
              <w:left w:val="nil"/>
              <w:bottom w:val="single" w:sz="4" w:space="0" w:color="auto"/>
              <w:right w:val="single" w:sz="4" w:space="0" w:color="auto"/>
            </w:tcBorders>
            <w:shd w:val="clear" w:color="auto" w:fill="auto"/>
            <w:noWrap/>
            <w:vAlign w:val="bottom"/>
            <w:hideMark/>
          </w:tcPr>
          <w:p w14:paraId="093707FA" w14:textId="77777777" w:rsidR="00BF5A70" w:rsidRPr="00DF406D" w:rsidRDefault="00BF5A70" w:rsidP="00DF406D">
            <w:pPr>
              <w:jc w:val="center"/>
              <w:rPr>
                <w:rFonts w:eastAsia="Times New Roman"/>
                <w:sz w:val="16"/>
                <w:szCs w:val="16"/>
              </w:rPr>
            </w:pPr>
            <w:r w:rsidRPr="00DF406D">
              <w:rPr>
                <w:sz w:val="16"/>
                <w:szCs w:val="16"/>
                <w:lang w:eastAsia="en-CA"/>
              </w:rPr>
              <w:t>750</w:t>
            </w:r>
          </w:p>
        </w:tc>
        <w:tc>
          <w:tcPr>
            <w:tcW w:w="774" w:type="dxa"/>
            <w:tcBorders>
              <w:top w:val="nil"/>
              <w:left w:val="nil"/>
              <w:bottom w:val="single" w:sz="4" w:space="0" w:color="auto"/>
              <w:right w:val="nil"/>
            </w:tcBorders>
            <w:shd w:val="clear" w:color="auto" w:fill="auto"/>
            <w:noWrap/>
            <w:vAlign w:val="bottom"/>
            <w:hideMark/>
          </w:tcPr>
          <w:p w14:paraId="1F39A56A" w14:textId="77777777" w:rsidR="00BF5A70" w:rsidRPr="00DF406D" w:rsidRDefault="00BF5A70" w:rsidP="00DF406D">
            <w:pPr>
              <w:jc w:val="center"/>
              <w:rPr>
                <w:rFonts w:eastAsia="Times New Roman"/>
                <w:sz w:val="16"/>
                <w:szCs w:val="16"/>
              </w:rPr>
            </w:pPr>
            <w:r w:rsidRPr="00DF406D">
              <w:rPr>
                <w:sz w:val="16"/>
                <w:szCs w:val="16"/>
                <w:lang w:eastAsia="en-CA"/>
              </w:rPr>
              <w:t>750</w:t>
            </w:r>
          </w:p>
        </w:tc>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018B91B4" w14:textId="77777777" w:rsidR="00BF5A70" w:rsidRPr="00DF406D" w:rsidRDefault="00BF5A70" w:rsidP="00DF406D">
            <w:pPr>
              <w:jc w:val="center"/>
              <w:rPr>
                <w:rFonts w:eastAsia="Times New Roman"/>
                <w:sz w:val="16"/>
                <w:szCs w:val="16"/>
              </w:rPr>
            </w:pPr>
            <w:r w:rsidRPr="00DF406D">
              <w:rPr>
                <w:sz w:val="16"/>
                <w:szCs w:val="16"/>
                <w:lang w:eastAsia="en-CA"/>
              </w:rPr>
              <w:t>700</w:t>
            </w:r>
          </w:p>
        </w:tc>
        <w:tc>
          <w:tcPr>
            <w:tcW w:w="725" w:type="dxa"/>
            <w:tcBorders>
              <w:top w:val="nil"/>
              <w:left w:val="nil"/>
              <w:bottom w:val="single" w:sz="4" w:space="0" w:color="auto"/>
              <w:right w:val="single" w:sz="4" w:space="0" w:color="auto"/>
            </w:tcBorders>
            <w:shd w:val="clear" w:color="auto" w:fill="auto"/>
            <w:noWrap/>
            <w:vAlign w:val="bottom"/>
            <w:hideMark/>
          </w:tcPr>
          <w:p w14:paraId="626150B9" w14:textId="77777777" w:rsidR="00BF5A70" w:rsidRPr="00DF406D" w:rsidRDefault="00BF5A70" w:rsidP="00DF406D">
            <w:pPr>
              <w:jc w:val="center"/>
              <w:rPr>
                <w:rFonts w:eastAsia="Times New Roman"/>
                <w:sz w:val="16"/>
                <w:szCs w:val="16"/>
              </w:rPr>
            </w:pPr>
            <w:r w:rsidRPr="00DF406D">
              <w:rPr>
                <w:sz w:val="16"/>
                <w:szCs w:val="16"/>
                <w:lang w:eastAsia="en-CA"/>
              </w:rPr>
              <w:t>650</w:t>
            </w:r>
          </w:p>
        </w:tc>
        <w:tc>
          <w:tcPr>
            <w:tcW w:w="747" w:type="dxa"/>
            <w:tcBorders>
              <w:top w:val="nil"/>
              <w:left w:val="nil"/>
              <w:bottom w:val="single" w:sz="4" w:space="0" w:color="auto"/>
              <w:right w:val="single" w:sz="4" w:space="0" w:color="auto"/>
            </w:tcBorders>
            <w:shd w:val="clear" w:color="auto" w:fill="auto"/>
            <w:noWrap/>
            <w:vAlign w:val="bottom"/>
            <w:hideMark/>
          </w:tcPr>
          <w:p w14:paraId="4A62BB19" w14:textId="77777777" w:rsidR="00BF5A70" w:rsidRPr="00DF406D" w:rsidRDefault="00BF5A70" w:rsidP="00DF406D">
            <w:pPr>
              <w:jc w:val="center"/>
              <w:rPr>
                <w:rFonts w:eastAsia="Times New Roman"/>
                <w:sz w:val="16"/>
                <w:szCs w:val="16"/>
              </w:rPr>
            </w:pPr>
            <w:r w:rsidRPr="00DF406D">
              <w:rPr>
                <w:sz w:val="16"/>
                <w:szCs w:val="16"/>
                <w:lang w:eastAsia="en-CA"/>
              </w:rPr>
              <w:t>700</w:t>
            </w:r>
          </w:p>
        </w:tc>
        <w:tc>
          <w:tcPr>
            <w:tcW w:w="783" w:type="dxa"/>
            <w:tcBorders>
              <w:top w:val="nil"/>
              <w:left w:val="nil"/>
              <w:bottom w:val="single" w:sz="4" w:space="0" w:color="auto"/>
              <w:right w:val="single" w:sz="4" w:space="0" w:color="auto"/>
            </w:tcBorders>
            <w:shd w:val="clear" w:color="auto" w:fill="auto"/>
            <w:noWrap/>
            <w:vAlign w:val="bottom"/>
            <w:hideMark/>
          </w:tcPr>
          <w:p w14:paraId="48B096FB" w14:textId="77777777" w:rsidR="00BF5A70" w:rsidRPr="00DF406D" w:rsidRDefault="00BF5A70" w:rsidP="00DF406D">
            <w:pPr>
              <w:jc w:val="center"/>
              <w:rPr>
                <w:rFonts w:eastAsia="Times New Roman"/>
                <w:sz w:val="16"/>
                <w:szCs w:val="16"/>
              </w:rPr>
            </w:pPr>
            <w:r w:rsidRPr="00DF406D">
              <w:rPr>
                <w:sz w:val="16"/>
                <w:szCs w:val="16"/>
                <w:lang w:eastAsia="en-CA"/>
              </w:rPr>
              <w:t>750</w:t>
            </w:r>
          </w:p>
        </w:tc>
        <w:tc>
          <w:tcPr>
            <w:tcW w:w="747" w:type="dxa"/>
            <w:tcBorders>
              <w:top w:val="nil"/>
              <w:left w:val="nil"/>
              <w:bottom w:val="single" w:sz="4" w:space="0" w:color="auto"/>
              <w:right w:val="single" w:sz="4" w:space="0" w:color="auto"/>
            </w:tcBorders>
            <w:shd w:val="clear" w:color="auto" w:fill="auto"/>
            <w:noWrap/>
            <w:vAlign w:val="bottom"/>
            <w:hideMark/>
          </w:tcPr>
          <w:p w14:paraId="399D006A" w14:textId="77777777" w:rsidR="00BF5A70" w:rsidRPr="00DF406D" w:rsidRDefault="00BF5A70" w:rsidP="00DF406D">
            <w:pPr>
              <w:jc w:val="center"/>
              <w:rPr>
                <w:rFonts w:eastAsia="Times New Roman"/>
                <w:sz w:val="16"/>
                <w:szCs w:val="16"/>
              </w:rPr>
            </w:pPr>
            <w:r w:rsidRPr="00DF406D">
              <w:rPr>
                <w:sz w:val="16"/>
                <w:szCs w:val="16"/>
                <w:lang w:eastAsia="en-CA"/>
              </w:rPr>
              <w:t>750</w:t>
            </w:r>
          </w:p>
        </w:tc>
        <w:tc>
          <w:tcPr>
            <w:tcW w:w="802" w:type="dxa"/>
            <w:tcBorders>
              <w:top w:val="nil"/>
              <w:left w:val="nil"/>
              <w:bottom w:val="single" w:sz="4" w:space="0" w:color="auto"/>
              <w:right w:val="single" w:sz="4" w:space="0" w:color="auto"/>
            </w:tcBorders>
            <w:shd w:val="clear" w:color="auto" w:fill="auto"/>
            <w:noWrap/>
            <w:vAlign w:val="bottom"/>
            <w:hideMark/>
          </w:tcPr>
          <w:p w14:paraId="5725A531" w14:textId="77777777" w:rsidR="00BF5A70" w:rsidRPr="00DF406D" w:rsidRDefault="00BF5A70" w:rsidP="00DF406D">
            <w:pPr>
              <w:jc w:val="center"/>
              <w:rPr>
                <w:rFonts w:eastAsia="Times New Roman"/>
                <w:sz w:val="16"/>
                <w:szCs w:val="16"/>
              </w:rPr>
            </w:pPr>
            <w:r w:rsidRPr="00DF406D">
              <w:rPr>
                <w:sz w:val="16"/>
                <w:szCs w:val="16"/>
                <w:lang w:eastAsia="en-CA"/>
              </w:rPr>
              <w:t>700</w:t>
            </w:r>
          </w:p>
        </w:tc>
        <w:tc>
          <w:tcPr>
            <w:tcW w:w="732" w:type="dxa"/>
            <w:tcBorders>
              <w:top w:val="nil"/>
              <w:left w:val="nil"/>
              <w:bottom w:val="single" w:sz="4" w:space="0" w:color="auto"/>
              <w:right w:val="single" w:sz="4" w:space="0" w:color="auto"/>
            </w:tcBorders>
            <w:shd w:val="clear" w:color="auto" w:fill="auto"/>
            <w:noWrap/>
            <w:vAlign w:val="bottom"/>
            <w:hideMark/>
          </w:tcPr>
          <w:p w14:paraId="5A3F3BF7" w14:textId="77777777" w:rsidR="00BF5A70" w:rsidRPr="00DF406D" w:rsidRDefault="00BF5A70" w:rsidP="00DF406D">
            <w:pPr>
              <w:jc w:val="center"/>
              <w:rPr>
                <w:rFonts w:eastAsia="Times New Roman"/>
                <w:sz w:val="16"/>
                <w:szCs w:val="16"/>
              </w:rPr>
            </w:pPr>
            <w:r w:rsidRPr="00DF406D">
              <w:rPr>
                <w:sz w:val="16"/>
                <w:szCs w:val="16"/>
                <w:lang w:eastAsia="en-CA"/>
              </w:rPr>
              <w:t>700</w:t>
            </w:r>
          </w:p>
        </w:tc>
      </w:tr>
      <w:tr w:rsidR="00DF406D" w:rsidRPr="00DF406D" w14:paraId="54A8BA62" w14:textId="77777777" w:rsidTr="00A90D59">
        <w:trPr>
          <w:trHeight w:val="300"/>
        </w:trPr>
        <w:tc>
          <w:tcPr>
            <w:tcW w:w="1418" w:type="dxa"/>
            <w:tcBorders>
              <w:top w:val="nil"/>
              <w:left w:val="single" w:sz="4" w:space="0" w:color="auto"/>
              <w:bottom w:val="single" w:sz="4" w:space="0" w:color="auto"/>
              <w:right w:val="single" w:sz="4" w:space="0" w:color="auto"/>
            </w:tcBorders>
            <w:shd w:val="clear" w:color="auto" w:fill="auto"/>
            <w:noWrap/>
            <w:hideMark/>
          </w:tcPr>
          <w:p w14:paraId="734DA2AE" w14:textId="77777777" w:rsidR="00BF5A70" w:rsidRPr="00DF406D" w:rsidRDefault="00BF5A70" w:rsidP="00DF406D">
            <w:pPr>
              <w:jc w:val="left"/>
              <w:rPr>
                <w:rFonts w:eastAsia="Times New Roman"/>
                <w:sz w:val="16"/>
                <w:szCs w:val="16"/>
              </w:rPr>
            </w:pPr>
            <w:r w:rsidRPr="00DF406D">
              <w:rPr>
                <w:sz w:val="16"/>
                <w:szCs w:val="16"/>
              </w:rPr>
              <w:t>Out Orders</w:t>
            </w:r>
          </w:p>
        </w:tc>
        <w:tc>
          <w:tcPr>
            <w:tcW w:w="685" w:type="dxa"/>
            <w:tcBorders>
              <w:top w:val="nil"/>
              <w:left w:val="single" w:sz="4" w:space="0" w:color="auto"/>
              <w:bottom w:val="single" w:sz="4" w:space="0" w:color="auto"/>
              <w:right w:val="single" w:sz="4" w:space="0" w:color="auto"/>
            </w:tcBorders>
            <w:shd w:val="clear" w:color="auto" w:fill="auto"/>
            <w:noWrap/>
            <w:vAlign w:val="bottom"/>
            <w:hideMark/>
          </w:tcPr>
          <w:p w14:paraId="0466ED58"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66" w:type="dxa"/>
            <w:tcBorders>
              <w:top w:val="nil"/>
              <w:left w:val="nil"/>
              <w:bottom w:val="single" w:sz="4" w:space="0" w:color="auto"/>
              <w:right w:val="single" w:sz="4" w:space="0" w:color="auto"/>
            </w:tcBorders>
            <w:shd w:val="clear" w:color="auto" w:fill="auto"/>
            <w:noWrap/>
            <w:vAlign w:val="bottom"/>
            <w:hideMark/>
          </w:tcPr>
          <w:p w14:paraId="7BABED75"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49" w:type="dxa"/>
            <w:tcBorders>
              <w:top w:val="nil"/>
              <w:left w:val="nil"/>
              <w:bottom w:val="single" w:sz="4" w:space="0" w:color="auto"/>
              <w:right w:val="single" w:sz="4" w:space="0" w:color="auto"/>
            </w:tcBorders>
            <w:shd w:val="clear" w:color="auto" w:fill="auto"/>
            <w:noWrap/>
            <w:vAlign w:val="bottom"/>
            <w:hideMark/>
          </w:tcPr>
          <w:p w14:paraId="0DC18CF4"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38" w:type="dxa"/>
            <w:tcBorders>
              <w:top w:val="nil"/>
              <w:left w:val="nil"/>
              <w:bottom w:val="single" w:sz="4" w:space="0" w:color="auto"/>
              <w:right w:val="single" w:sz="4" w:space="0" w:color="auto"/>
            </w:tcBorders>
            <w:shd w:val="clear" w:color="auto" w:fill="auto"/>
            <w:noWrap/>
            <w:vAlign w:val="bottom"/>
            <w:hideMark/>
          </w:tcPr>
          <w:p w14:paraId="55493266"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74" w:type="dxa"/>
            <w:tcBorders>
              <w:top w:val="nil"/>
              <w:left w:val="nil"/>
              <w:bottom w:val="single" w:sz="4" w:space="0" w:color="auto"/>
              <w:right w:val="single" w:sz="4" w:space="0" w:color="auto"/>
            </w:tcBorders>
            <w:shd w:val="clear" w:color="auto" w:fill="auto"/>
            <w:noWrap/>
            <w:vAlign w:val="bottom"/>
            <w:hideMark/>
          </w:tcPr>
          <w:p w14:paraId="741F5103"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56" w:type="dxa"/>
            <w:tcBorders>
              <w:top w:val="nil"/>
              <w:left w:val="nil"/>
              <w:bottom w:val="single" w:sz="4" w:space="0" w:color="auto"/>
              <w:right w:val="single" w:sz="4" w:space="0" w:color="auto"/>
            </w:tcBorders>
            <w:shd w:val="clear" w:color="auto" w:fill="auto"/>
            <w:noWrap/>
            <w:vAlign w:val="bottom"/>
            <w:hideMark/>
          </w:tcPr>
          <w:p w14:paraId="7073D7BF"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25" w:type="dxa"/>
            <w:tcBorders>
              <w:top w:val="nil"/>
              <w:left w:val="nil"/>
              <w:bottom w:val="single" w:sz="4" w:space="0" w:color="auto"/>
              <w:right w:val="single" w:sz="4" w:space="0" w:color="auto"/>
            </w:tcBorders>
            <w:shd w:val="clear" w:color="auto" w:fill="auto"/>
            <w:noWrap/>
            <w:vAlign w:val="bottom"/>
            <w:hideMark/>
          </w:tcPr>
          <w:p w14:paraId="2728BDBD"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47" w:type="dxa"/>
            <w:tcBorders>
              <w:top w:val="nil"/>
              <w:left w:val="nil"/>
              <w:bottom w:val="single" w:sz="4" w:space="0" w:color="auto"/>
              <w:right w:val="single" w:sz="4" w:space="0" w:color="auto"/>
            </w:tcBorders>
            <w:shd w:val="clear" w:color="auto" w:fill="auto"/>
            <w:noWrap/>
            <w:vAlign w:val="bottom"/>
            <w:hideMark/>
          </w:tcPr>
          <w:p w14:paraId="6103BF2B"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83" w:type="dxa"/>
            <w:tcBorders>
              <w:top w:val="nil"/>
              <w:left w:val="nil"/>
              <w:bottom w:val="single" w:sz="4" w:space="0" w:color="auto"/>
              <w:right w:val="single" w:sz="4" w:space="0" w:color="auto"/>
            </w:tcBorders>
            <w:shd w:val="clear" w:color="auto" w:fill="auto"/>
            <w:noWrap/>
            <w:vAlign w:val="bottom"/>
            <w:hideMark/>
          </w:tcPr>
          <w:p w14:paraId="67C9C7B5"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47" w:type="dxa"/>
            <w:tcBorders>
              <w:top w:val="nil"/>
              <w:left w:val="nil"/>
              <w:bottom w:val="single" w:sz="4" w:space="0" w:color="auto"/>
              <w:right w:val="single" w:sz="4" w:space="0" w:color="auto"/>
            </w:tcBorders>
            <w:shd w:val="clear" w:color="auto" w:fill="auto"/>
            <w:noWrap/>
            <w:vAlign w:val="bottom"/>
            <w:hideMark/>
          </w:tcPr>
          <w:p w14:paraId="42FF6AF5"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802" w:type="dxa"/>
            <w:tcBorders>
              <w:top w:val="nil"/>
              <w:left w:val="nil"/>
              <w:bottom w:val="single" w:sz="4" w:space="0" w:color="auto"/>
              <w:right w:val="single" w:sz="4" w:space="0" w:color="auto"/>
            </w:tcBorders>
            <w:shd w:val="clear" w:color="auto" w:fill="auto"/>
            <w:noWrap/>
            <w:vAlign w:val="bottom"/>
            <w:hideMark/>
          </w:tcPr>
          <w:p w14:paraId="5BB70AAD" w14:textId="77777777" w:rsidR="00BF5A70" w:rsidRPr="00DF406D" w:rsidRDefault="00BF5A70" w:rsidP="00DF406D">
            <w:pPr>
              <w:jc w:val="center"/>
              <w:rPr>
                <w:rFonts w:eastAsia="Times New Roman"/>
                <w:sz w:val="16"/>
                <w:szCs w:val="16"/>
              </w:rPr>
            </w:pPr>
            <w:r w:rsidRPr="00DF406D">
              <w:rPr>
                <w:sz w:val="16"/>
                <w:szCs w:val="16"/>
                <w:lang w:eastAsia="en-CA"/>
              </w:rPr>
              <w:t>2700</w:t>
            </w:r>
          </w:p>
        </w:tc>
        <w:tc>
          <w:tcPr>
            <w:tcW w:w="732" w:type="dxa"/>
            <w:tcBorders>
              <w:top w:val="nil"/>
              <w:left w:val="nil"/>
              <w:bottom w:val="single" w:sz="4" w:space="0" w:color="auto"/>
              <w:right w:val="single" w:sz="4" w:space="0" w:color="auto"/>
            </w:tcBorders>
            <w:shd w:val="clear" w:color="auto" w:fill="auto"/>
            <w:noWrap/>
            <w:vAlign w:val="bottom"/>
            <w:hideMark/>
          </w:tcPr>
          <w:p w14:paraId="1821683D" w14:textId="77777777" w:rsidR="00BF5A70" w:rsidRPr="00DF406D" w:rsidRDefault="00BF5A70" w:rsidP="00DF406D">
            <w:pPr>
              <w:jc w:val="center"/>
              <w:rPr>
                <w:rFonts w:eastAsia="Times New Roman"/>
                <w:sz w:val="16"/>
                <w:szCs w:val="16"/>
              </w:rPr>
            </w:pPr>
            <w:r w:rsidRPr="00DF406D">
              <w:rPr>
                <w:sz w:val="16"/>
                <w:szCs w:val="16"/>
                <w:lang w:eastAsia="en-CA"/>
              </w:rPr>
              <w:t>2700</w:t>
            </w:r>
          </w:p>
        </w:tc>
      </w:tr>
    </w:tbl>
    <w:p w14:paraId="680333B7" w14:textId="77777777" w:rsidR="004162A0" w:rsidRPr="00DF406D" w:rsidRDefault="004162A0" w:rsidP="00DF406D">
      <w:pPr>
        <w:spacing w:after="120"/>
        <w:rPr>
          <w:sz w:val="20"/>
        </w:rPr>
      </w:pPr>
    </w:p>
    <w:p w14:paraId="5DE3E5D2" w14:textId="77777777" w:rsidR="004162A0" w:rsidRPr="00DF406D" w:rsidRDefault="004162A0" w:rsidP="00DF406D">
      <w:pPr>
        <w:pStyle w:val="ListParagraph"/>
        <w:numPr>
          <w:ilvl w:val="1"/>
          <w:numId w:val="6"/>
        </w:numPr>
        <w:rPr>
          <w:color w:val="auto"/>
          <w:sz w:val="20"/>
        </w:rPr>
      </w:pPr>
      <w:r w:rsidRPr="00DF406D">
        <w:rPr>
          <w:color w:val="auto"/>
          <w:sz w:val="20"/>
        </w:rPr>
        <w:t>TELUS Quarterly Forecast:  Thirty (3</w:t>
      </w:r>
      <w:r w:rsidR="00BF5A70" w:rsidRPr="00DF406D">
        <w:rPr>
          <w:color w:val="auto"/>
          <w:sz w:val="20"/>
        </w:rPr>
        <w:t>0) calendar days prior to Sept 24, 2019</w:t>
      </w:r>
      <w:r w:rsidRPr="00DF406D">
        <w:rPr>
          <w:color w:val="auto"/>
          <w:sz w:val="20"/>
        </w:rPr>
        <w:t xml:space="preserve"> and approximately quarterly thereafter, TELUS may provide to TI in writing a three (3) month estimate of expected Transactions for the following calendar quarter (the "TELUS Quarterly Forecast"). For example, TELUS would provide its Quarterly Forecast for the months of October, November and December on or around September 1st and the next forecast would be provided on or around December 1st for the subsequent calendar quarter. If at any time during the SOW Term, TELUS does not provide TI with a TELUS Quarterly Forecast, TI will notify TELUS and will use the last estimate received from TELUS for monthly resource planning and other purposes until such time as TELUS provides an updated TELUS Quarterly Forecast. TELUS will, as is commercially reasonable, provide a forecast of anticipated volumes as accurately as possible.</w:t>
      </w:r>
    </w:p>
    <w:p w14:paraId="0AF48A2D" w14:textId="77777777" w:rsidR="004162A0" w:rsidRPr="00DF406D" w:rsidRDefault="004162A0" w:rsidP="00DF406D">
      <w:pPr>
        <w:pStyle w:val="ListParagraph"/>
        <w:ind w:left="644"/>
        <w:rPr>
          <w:color w:val="auto"/>
          <w:sz w:val="20"/>
        </w:rPr>
      </w:pPr>
    </w:p>
    <w:p w14:paraId="62658E80" w14:textId="4E1262E4" w:rsidR="004162A0" w:rsidRPr="00DF406D" w:rsidRDefault="004162A0" w:rsidP="00DF406D">
      <w:pPr>
        <w:numPr>
          <w:ilvl w:val="1"/>
          <w:numId w:val="6"/>
        </w:numPr>
        <w:pBdr>
          <w:top w:val="nil"/>
          <w:left w:val="nil"/>
          <w:bottom w:val="nil"/>
          <w:right w:val="nil"/>
          <w:between w:val="nil"/>
        </w:pBdr>
        <w:spacing w:after="120"/>
        <w:rPr>
          <w:sz w:val="20"/>
        </w:rPr>
      </w:pPr>
      <w:r w:rsidRPr="00DF406D">
        <w:rPr>
          <w:sz w:val="20"/>
        </w:rPr>
        <w:lastRenderedPageBreak/>
        <w:t xml:space="preserve">Based on the nature and scope of the work as set out </w:t>
      </w:r>
      <w:r w:rsidRPr="00DF406D">
        <w:rPr>
          <w:sz w:val="20"/>
          <w:szCs w:val="20"/>
        </w:rPr>
        <w:t xml:space="preserve">herein, the Services to be provided, the agreed Transaction Rates in Table 9.3-1, and the TELUS Annual Forecast for each contract year, </w:t>
      </w:r>
      <w:r w:rsidRPr="00DF406D">
        <w:rPr>
          <w:sz w:val="20"/>
        </w:rPr>
        <w:t xml:space="preserve">the maximum total amount payable by TELUS under this SOW shall not exceed </w:t>
      </w:r>
      <w:r w:rsidRPr="00DF406D">
        <w:rPr>
          <w:b/>
          <w:sz w:val="20"/>
        </w:rPr>
        <w:t xml:space="preserve">CAD $ </w:t>
      </w:r>
      <w:r w:rsidR="00E32389" w:rsidRPr="00DF406D">
        <w:rPr>
          <w:b/>
          <w:sz w:val="20"/>
        </w:rPr>
        <w:t xml:space="preserve">$544,957.60 </w:t>
      </w:r>
      <w:r w:rsidR="000E4964" w:rsidRPr="00DF406D">
        <w:rPr>
          <w:b/>
          <w:sz w:val="20"/>
        </w:rPr>
        <w:t>(</w:t>
      </w:r>
      <w:r w:rsidR="00E32389" w:rsidRPr="00DF406D">
        <w:rPr>
          <w:b/>
          <w:sz w:val="20"/>
        </w:rPr>
        <w:t>Five</w:t>
      </w:r>
      <w:r w:rsidR="000E4964" w:rsidRPr="00DF406D">
        <w:rPr>
          <w:b/>
          <w:sz w:val="20"/>
        </w:rPr>
        <w:t xml:space="preserve"> Hundred </w:t>
      </w:r>
      <w:r w:rsidR="00E32389" w:rsidRPr="00DF406D">
        <w:rPr>
          <w:b/>
          <w:sz w:val="20"/>
        </w:rPr>
        <w:t>Forty Four</w:t>
      </w:r>
      <w:r w:rsidR="000E4964" w:rsidRPr="00DF406D">
        <w:rPr>
          <w:b/>
          <w:sz w:val="20"/>
        </w:rPr>
        <w:t xml:space="preserve"> Thousand Nine Hundred </w:t>
      </w:r>
      <w:r w:rsidR="00E32389" w:rsidRPr="00DF406D">
        <w:rPr>
          <w:b/>
          <w:sz w:val="20"/>
        </w:rPr>
        <w:t>Fifty Seven</w:t>
      </w:r>
      <w:r w:rsidRPr="00DF406D">
        <w:rPr>
          <w:b/>
          <w:sz w:val="20"/>
        </w:rPr>
        <w:t xml:space="preserve"> C</w:t>
      </w:r>
      <w:r w:rsidR="000E4964" w:rsidRPr="00DF406D">
        <w:rPr>
          <w:b/>
          <w:sz w:val="20"/>
        </w:rPr>
        <w:t xml:space="preserve">anadian Dollars and </w:t>
      </w:r>
      <w:r w:rsidR="00E32389" w:rsidRPr="00DF406D">
        <w:rPr>
          <w:b/>
          <w:sz w:val="20"/>
        </w:rPr>
        <w:t>Sixty</w:t>
      </w:r>
      <w:r w:rsidRPr="00DF406D">
        <w:rPr>
          <w:b/>
          <w:sz w:val="20"/>
        </w:rPr>
        <w:t xml:space="preserve"> Cents only)</w:t>
      </w:r>
      <w:r w:rsidRPr="00DF406D">
        <w:rPr>
          <w:i/>
          <w:sz w:val="20"/>
        </w:rPr>
        <w:t xml:space="preserve"> </w:t>
      </w:r>
      <w:r w:rsidRPr="00DF406D">
        <w:rPr>
          <w:sz w:val="20"/>
        </w:rPr>
        <w:t>in Fees, excluding applicable Taxes and TELUS Manager approved eligible and applicable Expenses, if applicable (“</w:t>
      </w:r>
      <w:r w:rsidRPr="00DF406D">
        <w:rPr>
          <w:b/>
          <w:sz w:val="20"/>
        </w:rPr>
        <w:t>Maximum Total Fees</w:t>
      </w:r>
      <w:r w:rsidRPr="00DF406D">
        <w:rPr>
          <w:sz w:val="20"/>
        </w:rPr>
        <w:t>”).</w:t>
      </w:r>
      <w:r w:rsidRPr="00DF406D">
        <w:t xml:space="preserve"> </w:t>
      </w:r>
    </w:p>
    <w:p w14:paraId="6D18C081" w14:textId="77777777" w:rsidR="004162A0" w:rsidRPr="00DF406D" w:rsidRDefault="004162A0" w:rsidP="00DF406D">
      <w:pPr>
        <w:spacing w:after="120"/>
        <w:ind w:left="644"/>
      </w:pPr>
    </w:p>
    <w:p w14:paraId="699E064D" w14:textId="77777777" w:rsidR="004162A0" w:rsidRPr="00DF406D" w:rsidRDefault="004162A0" w:rsidP="00DF406D">
      <w:pPr>
        <w:spacing w:after="120"/>
        <w:ind w:left="644"/>
        <w:rPr>
          <w:sz w:val="20"/>
        </w:rPr>
      </w:pPr>
      <w:r w:rsidRPr="00DF406D">
        <w:rPr>
          <w:sz w:val="20"/>
        </w:rPr>
        <w:t>Such Maximum Total Service Charges are calculated as follows:</w:t>
      </w:r>
    </w:p>
    <w:p w14:paraId="6E64B879" w14:textId="77777777" w:rsidR="004162A0" w:rsidRPr="00DF406D" w:rsidRDefault="004162A0" w:rsidP="00DF406D">
      <w:pPr>
        <w:spacing w:after="120"/>
        <w:ind w:left="644"/>
        <w:rPr>
          <w:sz w:val="20"/>
        </w:rPr>
      </w:pPr>
      <w:r w:rsidRPr="00DF406D">
        <w:rPr>
          <w:sz w:val="20"/>
        </w:rPr>
        <w:t>Table 9.6-1: Maximum Total Service Charge</w:t>
      </w:r>
    </w:p>
    <w:tbl>
      <w:tblPr>
        <w:tblW w:w="7931" w:type="dxa"/>
        <w:tblInd w:w="737" w:type="dxa"/>
        <w:tblLayout w:type="fixed"/>
        <w:tblLook w:val="04A0" w:firstRow="1" w:lastRow="0" w:firstColumn="1" w:lastColumn="0" w:noHBand="0" w:noVBand="1"/>
      </w:tblPr>
      <w:tblGrid>
        <w:gridCol w:w="1380"/>
        <w:gridCol w:w="1134"/>
        <w:gridCol w:w="1559"/>
        <w:gridCol w:w="1134"/>
        <w:gridCol w:w="1575"/>
        <w:gridCol w:w="1149"/>
      </w:tblGrid>
      <w:tr w:rsidR="00DF406D" w:rsidRPr="00DF406D" w14:paraId="1A70D9FA" w14:textId="77777777" w:rsidTr="00CD316E">
        <w:trPr>
          <w:trHeight w:val="1093"/>
        </w:trPr>
        <w:tc>
          <w:tcPr>
            <w:tcW w:w="1380" w:type="dxa"/>
            <w:vMerge w:val="restart"/>
            <w:tcBorders>
              <w:top w:val="single" w:sz="8" w:space="0" w:color="auto"/>
              <w:left w:val="single" w:sz="8" w:space="0" w:color="auto"/>
              <w:bottom w:val="single" w:sz="8" w:space="0" w:color="000000"/>
              <w:right w:val="single" w:sz="8" w:space="0" w:color="auto"/>
            </w:tcBorders>
            <w:shd w:val="clear" w:color="auto" w:fill="auto"/>
            <w:tcMar>
              <w:left w:w="28" w:type="dxa"/>
              <w:right w:w="28" w:type="dxa"/>
            </w:tcMar>
            <w:vAlign w:val="bottom"/>
            <w:hideMark/>
          </w:tcPr>
          <w:p w14:paraId="2905E781" w14:textId="77777777" w:rsidR="004162A0" w:rsidRPr="00DF406D" w:rsidRDefault="004162A0" w:rsidP="00DF406D">
            <w:pPr>
              <w:jc w:val="center"/>
              <w:rPr>
                <w:b/>
                <w:bCs/>
                <w:sz w:val="14"/>
                <w:szCs w:val="22"/>
              </w:rPr>
            </w:pPr>
            <w:r w:rsidRPr="00DF406D">
              <w:rPr>
                <w:b/>
                <w:bCs/>
                <w:sz w:val="14"/>
                <w:szCs w:val="22"/>
              </w:rPr>
              <w:t>Period</w:t>
            </w:r>
          </w:p>
          <w:p w14:paraId="628F08EB" w14:textId="77777777" w:rsidR="004162A0" w:rsidRPr="00DF406D" w:rsidRDefault="004162A0" w:rsidP="00DF406D">
            <w:pPr>
              <w:rPr>
                <w:b/>
                <w:bCs/>
                <w:sz w:val="14"/>
                <w:szCs w:val="22"/>
              </w:rPr>
            </w:pPr>
          </w:p>
          <w:p w14:paraId="2455FD09" w14:textId="77777777" w:rsidR="004162A0" w:rsidRPr="00DF406D" w:rsidRDefault="004162A0" w:rsidP="00DF406D">
            <w:pPr>
              <w:rPr>
                <w:b/>
                <w:bCs/>
                <w:sz w:val="14"/>
                <w:szCs w:val="22"/>
              </w:rPr>
            </w:pPr>
          </w:p>
          <w:p w14:paraId="11D8F7B2" w14:textId="77777777" w:rsidR="004162A0" w:rsidRPr="00DF406D" w:rsidRDefault="004162A0" w:rsidP="00DF406D">
            <w:pPr>
              <w:rPr>
                <w:b/>
                <w:bCs/>
                <w:sz w:val="14"/>
                <w:szCs w:val="22"/>
              </w:rPr>
            </w:pPr>
          </w:p>
          <w:p w14:paraId="4BA32EB2" w14:textId="77777777" w:rsidR="004162A0" w:rsidRPr="00DF406D" w:rsidRDefault="004162A0" w:rsidP="00DF406D">
            <w:pPr>
              <w:rPr>
                <w:b/>
                <w:sz w:val="14"/>
                <w:szCs w:val="22"/>
              </w:rPr>
            </w:pPr>
          </w:p>
        </w:tc>
        <w:tc>
          <w:tcPr>
            <w:tcW w:w="1134" w:type="dxa"/>
            <w:tcBorders>
              <w:top w:val="single" w:sz="8" w:space="0" w:color="auto"/>
              <w:left w:val="nil"/>
              <w:bottom w:val="nil"/>
              <w:right w:val="single" w:sz="8" w:space="0" w:color="auto"/>
            </w:tcBorders>
            <w:shd w:val="clear" w:color="auto" w:fill="auto"/>
            <w:tcMar>
              <w:left w:w="28" w:type="dxa"/>
              <w:right w:w="28" w:type="dxa"/>
            </w:tcMar>
            <w:vAlign w:val="bottom"/>
            <w:hideMark/>
          </w:tcPr>
          <w:p w14:paraId="4E4343FF" w14:textId="77777777" w:rsidR="004162A0" w:rsidRPr="00DF406D" w:rsidRDefault="004162A0" w:rsidP="00DF406D">
            <w:pPr>
              <w:jc w:val="center"/>
              <w:rPr>
                <w:b/>
                <w:bCs/>
                <w:sz w:val="14"/>
                <w:szCs w:val="22"/>
              </w:rPr>
            </w:pPr>
            <w:r w:rsidRPr="00DF406D">
              <w:rPr>
                <w:b/>
                <w:bCs/>
                <w:sz w:val="14"/>
                <w:szCs w:val="22"/>
              </w:rPr>
              <w:t>TELUS Annual Forecast</w:t>
            </w:r>
          </w:p>
          <w:p w14:paraId="0594659B" w14:textId="77777777" w:rsidR="004162A0" w:rsidRPr="00DF406D" w:rsidRDefault="004162A0" w:rsidP="00DF406D">
            <w:pPr>
              <w:jc w:val="center"/>
              <w:rPr>
                <w:b/>
                <w:sz w:val="14"/>
                <w:szCs w:val="22"/>
              </w:rPr>
            </w:pPr>
            <w:r w:rsidRPr="00DF406D">
              <w:rPr>
                <w:b/>
                <w:sz w:val="14"/>
                <w:szCs w:val="22"/>
              </w:rPr>
              <w:t>(as of SOW Effective Date)</w:t>
            </w:r>
          </w:p>
        </w:tc>
        <w:tc>
          <w:tcPr>
            <w:tcW w:w="1559" w:type="dxa"/>
            <w:vMerge w:val="restart"/>
            <w:tcBorders>
              <w:top w:val="single" w:sz="8" w:space="0" w:color="auto"/>
              <w:left w:val="single" w:sz="8" w:space="0" w:color="auto"/>
              <w:bottom w:val="single" w:sz="8" w:space="0" w:color="000000"/>
              <w:right w:val="single" w:sz="8" w:space="0" w:color="auto"/>
            </w:tcBorders>
            <w:shd w:val="clear" w:color="auto" w:fill="auto"/>
            <w:tcMar>
              <w:left w:w="28" w:type="dxa"/>
              <w:right w:w="28" w:type="dxa"/>
            </w:tcMar>
            <w:vAlign w:val="bottom"/>
            <w:hideMark/>
          </w:tcPr>
          <w:p w14:paraId="290AA83A" w14:textId="77777777" w:rsidR="004162A0" w:rsidRPr="00DF406D" w:rsidRDefault="00BF5A70" w:rsidP="00DF406D">
            <w:pPr>
              <w:jc w:val="center"/>
              <w:rPr>
                <w:b/>
                <w:bCs/>
                <w:sz w:val="14"/>
                <w:szCs w:val="22"/>
              </w:rPr>
            </w:pPr>
            <w:r w:rsidRPr="00DF406D">
              <w:rPr>
                <w:b/>
                <w:bCs/>
                <w:sz w:val="14"/>
                <w:szCs w:val="22"/>
              </w:rPr>
              <w:t>TELUS Annual Forecast (as of SOW Effective Date) + 10% Transaction volume contingency</w:t>
            </w:r>
          </w:p>
          <w:p w14:paraId="18E48666" w14:textId="77777777" w:rsidR="004162A0" w:rsidRPr="00DF406D" w:rsidRDefault="004162A0" w:rsidP="00DF406D">
            <w:pPr>
              <w:jc w:val="center"/>
              <w:rPr>
                <w:b/>
                <w:sz w:val="14"/>
                <w:szCs w:val="22"/>
              </w:rPr>
            </w:pPr>
          </w:p>
        </w:tc>
        <w:tc>
          <w:tcPr>
            <w:tcW w:w="1134" w:type="dxa"/>
            <w:tcBorders>
              <w:top w:val="single" w:sz="8" w:space="0" w:color="auto"/>
              <w:left w:val="nil"/>
              <w:bottom w:val="nil"/>
              <w:right w:val="single" w:sz="8" w:space="0" w:color="auto"/>
            </w:tcBorders>
            <w:shd w:val="clear" w:color="auto" w:fill="auto"/>
            <w:tcMar>
              <w:left w:w="28" w:type="dxa"/>
              <w:right w:w="28" w:type="dxa"/>
            </w:tcMar>
            <w:vAlign w:val="bottom"/>
            <w:hideMark/>
          </w:tcPr>
          <w:p w14:paraId="1204BBEB" w14:textId="77777777" w:rsidR="004162A0" w:rsidRPr="00DF406D" w:rsidRDefault="00BF5A70" w:rsidP="00DF406D">
            <w:pPr>
              <w:jc w:val="center"/>
              <w:rPr>
                <w:b/>
                <w:bCs/>
                <w:sz w:val="14"/>
                <w:szCs w:val="22"/>
              </w:rPr>
            </w:pPr>
            <w:r w:rsidRPr="00DF406D">
              <w:rPr>
                <w:b/>
                <w:bCs/>
                <w:sz w:val="14"/>
                <w:szCs w:val="22"/>
              </w:rPr>
              <w:t>SOW Term</w:t>
            </w:r>
          </w:p>
          <w:p w14:paraId="5AA9D713" w14:textId="77777777" w:rsidR="00BF5A70" w:rsidRPr="00DF406D" w:rsidRDefault="00BF5A70" w:rsidP="00DF406D">
            <w:pPr>
              <w:jc w:val="center"/>
              <w:rPr>
                <w:b/>
                <w:bCs/>
                <w:sz w:val="14"/>
                <w:szCs w:val="22"/>
              </w:rPr>
            </w:pPr>
          </w:p>
          <w:p w14:paraId="40ACD04A" w14:textId="77777777" w:rsidR="00BF5A70" w:rsidRPr="00DF406D" w:rsidRDefault="00BF5A70" w:rsidP="00DF406D">
            <w:pPr>
              <w:jc w:val="center"/>
              <w:rPr>
                <w:b/>
                <w:sz w:val="14"/>
                <w:szCs w:val="22"/>
              </w:rPr>
            </w:pPr>
          </w:p>
        </w:tc>
        <w:tc>
          <w:tcPr>
            <w:tcW w:w="1575" w:type="dxa"/>
            <w:vMerge w:val="restart"/>
            <w:tcBorders>
              <w:top w:val="single" w:sz="8" w:space="0" w:color="auto"/>
              <w:left w:val="single" w:sz="8" w:space="0" w:color="auto"/>
              <w:bottom w:val="single" w:sz="8" w:space="0" w:color="000000"/>
              <w:right w:val="single" w:sz="8" w:space="0" w:color="auto"/>
            </w:tcBorders>
            <w:shd w:val="clear" w:color="auto" w:fill="auto"/>
            <w:tcMar>
              <w:left w:w="28" w:type="dxa"/>
              <w:right w:w="28" w:type="dxa"/>
            </w:tcMar>
            <w:vAlign w:val="bottom"/>
            <w:hideMark/>
          </w:tcPr>
          <w:p w14:paraId="40BF7F4C" w14:textId="77777777" w:rsidR="004162A0" w:rsidRPr="00DF406D" w:rsidRDefault="004162A0" w:rsidP="00DF406D">
            <w:pPr>
              <w:jc w:val="center"/>
              <w:rPr>
                <w:b/>
                <w:bCs/>
                <w:sz w:val="14"/>
                <w:szCs w:val="22"/>
              </w:rPr>
            </w:pPr>
          </w:p>
          <w:p w14:paraId="0D836D57" w14:textId="77777777" w:rsidR="004162A0" w:rsidRPr="00DF406D" w:rsidRDefault="004162A0" w:rsidP="00DF406D">
            <w:pPr>
              <w:jc w:val="center"/>
              <w:rPr>
                <w:b/>
                <w:bCs/>
                <w:sz w:val="14"/>
                <w:szCs w:val="22"/>
              </w:rPr>
            </w:pPr>
            <w:r w:rsidRPr="00DF406D">
              <w:rPr>
                <w:b/>
                <w:bCs/>
                <w:sz w:val="14"/>
                <w:szCs w:val="22"/>
              </w:rPr>
              <w:t xml:space="preserve">Tier Transaction Rate </w:t>
            </w:r>
            <w:r w:rsidRPr="00DF406D">
              <w:rPr>
                <w:b/>
                <w:bCs/>
                <w:sz w:val="14"/>
                <w:szCs w:val="22"/>
              </w:rPr>
              <w:br/>
              <w:t>(CAD)</w:t>
            </w:r>
          </w:p>
          <w:p w14:paraId="06065736" w14:textId="77777777" w:rsidR="004162A0" w:rsidRPr="00DF406D" w:rsidRDefault="004162A0" w:rsidP="00DF406D">
            <w:pPr>
              <w:jc w:val="center"/>
              <w:rPr>
                <w:b/>
                <w:bCs/>
                <w:sz w:val="14"/>
                <w:szCs w:val="22"/>
              </w:rPr>
            </w:pPr>
          </w:p>
          <w:p w14:paraId="3C4C535D" w14:textId="77777777" w:rsidR="004162A0" w:rsidRPr="00DF406D" w:rsidRDefault="004162A0" w:rsidP="00DF406D">
            <w:pPr>
              <w:jc w:val="center"/>
              <w:rPr>
                <w:b/>
                <w:bCs/>
                <w:sz w:val="14"/>
                <w:szCs w:val="22"/>
              </w:rPr>
            </w:pPr>
          </w:p>
          <w:p w14:paraId="5726D8B9" w14:textId="77777777" w:rsidR="004162A0" w:rsidRPr="00DF406D" w:rsidRDefault="004162A0" w:rsidP="00DF406D">
            <w:pPr>
              <w:jc w:val="center"/>
              <w:rPr>
                <w:b/>
                <w:sz w:val="14"/>
                <w:szCs w:val="22"/>
              </w:rPr>
            </w:pPr>
          </w:p>
        </w:tc>
        <w:tc>
          <w:tcPr>
            <w:tcW w:w="1149" w:type="dxa"/>
            <w:vMerge w:val="restart"/>
            <w:tcBorders>
              <w:top w:val="single" w:sz="8" w:space="0" w:color="auto"/>
              <w:left w:val="single" w:sz="8" w:space="0" w:color="auto"/>
              <w:bottom w:val="single" w:sz="8" w:space="0" w:color="000000"/>
              <w:right w:val="single" w:sz="8" w:space="0" w:color="auto"/>
            </w:tcBorders>
            <w:shd w:val="clear" w:color="auto" w:fill="auto"/>
            <w:tcMar>
              <w:left w:w="28" w:type="dxa"/>
              <w:right w:w="28" w:type="dxa"/>
            </w:tcMar>
            <w:vAlign w:val="bottom"/>
            <w:hideMark/>
          </w:tcPr>
          <w:p w14:paraId="0855050E" w14:textId="77777777" w:rsidR="004162A0" w:rsidRPr="00DF406D" w:rsidRDefault="004162A0" w:rsidP="00DF406D">
            <w:pPr>
              <w:jc w:val="center"/>
              <w:rPr>
                <w:b/>
                <w:bCs/>
                <w:sz w:val="14"/>
                <w:szCs w:val="22"/>
              </w:rPr>
            </w:pPr>
            <w:r w:rsidRPr="00DF406D">
              <w:rPr>
                <w:b/>
                <w:bCs/>
                <w:sz w:val="14"/>
                <w:szCs w:val="22"/>
              </w:rPr>
              <w:t>Maximum Total Service Charges</w:t>
            </w:r>
          </w:p>
          <w:p w14:paraId="40AFA761" w14:textId="77777777" w:rsidR="004162A0" w:rsidRPr="00DF406D" w:rsidRDefault="004162A0" w:rsidP="00DF406D">
            <w:pPr>
              <w:jc w:val="center"/>
              <w:rPr>
                <w:b/>
                <w:bCs/>
                <w:sz w:val="14"/>
                <w:szCs w:val="22"/>
              </w:rPr>
            </w:pPr>
          </w:p>
          <w:p w14:paraId="2DB4FE0B" w14:textId="77777777" w:rsidR="004162A0" w:rsidRPr="00DF406D" w:rsidRDefault="004162A0" w:rsidP="00DF406D">
            <w:pPr>
              <w:jc w:val="center"/>
              <w:rPr>
                <w:b/>
                <w:bCs/>
                <w:sz w:val="14"/>
                <w:szCs w:val="22"/>
              </w:rPr>
            </w:pPr>
          </w:p>
          <w:p w14:paraId="1382C29E" w14:textId="77777777" w:rsidR="004162A0" w:rsidRPr="00DF406D" w:rsidRDefault="004162A0" w:rsidP="00DF406D">
            <w:pPr>
              <w:jc w:val="center"/>
              <w:rPr>
                <w:b/>
                <w:sz w:val="14"/>
                <w:szCs w:val="22"/>
              </w:rPr>
            </w:pPr>
          </w:p>
        </w:tc>
      </w:tr>
      <w:tr w:rsidR="00DF406D" w:rsidRPr="00DF406D" w14:paraId="2DEE4E47" w14:textId="77777777" w:rsidTr="00CD316E">
        <w:trPr>
          <w:trHeight w:val="54"/>
        </w:trPr>
        <w:tc>
          <w:tcPr>
            <w:tcW w:w="1380" w:type="dxa"/>
            <w:vMerge/>
            <w:tcBorders>
              <w:top w:val="single" w:sz="8" w:space="0" w:color="auto"/>
              <w:left w:val="single" w:sz="8" w:space="0" w:color="auto"/>
              <w:bottom w:val="single" w:sz="8" w:space="0" w:color="000000"/>
              <w:right w:val="single" w:sz="8" w:space="0" w:color="auto"/>
            </w:tcBorders>
            <w:tcMar>
              <w:left w:w="28" w:type="dxa"/>
              <w:right w:w="28" w:type="dxa"/>
            </w:tcMar>
            <w:hideMark/>
          </w:tcPr>
          <w:p w14:paraId="76671699" w14:textId="77777777" w:rsidR="004162A0" w:rsidRPr="00DF406D" w:rsidRDefault="004162A0" w:rsidP="00DF406D">
            <w:pPr>
              <w:jc w:val="center"/>
              <w:rPr>
                <w:b/>
                <w:sz w:val="14"/>
                <w:szCs w:val="22"/>
              </w:rPr>
            </w:pPr>
          </w:p>
        </w:tc>
        <w:tc>
          <w:tcPr>
            <w:tcW w:w="1134" w:type="dxa"/>
            <w:tcBorders>
              <w:top w:val="nil"/>
              <w:left w:val="nil"/>
              <w:bottom w:val="single" w:sz="8" w:space="0" w:color="auto"/>
              <w:right w:val="single" w:sz="8" w:space="0" w:color="auto"/>
            </w:tcBorders>
            <w:shd w:val="clear" w:color="auto" w:fill="auto"/>
            <w:tcMar>
              <w:left w:w="28" w:type="dxa"/>
              <w:right w:w="28" w:type="dxa"/>
            </w:tcMar>
            <w:hideMark/>
          </w:tcPr>
          <w:p w14:paraId="6BDAD00F" w14:textId="77777777" w:rsidR="004162A0" w:rsidRPr="00DF406D" w:rsidRDefault="004162A0" w:rsidP="00DF406D">
            <w:pPr>
              <w:jc w:val="center"/>
              <w:rPr>
                <w:b/>
                <w:sz w:val="14"/>
                <w:szCs w:val="22"/>
              </w:rPr>
            </w:pPr>
          </w:p>
        </w:tc>
        <w:tc>
          <w:tcPr>
            <w:tcW w:w="1559" w:type="dxa"/>
            <w:vMerge/>
            <w:tcBorders>
              <w:top w:val="single" w:sz="8" w:space="0" w:color="auto"/>
              <w:left w:val="single" w:sz="8" w:space="0" w:color="auto"/>
              <w:bottom w:val="single" w:sz="8" w:space="0" w:color="000000"/>
              <w:right w:val="single" w:sz="8" w:space="0" w:color="auto"/>
            </w:tcBorders>
            <w:tcMar>
              <w:left w:w="28" w:type="dxa"/>
              <w:right w:w="28" w:type="dxa"/>
            </w:tcMar>
            <w:hideMark/>
          </w:tcPr>
          <w:p w14:paraId="446CBF9E" w14:textId="77777777" w:rsidR="004162A0" w:rsidRPr="00DF406D" w:rsidRDefault="004162A0" w:rsidP="00DF406D">
            <w:pPr>
              <w:jc w:val="center"/>
              <w:rPr>
                <w:b/>
                <w:sz w:val="14"/>
                <w:szCs w:val="22"/>
              </w:rPr>
            </w:pPr>
          </w:p>
        </w:tc>
        <w:tc>
          <w:tcPr>
            <w:tcW w:w="1134" w:type="dxa"/>
            <w:tcBorders>
              <w:top w:val="nil"/>
              <w:left w:val="nil"/>
              <w:bottom w:val="single" w:sz="8" w:space="0" w:color="auto"/>
              <w:right w:val="single" w:sz="8" w:space="0" w:color="auto"/>
            </w:tcBorders>
            <w:shd w:val="clear" w:color="auto" w:fill="auto"/>
            <w:tcMar>
              <w:left w:w="28" w:type="dxa"/>
              <w:right w:w="28" w:type="dxa"/>
            </w:tcMar>
            <w:hideMark/>
          </w:tcPr>
          <w:p w14:paraId="1AFFE718" w14:textId="77777777" w:rsidR="004162A0" w:rsidRPr="00DF406D" w:rsidRDefault="004162A0" w:rsidP="00DF406D">
            <w:pPr>
              <w:jc w:val="center"/>
              <w:rPr>
                <w:b/>
                <w:sz w:val="14"/>
                <w:szCs w:val="22"/>
              </w:rPr>
            </w:pPr>
          </w:p>
        </w:tc>
        <w:tc>
          <w:tcPr>
            <w:tcW w:w="1575" w:type="dxa"/>
            <w:vMerge/>
            <w:tcBorders>
              <w:top w:val="single" w:sz="8" w:space="0" w:color="auto"/>
              <w:left w:val="single" w:sz="8" w:space="0" w:color="auto"/>
              <w:bottom w:val="single" w:sz="8" w:space="0" w:color="000000"/>
              <w:right w:val="single" w:sz="8" w:space="0" w:color="auto"/>
            </w:tcBorders>
            <w:tcMar>
              <w:left w:w="28" w:type="dxa"/>
              <w:right w:w="28" w:type="dxa"/>
            </w:tcMar>
            <w:hideMark/>
          </w:tcPr>
          <w:p w14:paraId="66513D43" w14:textId="77777777" w:rsidR="004162A0" w:rsidRPr="00DF406D" w:rsidRDefault="004162A0" w:rsidP="00DF406D">
            <w:pPr>
              <w:jc w:val="center"/>
              <w:rPr>
                <w:b/>
                <w:sz w:val="14"/>
                <w:szCs w:val="22"/>
              </w:rPr>
            </w:pPr>
          </w:p>
        </w:tc>
        <w:tc>
          <w:tcPr>
            <w:tcW w:w="1149" w:type="dxa"/>
            <w:vMerge/>
            <w:tcBorders>
              <w:top w:val="single" w:sz="8" w:space="0" w:color="auto"/>
              <w:left w:val="single" w:sz="8" w:space="0" w:color="auto"/>
              <w:bottom w:val="single" w:sz="8" w:space="0" w:color="000000"/>
              <w:right w:val="single" w:sz="8" w:space="0" w:color="auto"/>
            </w:tcBorders>
            <w:tcMar>
              <w:left w:w="28" w:type="dxa"/>
              <w:right w:w="28" w:type="dxa"/>
            </w:tcMar>
            <w:hideMark/>
          </w:tcPr>
          <w:p w14:paraId="55A8205C" w14:textId="77777777" w:rsidR="004162A0" w:rsidRPr="00DF406D" w:rsidRDefault="004162A0" w:rsidP="00DF406D">
            <w:pPr>
              <w:jc w:val="center"/>
              <w:rPr>
                <w:b/>
                <w:sz w:val="14"/>
                <w:szCs w:val="22"/>
              </w:rPr>
            </w:pPr>
          </w:p>
        </w:tc>
      </w:tr>
      <w:tr w:rsidR="00DF406D" w:rsidRPr="00DF406D" w14:paraId="1BBDAA9A" w14:textId="77777777" w:rsidTr="00CD316E">
        <w:trPr>
          <w:trHeight w:val="200"/>
        </w:trPr>
        <w:tc>
          <w:tcPr>
            <w:tcW w:w="1380" w:type="dxa"/>
            <w:tcBorders>
              <w:top w:val="nil"/>
              <w:left w:val="single" w:sz="8" w:space="0" w:color="auto"/>
              <w:bottom w:val="single" w:sz="8" w:space="0" w:color="auto"/>
              <w:right w:val="single" w:sz="8" w:space="0" w:color="auto"/>
            </w:tcBorders>
            <w:shd w:val="clear" w:color="auto" w:fill="auto"/>
            <w:tcMar>
              <w:left w:w="28" w:type="dxa"/>
              <w:right w:w="28" w:type="dxa"/>
            </w:tcMar>
          </w:tcPr>
          <w:p w14:paraId="2A3DC001" w14:textId="77777777" w:rsidR="000E4964" w:rsidRPr="00DF406D" w:rsidRDefault="000E4964" w:rsidP="00DF406D">
            <w:pPr>
              <w:jc w:val="center"/>
              <w:rPr>
                <w:b/>
                <w:sz w:val="16"/>
                <w:szCs w:val="22"/>
              </w:rPr>
            </w:pPr>
            <w:r w:rsidRPr="00DF406D">
              <w:rPr>
                <w:sz w:val="16"/>
                <w:szCs w:val="16"/>
              </w:rPr>
              <w:t xml:space="preserve">Wholesale (Ticket Volume)    </w:t>
            </w:r>
          </w:p>
        </w:tc>
        <w:tc>
          <w:tcPr>
            <w:tcW w:w="1134" w:type="dxa"/>
            <w:tcBorders>
              <w:top w:val="nil"/>
              <w:left w:val="nil"/>
              <w:bottom w:val="single" w:sz="8" w:space="0" w:color="auto"/>
              <w:right w:val="single" w:sz="8" w:space="0" w:color="auto"/>
            </w:tcBorders>
            <w:shd w:val="clear" w:color="auto" w:fill="auto"/>
            <w:tcMar>
              <w:left w:w="28" w:type="dxa"/>
              <w:right w:w="28" w:type="dxa"/>
            </w:tcMar>
            <w:vAlign w:val="center"/>
          </w:tcPr>
          <w:p w14:paraId="1DFBA169" w14:textId="2A05E40E" w:rsidR="000E4964" w:rsidRPr="00DF406D" w:rsidRDefault="00C72B64" w:rsidP="00DF406D">
            <w:pPr>
              <w:jc w:val="center"/>
              <w:rPr>
                <w:b/>
                <w:sz w:val="16"/>
                <w:szCs w:val="22"/>
              </w:rPr>
            </w:pPr>
            <w:r>
              <w:rPr>
                <w:sz w:val="16"/>
                <w:szCs w:val="20"/>
              </w:rPr>
              <w:t>3</w:t>
            </w:r>
            <w:r w:rsidR="000E4964" w:rsidRPr="00DF406D">
              <w:rPr>
                <w:sz w:val="16"/>
                <w:szCs w:val="20"/>
              </w:rPr>
              <w:t>,750</w:t>
            </w:r>
          </w:p>
        </w:tc>
        <w:tc>
          <w:tcPr>
            <w:tcW w:w="1559" w:type="dxa"/>
            <w:tcBorders>
              <w:top w:val="nil"/>
              <w:left w:val="nil"/>
              <w:bottom w:val="single" w:sz="8" w:space="0" w:color="auto"/>
              <w:right w:val="single" w:sz="8" w:space="0" w:color="auto"/>
            </w:tcBorders>
            <w:shd w:val="clear" w:color="auto" w:fill="auto"/>
            <w:tcMar>
              <w:left w:w="28" w:type="dxa"/>
              <w:right w:w="28" w:type="dxa"/>
            </w:tcMar>
            <w:vAlign w:val="center"/>
          </w:tcPr>
          <w:p w14:paraId="596BF1B7" w14:textId="24511E76" w:rsidR="000E4964" w:rsidRPr="00DF406D" w:rsidRDefault="00C72B64" w:rsidP="00DF406D">
            <w:pPr>
              <w:jc w:val="center"/>
              <w:rPr>
                <w:b/>
                <w:sz w:val="14"/>
                <w:szCs w:val="22"/>
              </w:rPr>
            </w:pPr>
            <w:r>
              <w:rPr>
                <w:b/>
                <w:sz w:val="14"/>
                <w:szCs w:val="22"/>
              </w:rPr>
              <w:t>3</w:t>
            </w:r>
            <w:r w:rsidR="000E4964" w:rsidRPr="00DF406D">
              <w:rPr>
                <w:b/>
                <w:sz w:val="14"/>
                <w:szCs w:val="22"/>
              </w:rPr>
              <w:t>,425</w:t>
            </w:r>
          </w:p>
        </w:tc>
        <w:tc>
          <w:tcPr>
            <w:tcW w:w="1134" w:type="dxa"/>
            <w:tcBorders>
              <w:top w:val="nil"/>
              <w:left w:val="nil"/>
              <w:bottom w:val="single" w:sz="8" w:space="0" w:color="auto"/>
              <w:right w:val="single" w:sz="8" w:space="0" w:color="auto"/>
            </w:tcBorders>
            <w:shd w:val="clear" w:color="auto" w:fill="auto"/>
            <w:tcMar>
              <w:left w:w="28" w:type="dxa"/>
              <w:right w:w="28" w:type="dxa"/>
            </w:tcMar>
            <w:vAlign w:val="center"/>
          </w:tcPr>
          <w:p w14:paraId="1D24D8A4" w14:textId="1B637307" w:rsidR="000E4964" w:rsidRPr="00DF406D" w:rsidRDefault="00212E1E" w:rsidP="00DF406D">
            <w:pPr>
              <w:jc w:val="center"/>
              <w:rPr>
                <w:b/>
                <w:bCs/>
                <w:sz w:val="14"/>
                <w:szCs w:val="22"/>
              </w:rPr>
            </w:pPr>
            <w:r w:rsidRPr="00DF406D">
              <w:rPr>
                <w:b/>
                <w:bCs/>
                <w:sz w:val="14"/>
                <w:szCs w:val="22"/>
              </w:rPr>
              <w:t>5</w:t>
            </w:r>
            <w:r w:rsidR="000E4964" w:rsidRPr="00DF406D">
              <w:rPr>
                <w:b/>
                <w:bCs/>
                <w:sz w:val="14"/>
                <w:szCs w:val="22"/>
              </w:rPr>
              <w:t xml:space="preserve"> years</w:t>
            </w:r>
          </w:p>
        </w:tc>
        <w:tc>
          <w:tcPr>
            <w:tcW w:w="1575" w:type="dxa"/>
            <w:tcBorders>
              <w:top w:val="nil"/>
              <w:left w:val="nil"/>
              <w:bottom w:val="single" w:sz="8" w:space="0" w:color="auto"/>
              <w:right w:val="single" w:sz="8" w:space="0" w:color="auto"/>
            </w:tcBorders>
            <w:shd w:val="clear" w:color="auto" w:fill="auto"/>
            <w:tcMar>
              <w:left w:w="28" w:type="dxa"/>
              <w:right w:w="28" w:type="dxa"/>
            </w:tcMar>
            <w:vAlign w:val="center"/>
          </w:tcPr>
          <w:p w14:paraId="2997D948" w14:textId="427F2700" w:rsidR="000E4964" w:rsidRPr="00DF406D" w:rsidRDefault="000E4964" w:rsidP="00C72B64">
            <w:pPr>
              <w:jc w:val="center"/>
              <w:rPr>
                <w:b/>
                <w:sz w:val="16"/>
                <w:szCs w:val="22"/>
              </w:rPr>
            </w:pPr>
            <w:r w:rsidRPr="00DF406D">
              <w:rPr>
                <w:sz w:val="16"/>
                <w:szCs w:val="20"/>
              </w:rPr>
              <w:t>$4.</w:t>
            </w:r>
            <w:r w:rsidR="00C72B64">
              <w:rPr>
                <w:sz w:val="16"/>
                <w:szCs w:val="20"/>
              </w:rPr>
              <w:t>77</w:t>
            </w:r>
          </w:p>
        </w:tc>
        <w:tc>
          <w:tcPr>
            <w:tcW w:w="1149" w:type="dxa"/>
            <w:tcBorders>
              <w:top w:val="nil"/>
              <w:left w:val="nil"/>
              <w:bottom w:val="single" w:sz="8" w:space="0" w:color="auto"/>
              <w:right w:val="single" w:sz="8" w:space="0" w:color="auto"/>
            </w:tcBorders>
            <w:shd w:val="clear" w:color="auto" w:fill="auto"/>
            <w:tcMar>
              <w:left w:w="28" w:type="dxa"/>
              <w:right w:w="28" w:type="dxa"/>
            </w:tcMar>
            <w:vAlign w:val="center"/>
          </w:tcPr>
          <w:p w14:paraId="4177607E" w14:textId="2871D68E" w:rsidR="000E4964" w:rsidRPr="00DF406D" w:rsidRDefault="00212E1E" w:rsidP="00C72B64">
            <w:pPr>
              <w:jc w:val="center"/>
              <w:rPr>
                <w:b/>
                <w:bCs/>
                <w:sz w:val="14"/>
                <w:szCs w:val="22"/>
              </w:rPr>
            </w:pPr>
            <w:r w:rsidRPr="00DF406D">
              <w:rPr>
                <w:b/>
                <w:bCs/>
                <w:sz w:val="14"/>
                <w:szCs w:val="22"/>
              </w:rPr>
              <w:t>$</w:t>
            </w:r>
            <w:r w:rsidR="00C72B64">
              <w:rPr>
                <w:b/>
                <w:bCs/>
                <w:sz w:val="14"/>
                <w:szCs w:val="22"/>
              </w:rPr>
              <w:t>85</w:t>
            </w:r>
            <w:r w:rsidRPr="00DF406D">
              <w:rPr>
                <w:b/>
                <w:bCs/>
                <w:sz w:val="14"/>
                <w:szCs w:val="22"/>
              </w:rPr>
              <w:t>,457.</w:t>
            </w:r>
            <w:r w:rsidR="00C72B64">
              <w:rPr>
                <w:b/>
                <w:bCs/>
                <w:sz w:val="14"/>
                <w:szCs w:val="22"/>
              </w:rPr>
              <w:t>00</w:t>
            </w:r>
          </w:p>
        </w:tc>
      </w:tr>
      <w:tr w:rsidR="00DF406D" w:rsidRPr="00DF406D" w14:paraId="3B427CFB" w14:textId="77777777" w:rsidTr="00CD316E">
        <w:trPr>
          <w:trHeight w:val="200"/>
        </w:trPr>
        <w:tc>
          <w:tcPr>
            <w:tcW w:w="1380" w:type="dxa"/>
            <w:tcBorders>
              <w:top w:val="nil"/>
              <w:left w:val="single" w:sz="8" w:space="0" w:color="auto"/>
              <w:bottom w:val="single" w:sz="8" w:space="0" w:color="auto"/>
              <w:right w:val="single" w:sz="8" w:space="0" w:color="auto"/>
            </w:tcBorders>
            <w:shd w:val="clear" w:color="auto" w:fill="auto"/>
            <w:tcMar>
              <w:left w:w="28" w:type="dxa"/>
              <w:right w:w="28" w:type="dxa"/>
            </w:tcMar>
          </w:tcPr>
          <w:p w14:paraId="56468DD7" w14:textId="77777777" w:rsidR="000E4964" w:rsidRPr="00DF406D" w:rsidRDefault="000E4964" w:rsidP="00DF406D">
            <w:pPr>
              <w:jc w:val="center"/>
              <w:rPr>
                <w:b/>
                <w:sz w:val="16"/>
                <w:szCs w:val="22"/>
              </w:rPr>
            </w:pPr>
            <w:r w:rsidRPr="00DF406D">
              <w:rPr>
                <w:sz w:val="16"/>
                <w:szCs w:val="16"/>
              </w:rPr>
              <w:t xml:space="preserve">Wholesale Provisioning         </w:t>
            </w:r>
          </w:p>
        </w:tc>
        <w:tc>
          <w:tcPr>
            <w:tcW w:w="1134" w:type="dxa"/>
            <w:tcBorders>
              <w:top w:val="nil"/>
              <w:left w:val="nil"/>
              <w:bottom w:val="single" w:sz="8" w:space="0" w:color="auto"/>
              <w:right w:val="single" w:sz="8" w:space="0" w:color="auto"/>
            </w:tcBorders>
            <w:shd w:val="clear" w:color="auto" w:fill="auto"/>
            <w:tcMar>
              <w:left w:w="28" w:type="dxa"/>
              <w:right w:w="28" w:type="dxa"/>
            </w:tcMar>
            <w:vAlign w:val="center"/>
          </w:tcPr>
          <w:p w14:paraId="6BBC5E46" w14:textId="45E0DAB8" w:rsidR="000E4964" w:rsidRPr="00DF406D" w:rsidRDefault="00C72B64" w:rsidP="00DF406D">
            <w:pPr>
              <w:jc w:val="center"/>
              <w:rPr>
                <w:b/>
                <w:sz w:val="16"/>
                <w:szCs w:val="22"/>
              </w:rPr>
            </w:pPr>
            <w:r>
              <w:rPr>
                <w:sz w:val="16"/>
                <w:szCs w:val="20"/>
              </w:rPr>
              <w:t>1</w:t>
            </w:r>
            <w:r w:rsidR="000E4964" w:rsidRPr="00DF406D">
              <w:rPr>
                <w:sz w:val="16"/>
                <w:szCs w:val="20"/>
              </w:rPr>
              <w:t>,750</w:t>
            </w:r>
          </w:p>
        </w:tc>
        <w:tc>
          <w:tcPr>
            <w:tcW w:w="1559" w:type="dxa"/>
            <w:tcBorders>
              <w:top w:val="nil"/>
              <w:left w:val="nil"/>
              <w:bottom w:val="single" w:sz="8" w:space="0" w:color="auto"/>
              <w:right w:val="single" w:sz="8" w:space="0" w:color="auto"/>
            </w:tcBorders>
            <w:shd w:val="clear" w:color="auto" w:fill="auto"/>
            <w:tcMar>
              <w:left w:w="28" w:type="dxa"/>
              <w:right w:w="28" w:type="dxa"/>
            </w:tcMar>
            <w:vAlign w:val="center"/>
          </w:tcPr>
          <w:p w14:paraId="34799639" w14:textId="74001C1C" w:rsidR="000E4964" w:rsidRPr="00DF406D" w:rsidRDefault="00C72B64" w:rsidP="00DF406D">
            <w:pPr>
              <w:jc w:val="center"/>
              <w:rPr>
                <w:b/>
                <w:sz w:val="14"/>
                <w:szCs w:val="22"/>
              </w:rPr>
            </w:pPr>
            <w:r>
              <w:rPr>
                <w:b/>
                <w:sz w:val="14"/>
                <w:szCs w:val="22"/>
              </w:rPr>
              <w:t>3</w:t>
            </w:r>
            <w:r w:rsidR="000E4964" w:rsidRPr="00DF406D">
              <w:rPr>
                <w:b/>
                <w:sz w:val="14"/>
                <w:szCs w:val="22"/>
              </w:rPr>
              <w:t>,125</w:t>
            </w:r>
          </w:p>
        </w:tc>
        <w:tc>
          <w:tcPr>
            <w:tcW w:w="1134" w:type="dxa"/>
            <w:tcBorders>
              <w:top w:val="nil"/>
              <w:left w:val="nil"/>
              <w:bottom w:val="single" w:sz="8" w:space="0" w:color="auto"/>
              <w:right w:val="single" w:sz="8" w:space="0" w:color="auto"/>
            </w:tcBorders>
            <w:shd w:val="clear" w:color="auto" w:fill="auto"/>
            <w:tcMar>
              <w:left w:w="28" w:type="dxa"/>
              <w:right w:w="28" w:type="dxa"/>
            </w:tcMar>
            <w:vAlign w:val="center"/>
          </w:tcPr>
          <w:p w14:paraId="3784C6AC" w14:textId="370F33E1" w:rsidR="000E4964" w:rsidRPr="00DF406D" w:rsidRDefault="00212E1E" w:rsidP="00DF406D">
            <w:pPr>
              <w:jc w:val="center"/>
              <w:rPr>
                <w:b/>
                <w:bCs/>
                <w:sz w:val="14"/>
                <w:szCs w:val="22"/>
              </w:rPr>
            </w:pPr>
            <w:r w:rsidRPr="00DF406D">
              <w:rPr>
                <w:b/>
                <w:bCs/>
                <w:sz w:val="14"/>
                <w:szCs w:val="22"/>
              </w:rPr>
              <w:t>5</w:t>
            </w:r>
            <w:r w:rsidR="000E4964" w:rsidRPr="00DF406D">
              <w:rPr>
                <w:b/>
                <w:bCs/>
                <w:sz w:val="14"/>
                <w:szCs w:val="22"/>
              </w:rPr>
              <w:t xml:space="preserve"> years</w:t>
            </w:r>
          </w:p>
        </w:tc>
        <w:tc>
          <w:tcPr>
            <w:tcW w:w="1575" w:type="dxa"/>
            <w:tcBorders>
              <w:top w:val="nil"/>
              <w:left w:val="nil"/>
              <w:bottom w:val="single" w:sz="8" w:space="0" w:color="auto"/>
              <w:right w:val="single" w:sz="8" w:space="0" w:color="auto"/>
            </w:tcBorders>
            <w:shd w:val="clear" w:color="auto" w:fill="auto"/>
            <w:tcMar>
              <w:left w:w="28" w:type="dxa"/>
              <w:right w:w="28" w:type="dxa"/>
            </w:tcMar>
            <w:vAlign w:val="center"/>
          </w:tcPr>
          <w:p w14:paraId="7BC696A3" w14:textId="7045665E" w:rsidR="000E4964" w:rsidRPr="00DF406D" w:rsidRDefault="000E4964" w:rsidP="00C72B64">
            <w:pPr>
              <w:jc w:val="center"/>
              <w:rPr>
                <w:b/>
                <w:sz w:val="16"/>
                <w:szCs w:val="22"/>
              </w:rPr>
            </w:pPr>
            <w:r w:rsidRPr="00DF406D">
              <w:rPr>
                <w:sz w:val="16"/>
                <w:szCs w:val="20"/>
              </w:rPr>
              <w:t>$1.</w:t>
            </w:r>
            <w:r w:rsidR="00C72B64">
              <w:rPr>
                <w:sz w:val="16"/>
                <w:szCs w:val="20"/>
              </w:rPr>
              <w:t>55</w:t>
            </w:r>
          </w:p>
        </w:tc>
        <w:tc>
          <w:tcPr>
            <w:tcW w:w="1149" w:type="dxa"/>
            <w:tcBorders>
              <w:top w:val="nil"/>
              <w:left w:val="nil"/>
              <w:bottom w:val="single" w:sz="8" w:space="0" w:color="auto"/>
              <w:right w:val="single" w:sz="8" w:space="0" w:color="auto"/>
            </w:tcBorders>
            <w:shd w:val="clear" w:color="auto" w:fill="auto"/>
            <w:tcMar>
              <w:left w:w="28" w:type="dxa"/>
              <w:right w:w="28" w:type="dxa"/>
            </w:tcMar>
            <w:vAlign w:val="center"/>
          </w:tcPr>
          <w:p w14:paraId="0C8DE979" w14:textId="3E1BEF93" w:rsidR="000E4964" w:rsidRPr="00DF406D" w:rsidRDefault="00212E1E" w:rsidP="00C72B64">
            <w:pPr>
              <w:jc w:val="center"/>
              <w:rPr>
                <w:b/>
                <w:bCs/>
                <w:sz w:val="14"/>
                <w:szCs w:val="22"/>
              </w:rPr>
            </w:pPr>
            <w:r w:rsidRPr="00DF406D">
              <w:rPr>
                <w:b/>
                <w:bCs/>
                <w:sz w:val="14"/>
                <w:szCs w:val="22"/>
              </w:rPr>
              <w:t>$</w:t>
            </w:r>
            <w:r w:rsidR="00C72B64">
              <w:rPr>
                <w:b/>
                <w:bCs/>
                <w:sz w:val="14"/>
                <w:szCs w:val="22"/>
              </w:rPr>
              <w:t>15</w:t>
            </w:r>
            <w:r w:rsidRPr="00DF406D">
              <w:rPr>
                <w:b/>
                <w:bCs/>
                <w:sz w:val="14"/>
                <w:szCs w:val="22"/>
              </w:rPr>
              <w:t>,937.</w:t>
            </w:r>
            <w:r w:rsidR="00C72B64">
              <w:rPr>
                <w:b/>
                <w:bCs/>
                <w:sz w:val="14"/>
                <w:szCs w:val="22"/>
              </w:rPr>
              <w:t>00</w:t>
            </w:r>
          </w:p>
        </w:tc>
      </w:tr>
      <w:tr w:rsidR="00DF406D" w:rsidRPr="00DF406D" w14:paraId="46788CCE" w14:textId="77777777" w:rsidTr="00CD316E">
        <w:trPr>
          <w:trHeight w:val="569"/>
        </w:trPr>
        <w:tc>
          <w:tcPr>
            <w:tcW w:w="1380" w:type="dxa"/>
            <w:tcBorders>
              <w:top w:val="single" w:sz="8" w:space="0" w:color="auto"/>
              <w:left w:val="single" w:sz="8" w:space="0" w:color="auto"/>
              <w:bottom w:val="single" w:sz="8" w:space="0" w:color="auto"/>
              <w:right w:val="single" w:sz="8" w:space="0" w:color="auto"/>
            </w:tcBorders>
            <w:shd w:val="clear" w:color="auto" w:fill="auto"/>
            <w:tcMar>
              <w:left w:w="28" w:type="dxa"/>
              <w:right w:w="28" w:type="dxa"/>
            </w:tcMar>
          </w:tcPr>
          <w:p w14:paraId="00C1819A" w14:textId="77777777" w:rsidR="000E4964" w:rsidRPr="00DF406D" w:rsidRDefault="000E4964" w:rsidP="00DF406D">
            <w:pPr>
              <w:jc w:val="center"/>
              <w:rPr>
                <w:sz w:val="16"/>
                <w:szCs w:val="16"/>
              </w:rPr>
            </w:pPr>
          </w:p>
          <w:p w14:paraId="1A95B150" w14:textId="77777777" w:rsidR="000E4964" w:rsidRPr="00DF406D" w:rsidRDefault="000E4964" w:rsidP="00DF406D">
            <w:pPr>
              <w:jc w:val="center"/>
              <w:rPr>
                <w:b/>
                <w:sz w:val="16"/>
                <w:szCs w:val="22"/>
              </w:rPr>
            </w:pPr>
            <w:r w:rsidRPr="00DF406D">
              <w:rPr>
                <w:sz w:val="16"/>
                <w:szCs w:val="16"/>
              </w:rPr>
              <w:t>TA TAM</w:t>
            </w:r>
          </w:p>
        </w:tc>
        <w:tc>
          <w:tcPr>
            <w:tcW w:w="1134" w:type="dxa"/>
            <w:tcBorders>
              <w:top w:val="single" w:sz="8" w:space="0" w:color="auto"/>
              <w:left w:val="nil"/>
              <w:bottom w:val="nil"/>
              <w:right w:val="single" w:sz="8" w:space="0" w:color="auto"/>
            </w:tcBorders>
            <w:shd w:val="clear" w:color="auto" w:fill="auto"/>
            <w:tcMar>
              <w:left w:w="28" w:type="dxa"/>
              <w:right w:w="28" w:type="dxa"/>
            </w:tcMar>
            <w:vAlign w:val="center"/>
          </w:tcPr>
          <w:p w14:paraId="7BBFFEA9" w14:textId="71C0660C" w:rsidR="000E4964" w:rsidRPr="00DF406D" w:rsidRDefault="00C72B64" w:rsidP="00DF406D">
            <w:pPr>
              <w:jc w:val="center"/>
              <w:rPr>
                <w:b/>
                <w:sz w:val="16"/>
                <w:szCs w:val="22"/>
              </w:rPr>
            </w:pPr>
            <w:r>
              <w:rPr>
                <w:sz w:val="16"/>
                <w:szCs w:val="20"/>
              </w:rPr>
              <w:t>4</w:t>
            </w:r>
            <w:r w:rsidR="000E4964" w:rsidRPr="00DF406D">
              <w:rPr>
                <w:sz w:val="16"/>
                <w:szCs w:val="20"/>
              </w:rPr>
              <w:t>,440</w:t>
            </w:r>
          </w:p>
        </w:tc>
        <w:tc>
          <w:tcPr>
            <w:tcW w:w="1559" w:type="dxa"/>
            <w:tcBorders>
              <w:top w:val="single" w:sz="8" w:space="0" w:color="auto"/>
              <w:left w:val="nil"/>
              <w:bottom w:val="nil"/>
              <w:right w:val="single" w:sz="8" w:space="0" w:color="auto"/>
            </w:tcBorders>
            <w:shd w:val="clear" w:color="auto" w:fill="auto"/>
            <w:tcMar>
              <w:left w:w="28" w:type="dxa"/>
              <w:right w:w="28" w:type="dxa"/>
            </w:tcMar>
            <w:vAlign w:val="center"/>
          </w:tcPr>
          <w:p w14:paraId="0F99925F" w14:textId="49652BD2" w:rsidR="000E4964" w:rsidRPr="00DF406D" w:rsidRDefault="00C72B64" w:rsidP="00DF406D">
            <w:pPr>
              <w:jc w:val="center"/>
              <w:rPr>
                <w:b/>
                <w:sz w:val="14"/>
                <w:szCs w:val="22"/>
              </w:rPr>
            </w:pPr>
            <w:r>
              <w:rPr>
                <w:b/>
                <w:sz w:val="14"/>
                <w:szCs w:val="22"/>
              </w:rPr>
              <w:t>4</w:t>
            </w:r>
            <w:r w:rsidR="000E4964" w:rsidRPr="00DF406D">
              <w:rPr>
                <w:b/>
                <w:sz w:val="14"/>
                <w:szCs w:val="22"/>
              </w:rPr>
              <w:t>.284</w:t>
            </w:r>
          </w:p>
        </w:tc>
        <w:tc>
          <w:tcPr>
            <w:tcW w:w="1134" w:type="dxa"/>
            <w:tcBorders>
              <w:top w:val="single" w:sz="8" w:space="0" w:color="auto"/>
              <w:left w:val="nil"/>
              <w:bottom w:val="nil"/>
              <w:right w:val="single" w:sz="8" w:space="0" w:color="auto"/>
            </w:tcBorders>
            <w:shd w:val="clear" w:color="auto" w:fill="auto"/>
            <w:tcMar>
              <w:left w:w="28" w:type="dxa"/>
              <w:right w:w="28" w:type="dxa"/>
            </w:tcMar>
            <w:vAlign w:val="center"/>
          </w:tcPr>
          <w:p w14:paraId="1190F0D9" w14:textId="66A5265D" w:rsidR="000E4964" w:rsidRPr="00DF406D" w:rsidRDefault="00212E1E" w:rsidP="00DF406D">
            <w:pPr>
              <w:jc w:val="center"/>
              <w:rPr>
                <w:b/>
                <w:sz w:val="14"/>
                <w:szCs w:val="22"/>
              </w:rPr>
            </w:pPr>
            <w:r w:rsidRPr="00DF406D">
              <w:rPr>
                <w:b/>
                <w:bCs/>
                <w:sz w:val="14"/>
                <w:szCs w:val="22"/>
              </w:rPr>
              <w:t>5</w:t>
            </w:r>
            <w:r w:rsidR="000E4964" w:rsidRPr="00DF406D">
              <w:rPr>
                <w:b/>
                <w:bCs/>
                <w:sz w:val="14"/>
                <w:szCs w:val="22"/>
              </w:rPr>
              <w:t xml:space="preserve"> years</w:t>
            </w:r>
          </w:p>
        </w:tc>
        <w:tc>
          <w:tcPr>
            <w:tcW w:w="1575" w:type="dxa"/>
            <w:tcBorders>
              <w:top w:val="single" w:sz="8" w:space="0" w:color="auto"/>
              <w:left w:val="nil"/>
              <w:bottom w:val="nil"/>
              <w:right w:val="single" w:sz="8" w:space="0" w:color="auto"/>
            </w:tcBorders>
            <w:shd w:val="clear" w:color="auto" w:fill="auto"/>
            <w:tcMar>
              <w:left w:w="28" w:type="dxa"/>
              <w:right w:w="28" w:type="dxa"/>
            </w:tcMar>
            <w:vAlign w:val="center"/>
          </w:tcPr>
          <w:p w14:paraId="0074805D" w14:textId="3D64979C" w:rsidR="000E4964" w:rsidRPr="00DF406D" w:rsidRDefault="000E4964" w:rsidP="00C72B64">
            <w:pPr>
              <w:jc w:val="center"/>
              <w:rPr>
                <w:b/>
                <w:sz w:val="16"/>
                <w:szCs w:val="22"/>
              </w:rPr>
            </w:pPr>
            <w:r w:rsidRPr="00DF406D">
              <w:rPr>
                <w:sz w:val="16"/>
                <w:szCs w:val="20"/>
              </w:rPr>
              <w:t>$5.</w:t>
            </w:r>
            <w:r w:rsidR="00C72B64">
              <w:rPr>
                <w:sz w:val="16"/>
                <w:szCs w:val="20"/>
              </w:rPr>
              <w:t>33</w:t>
            </w:r>
          </w:p>
        </w:tc>
        <w:tc>
          <w:tcPr>
            <w:tcW w:w="1149" w:type="dxa"/>
            <w:tcBorders>
              <w:top w:val="single" w:sz="8" w:space="0" w:color="auto"/>
              <w:left w:val="nil"/>
              <w:bottom w:val="nil"/>
              <w:right w:val="single" w:sz="8" w:space="0" w:color="auto"/>
            </w:tcBorders>
            <w:shd w:val="clear" w:color="auto" w:fill="auto"/>
            <w:tcMar>
              <w:left w:w="28" w:type="dxa"/>
              <w:right w:w="28" w:type="dxa"/>
            </w:tcMar>
            <w:vAlign w:val="center"/>
          </w:tcPr>
          <w:p w14:paraId="106D26DC" w14:textId="7E9D7498" w:rsidR="000E4964" w:rsidRPr="00DF406D" w:rsidRDefault="00212E1E" w:rsidP="00C72B64">
            <w:pPr>
              <w:jc w:val="center"/>
              <w:rPr>
                <w:b/>
                <w:sz w:val="14"/>
                <w:szCs w:val="22"/>
              </w:rPr>
            </w:pPr>
            <w:r w:rsidRPr="00DF406D">
              <w:rPr>
                <w:b/>
                <w:bCs/>
                <w:sz w:val="14"/>
                <w:szCs w:val="22"/>
              </w:rPr>
              <w:t>$</w:t>
            </w:r>
            <w:r w:rsidR="00C72B64">
              <w:rPr>
                <w:b/>
                <w:bCs/>
                <w:sz w:val="14"/>
                <w:szCs w:val="22"/>
              </w:rPr>
              <w:t>134</w:t>
            </w:r>
            <w:r w:rsidRPr="00DF406D">
              <w:rPr>
                <w:b/>
                <w:bCs/>
                <w:sz w:val="14"/>
                <w:szCs w:val="22"/>
              </w:rPr>
              <w:t>,628.60</w:t>
            </w:r>
          </w:p>
        </w:tc>
      </w:tr>
      <w:tr w:rsidR="00DF406D" w:rsidRPr="00DF406D" w14:paraId="1A203AFD" w14:textId="77777777" w:rsidTr="00CD316E">
        <w:trPr>
          <w:trHeight w:val="549"/>
        </w:trPr>
        <w:tc>
          <w:tcPr>
            <w:tcW w:w="1380" w:type="dxa"/>
            <w:tcBorders>
              <w:top w:val="nil"/>
              <w:left w:val="single" w:sz="8" w:space="0" w:color="auto"/>
              <w:bottom w:val="single" w:sz="8" w:space="0" w:color="auto"/>
              <w:right w:val="single" w:sz="8" w:space="0" w:color="auto"/>
            </w:tcBorders>
            <w:shd w:val="clear" w:color="auto" w:fill="auto"/>
            <w:tcMar>
              <w:left w:w="28" w:type="dxa"/>
              <w:right w:w="28" w:type="dxa"/>
            </w:tcMar>
          </w:tcPr>
          <w:p w14:paraId="19BE99BC" w14:textId="77777777" w:rsidR="000E4964" w:rsidRPr="00DF406D" w:rsidRDefault="000E4964" w:rsidP="00DF406D">
            <w:pPr>
              <w:jc w:val="center"/>
              <w:rPr>
                <w:sz w:val="16"/>
                <w:szCs w:val="16"/>
              </w:rPr>
            </w:pPr>
          </w:p>
          <w:p w14:paraId="401C89D4" w14:textId="77777777" w:rsidR="000E4964" w:rsidRPr="00DF406D" w:rsidRDefault="000E4964" w:rsidP="00DF406D">
            <w:pPr>
              <w:jc w:val="center"/>
              <w:rPr>
                <w:b/>
                <w:sz w:val="16"/>
                <w:szCs w:val="22"/>
              </w:rPr>
            </w:pPr>
            <w:r w:rsidRPr="00DF406D">
              <w:rPr>
                <w:sz w:val="16"/>
                <w:szCs w:val="16"/>
              </w:rPr>
              <w:t>Out Orders</w:t>
            </w:r>
          </w:p>
        </w:tc>
        <w:tc>
          <w:tcPr>
            <w:tcW w:w="1134" w:type="dxa"/>
            <w:tcBorders>
              <w:top w:val="single" w:sz="8" w:space="0" w:color="auto"/>
              <w:left w:val="nil"/>
              <w:bottom w:val="nil"/>
              <w:right w:val="single" w:sz="8" w:space="0" w:color="auto"/>
            </w:tcBorders>
            <w:shd w:val="clear" w:color="auto" w:fill="auto"/>
            <w:tcMar>
              <w:left w:w="28" w:type="dxa"/>
              <w:right w:w="28" w:type="dxa"/>
            </w:tcMar>
            <w:vAlign w:val="center"/>
          </w:tcPr>
          <w:p w14:paraId="21E05D43" w14:textId="40A743BF" w:rsidR="000E4964" w:rsidRPr="00DF406D" w:rsidRDefault="00C72B64" w:rsidP="00DF406D">
            <w:pPr>
              <w:jc w:val="center"/>
              <w:rPr>
                <w:b/>
                <w:sz w:val="16"/>
                <w:szCs w:val="22"/>
              </w:rPr>
            </w:pPr>
            <w:r>
              <w:rPr>
                <w:sz w:val="16"/>
                <w:szCs w:val="20"/>
              </w:rPr>
              <w:t>16</w:t>
            </w:r>
            <w:r w:rsidR="000E4964" w:rsidRPr="00DF406D">
              <w:rPr>
                <w:sz w:val="16"/>
                <w:szCs w:val="20"/>
              </w:rPr>
              <w:t>,400</w:t>
            </w:r>
          </w:p>
        </w:tc>
        <w:tc>
          <w:tcPr>
            <w:tcW w:w="1559" w:type="dxa"/>
            <w:tcBorders>
              <w:top w:val="single" w:sz="8" w:space="0" w:color="auto"/>
              <w:left w:val="nil"/>
              <w:bottom w:val="nil"/>
              <w:right w:val="single" w:sz="8" w:space="0" w:color="auto"/>
            </w:tcBorders>
            <w:shd w:val="clear" w:color="auto" w:fill="auto"/>
            <w:tcMar>
              <w:left w:w="28" w:type="dxa"/>
              <w:right w:w="28" w:type="dxa"/>
            </w:tcMar>
            <w:vAlign w:val="center"/>
          </w:tcPr>
          <w:p w14:paraId="3766A59D" w14:textId="11D76B55" w:rsidR="000E4964" w:rsidRPr="00DF406D" w:rsidRDefault="00C72B64" w:rsidP="00DF406D">
            <w:pPr>
              <w:jc w:val="center"/>
              <w:rPr>
                <w:b/>
                <w:sz w:val="14"/>
                <w:szCs w:val="22"/>
              </w:rPr>
            </w:pPr>
            <w:r>
              <w:rPr>
                <w:b/>
                <w:sz w:val="14"/>
                <w:szCs w:val="22"/>
              </w:rPr>
              <w:t>17</w:t>
            </w:r>
            <w:r w:rsidR="000E4964" w:rsidRPr="00DF406D">
              <w:rPr>
                <w:b/>
                <w:sz w:val="14"/>
                <w:szCs w:val="22"/>
              </w:rPr>
              <w:t>,640</w:t>
            </w:r>
          </w:p>
        </w:tc>
        <w:tc>
          <w:tcPr>
            <w:tcW w:w="1134" w:type="dxa"/>
            <w:tcBorders>
              <w:top w:val="single" w:sz="8" w:space="0" w:color="auto"/>
              <w:left w:val="nil"/>
              <w:bottom w:val="nil"/>
              <w:right w:val="single" w:sz="8" w:space="0" w:color="auto"/>
            </w:tcBorders>
            <w:shd w:val="clear" w:color="auto" w:fill="auto"/>
            <w:tcMar>
              <w:left w:w="28" w:type="dxa"/>
              <w:right w:w="28" w:type="dxa"/>
            </w:tcMar>
            <w:vAlign w:val="center"/>
          </w:tcPr>
          <w:p w14:paraId="77EC3C71" w14:textId="5114B141" w:rsidR="000E4964" w:rsidRPr="00DF406D" w:rsidRDefault="00212E1E" w:rsidP="00DF406D">
            <w:pPr>
              <w:jc w:val="center"/>
              <w:rPr>
                <w:b/>
                <w:bCs/>
                <w:sz w:val="14"/>
                <w:szCs w:val="22"/>
              </w:rPr>
            </w:pPr>
            <w:r w:rsidRPr="00DF406D">
              <w:rPr>
                <w:b/>
                <w:bCs/>
                <w:sz w:val="14"/>
                <w:szCs w:val="22"/>
              </w:rPr>
              <w:t>5</w:t>
            </w:r>
            <w:r w:rsidR="000E4964" w:rsidRPr="00DF406D">
              <w:rPr>
                <w:b/>
                <w:bCs/>
                <w:sz w:val="14"/>
                <w:szCs w:val="22"/>
              </w:rPr>
              <w:t xml:space="preserve"> years</w:t>
            </w:r>
          </w:p>
        </w:tc>
        <w:tc>
          <w:tcPr>
            <w:tcW w:w="1575" w:type="dxa"/>
            <w:tcBorders>
              <w:top w:val="single" w:sz="8" w:space="0" w:color="auto"/>
              <w:left w:val="nil"/>
              <w:bottom w:val="nil"/>
              <w:right w:val="single" w:sz="8" w:space="0" w:color="auto"/>
            </w:tcBorders>
            <w:shd w:val="clear" w:color="auto" w:fill="auto"/>
            <w:tcMar>
              <w:left w:w="28" w:type="dxa"/>
              <w:right w:w="28" w:type="dxa"/>
            </w:tcMar>
            <w:vAlign w:val="center"/>
          </w:tcPr>
          <w:p w14:paraId="3CD7B509" w14:textId="5D72F649" w:rsidR="000E4964" w:rsidRPr="00DF406D" w:rsidRDefault="000E4964" w:rsidP="00C72B64">
            <w:pPr>
              <w:jc w:val="center"/>
              <w:rPr>
                <w:b/>
                <w:sz w:val="16"/>
                <w:szCs w:val="22"/>
              </w:rPr>
            </w:pPr>
            <w:r w:rsidRPr="00DF406D">
              <w:rPr>
                <w:sz w:val="16"/>
                <w:szCs w:val="20"/>
              </w:rPr>
              <w:t>$0.</w:t>
            </w:r>
            <w:r w:rsidR="00C72B64">
              <w:rPr>
                <w:sz w:val="16"/>
                <w:szCs w:val="20"/>
              </w:rPr>
              <w:t>11</w:t>
            </w:r>
          </w:p>
        </w:tc>
        <w:tc>
          <w:tcPr>
            <w:tcW w:w="1149" w:type="dxa"/>
            <w:tcBorders>
              <w:top w:val="single" w:sz="8" w:space="0" w:color="auto"/>
              <w:left w:val="nil"/>
              <w:bottom w:val="single" w:sz="8" w:space="0" w:color="auto"/>
              <w:right w:val="single" w:sz="8" w:space="0" w:color="auto"/>
            </w:tcBorders>
            <w:shd w:val="clear" w:color="auto" w:fill="auto"/>
            <w:tcMar>
              <w:left w:w="28" w:type="dxa"/>
              <w:right w:w="28" w:type="dxa"/>
            </w:tcMar>
            <w:vAlign w:val="center"/>
          </w:tcPr>
          <w:p w14:paraId="3A48E905" w14:textId="21E168A2" w:rsidR="000E4964" w:rsidRPr="00DF406D" w:rsidRDefault="00212E1E" w:rsidP="00C72B64">
            <w:pPr>
              <w:jc w:val="center"/>
              <w:rPr>
                <w:b/>
                <w:bCs/>
                <w:sz w:val="14"/>
                <w:szCs w:val="22"/>
              </w:rPr>
            </w:pPr>
            <w:r w:rsidRPr="00DF406D">
              <w:rPr>
                <w:b/>
                <w:bCs/>
                <w:sz w:val="14"/>
                <w:szCs w:val="22"/>
              </w:rPr>
              <w:t>$</w:t>
            </w:r>
            <w:r w:rsidR="00C72B64">
              <w:rPr>
                <w:b/>
                <w:bCs/>
                <w:sz w:val="14"/>
                <w:szCs w:val="22"/>
              </w:rPr>
              <w:t>33</w:t>
            </w:r>
            <w:r w:rsidRPr="00DF406D">
              <w:rPr>
                <w:b/>
                <w:bCs/>
                <w:sz w:val="14"/>
                <w:szCs w:val="22"/>
              </w:rPr>
              <w:t>,934.00</w:t>
            </w:r>
          </w:p>
        </w:tc>
      </w:tr>
      <w:tr w:rsidR="004162A0" w:rsidRPr="00DF406D" w14:paraId="6C9E5AF2" w14:textId="77777777" w:rsidTr="004162A0">
        <w:trPr>
          <w:trHeight w:val="469"/>
        </w:trPr>
        <w:tc>
          <w:tcPr>
            <w:tcW w:w="6782" w:type="dxa"/>
            <w:gridSpan w:val="5"/>
            <w:tcBorders>
              <w:top w:val="single" w:sz="4" w:space="0" w:color="auto"/>
              <w:left w:val="single" w:sz="8" w:space="0" w:color="auto"/>
              <w:bottom w:val="single" w:sz="8" w:space="0" w:color="auto"/>
              <w:right w:val="single" w:sz="8" w:space="0" w:color="000000"/>
            </w:tcBorders>
            <w:shd w:val="clear" w:color="auto" w:fill="auto"/>
            <w:tcMar>
              <w:left w:w="28" w:type="dxa"/>
              <w:right w:w="28" w:type="dxa"/>
            </w:tcMar>
            <w:vAlign w:val="center"/>
            <w:hideMark/>
          </w:tcPr>
          <w:p w14:paraId="6183AB0A" w14:textId="77777777" w:rsidR="004162A0" w:rsidRPr="00DF406D" w:rsidRDefault="004162A0" w:rsidP="00DF406D">
            <w:pPr>
              <w:rPr>
                <w:b/>
                <w:sz w:val="14"/>
                <w:szCs w:val="22"/>
              </w:rPr>
            </w:pPr>
            <w:r w:rsidRPr="00DF406D">
              <w:rPr>
                <w:b/>
                <w:bCs/>
                <w:sz w:val="14"/>
                <w:szCs w:val="22"/>
              </w:rPr>
              <w:t>Maximum Total Service Charges during the SOW Term (excluding applicable Taxes):</w:t>
            </w:r>
          </w:p>
        </w:tc>
        <w:tc>
          <w:tcPr>
            <w:tcW w:w="1149" w:type="dxa"/>
            <w:tcBorders>
              <w:top w:val="single" w:sz="4" w:space="0" w:color="auto"/>
              <w:left w:val="nil"/>
              <w:bottom w:val="single" w:sz="8" w:space="0" w:color="auto"/>
              <w:right w:val="single" w:sz="8" w:space="0" w:color="auto"/>
            </w:tcBorders>
            <w:shd w:val="clear" w:color="auto" w:fill="auto"/>
            <w:tcMar>
              <w:left w:w="28" w:type="dxa"/>
              <w:right w:w="28" w:type="dxa"/>
            </w:tcMar>
            <w:vAlign w:val="center"/>
            <w:hideMark/>
          </w:tcPr>
          <w:p w14:paraId="13458224" w14:textId="2D45927F" w:rsidR="004162A0" w:rsidRPr="00DF406D" w:rsidRDefault="00212E1E" w:rsidP="00C72B64">
            <w:pPr>
              <w:jc w:val="center"/>
              <w:rPr>
                <w:b/>
                <w:sz w:val="14"/>
                <w:szCs w:val="22"/>
              </w:rPr>
            </w:pPr>
            <w:r w:rsidRPr="00DF406D">
              <w:rPr>
                <w:b/>
                <w:sz w:val="14"/>
                <w:szCs w:val="22"/>
              </w:rPr>
              <w:t>$</w:t>
            </w:r>
            <w:r w:rsidR="00C72B64">
              <w:rPr>
                <w:b/>
                <w:sz w:val="14"/>
                <w:szCs w:val="22"/>
              </w:rPr>
              <w:t>280</w:t>
            </w:r>
            <w:r w:rsidRPr="00DF406D">
              <w:rPr>
                <w:b/>
                <w:sz w:val="14"/>
                <w:szCs w:val="22"/>
              </w:rPr>
              <w:t>,957.60</w:t>
            </w:r>
          </w:p>
        </w:tc>
      </w:tr>
    </w:tbl>
    <w:p w14:paraId="1213D4C7" w14:textId="77777777" w:rsidR="004162A0" w:rsidRPr="00DF406D" w:rsidRDefault="004162A0" w:rsidP="00DF406D">
      <w:pPr>
        <w:spacing w:after="120"/>
        <w:ind w:left="644"/>
        <w:rPr>
          <w:sz w:val="20"/>
          <w:szCs w:val="20"/>
        </w:rPr>
      </w:pPr>
    </w:p>
    <w:p w14:paraId="4AA88CC8" w14:textId="77777777" w:rsidR="00CD316E" w:rsidRPr="00DF406D" w:rsidRDefault="004162A0" w:rsidP="00DF406D">
      <w:pPr>
        <w:keepNext/>
        <w:spacing w:before="120" w:after="60"/>
        <w:ind w:left="634"/>
        <w:rPr>
          <w:sz w:val="20"/>
        </w:rPr>
      </w:pPr>
      <w:r w:rsidRPr="00DF406D">
        <w:rPr>
          <w:sz w:val="20"/>
        </w:rPr>
        <w:t xml:space="preserve">Note: </w:t>
      </w:r>
    </w:p>
    <w:p w14:paraId="1DD68846" w14:textId="3F2DC353" w:rsidR="004162A0" w:rsidRPr="00DF406D" w:rsidRDefault="004162A0" w:rsidP="00DF406D">
      <w:pPr>
        <w:pStyle w:val="ListParagraph"/>
        <w:keepNext/>
        <w:numPr>
          <w:ilvl w:val="0"/>
          <w:numId w:val="43"/>
        </w:numPr>
        <w:spacing w:before="120" w:after="60"/>
        <w:rPr>
          <w:color w:val="auto"/>
          <w:sz w:val="20"/>
        </w:rPr>
      </w:pPr>
      <w:r w:rsidRPr="00DF406D">
        <w:rPr>
          <w:color w:val="auto"/>
          <w:sz w:val="20"/>
        </w:rPr>
        <w:t>If total transaction exceeds from 10% Transaction volume contingency, TELUS will be charged for additional transactions as per the rates given in table 9.3-1.</w:t>
      </w:r>
    </w:p>
    <w:p w14:paraId="75B9E56A" w14:textId="0D0667D3" w:rsidR="00CD316E" w:rsidRPr="00DF406D" w:rsidRDefault="00CD316E" w:rsidP="00DF406D">
      <w:pPr>
        <w:pStyle w:val="ListParagraph"/>
        <w:keepNext/>
        <w:numPr>
          <w:ilvl w:val="0"/>
          <w:numId w:val="43"/>
        </w:numPr>
        <w:spacing w:before="120" w:after="60"/>
        <w:rPr>
          <w:color w:val="auto"/>
          <w:sz w:val="20"/>
        </w:rPr>
      </w:pPr>
      <w:r w:rsidRPr="00DF406D">
        <w:rPr>
          <w:color w:val="auto"/>
          <w:sz w:val="20"/>
        </w:rPr>
        <w:t>The transaction rates provided above will be reviewed at the end of 3</w:t>
      </w:r>
      <w:r w:rsidRPr="00DF406D">
        <w:rPr>
          <w:color w:val="auto"/>
          <w:sz w:val="20"/>
          <w:vertAlign w:val="superscript"/>
        </w:rPr>
        <w:t>rd</w:t>
      </w:r>
      <w:r w:rsidRPr="00DF406D">
        <w:rPr>
          <w:color w:val="auto"/>
          <w:sz w:val="20"/>
        </w:rPr>
        <w:t xml:space="preserve"> years in between TELUS and TI, and will be revised based on mutually </w:t>
      </w:r>
      <w:proofErr w:type="gramStart"/>
      <w:r w:rsidRPr="00DF406D">
        <w:rPr>
          <w:color w:val="auto"/>
          <w:sz w:val="20"/>
        </w:rPr>
        <w:t>agreement</w:t>
      </w:r>
      <w:r w:rsidR="00C50B50" w:rsidRPr="00DF406D">
        <w:rPr>
          <w:color w:val="auto"/>
          <w:sz w:val="20"/>
        </w:rPr>
        <w:t>(</w:t>
      </w:r>
      <w:proofErr w:type="gramEnd"/>
      <w:r w:rsidR="00C50B50" w:rsidRPr="00DF406D">
        <w:rPr>
          <w:color w:val="auto"/>
          <w:sz w:val="20"/>
        </w:rPr>
        <w:t>not to exceed the rates in table 9.6-)</w:t>
      </w:r>
      <w:r w:rsidRPr="00DF406D">
        <w:rPr>
          <w:color w:val="auto"/>
          <w:sz w:val="20"/>
        </w:rPr>
        <w:t xml:space="preserve"> between TI and TELUS. </w:t>
      </w:r>
      <w:r w:rsidR="00272DE7" w:rsidRPr="00DF406D">
        <w:rPr>
          <w:color w:val="auto"/>
          <w:sz w:val="20"/>
        </w:rPr>
        <w:t xml:space="preserve">Hence, </w:t>
      </w:r>
      <w:proofErr w:type="gramStart"/>
      <w:r w:rsidRPr="00DF406D">
        <w:rPr>
          <w:color w:val="auto"/>
          <w:sz w:val="20"/>
        </w:rPr>
        <w:t>Cost</w:t>
      </w:r>
      <w:proofErr w:type="gramEnd"/>
      <w:r w:rsidRPr="00DF406D">
        <w:rPr>
          <w:color w:val="auto"/>
          <w:sz w:val="20"/>
        </w:rPr>
        <w:t xml:space="preserve"> of 4</w:t>
      </w:r>
      <w:r w:rsidRPr="00DF406D">
        <w:rPr>
          <w:color w:val="auto"/>
          <w:sz w:val="20"/>
          <w:vertAlign w:val="superscript"/>
        </w:rPr>
        <w:t>th</w:t>
      </w:r>
      <w:r w:rsidRPr="00DF406D">
        <w:rPr>
          <w:color w:val="auto"/>
          <w:sz w:val="20"/>
        </w:rPr>
        <w:t xml:space="preserve"> and 5</w:t>
      </w:r>
      <w:r w:rsidRPr="00DF406D">
        <w:rPr>
          <w:color w:val="auto"/>
          <w:sz w:val="20"/>
          <w:vertAlign w:val="superscript"/>
        </w:rPr>
        <w:t>th</w:t>
      </w:r>
      <w:r w:rsidRPr="00DF406D">
        <w:rPr>
          <w:color w:val="auto"/>
          <w:sz w:val="20"/>
        </w:rPr>
        <w:t xml:space="preserve"> years will be updated accordingly.</w:t>
      </w:r>
    </w:p>
    <w:p w14:paraId="49C9AF44" w14:textId="510FCFA0" w:rsidR="00C50B50" w:rsidRPr="00DF406D" w:rsidRDefault="00C50B50" w:rsidP="00DF406D">
      <w:pPr>
        <w:pStyle w:val="ListParagraph"/>
        <w:keepNext/>
        <w:numPr>
          <w:ilvl w:val="0"/>
          <w:numId w:val="43"/>
        </w:numPr>
        <w:spacing w:before="120" w:after="60"/>
        <w:rPr>
          <w:color w:val="auto"/>
          <w:sz w:val="20"/>
        </w:rPr>
      </w:pPr>
      <w:r w:rsidRPr="00DF406D">
        <w:rPr>
          <w:color w:val="auto"/>
          <w:sz w:val="20"/>
        </w:rPr>
        <w:t>The parties will review the rates in good faith if the Transaction volume increases beyo</w:t>
      </w:r>
      <w:r w:rsidR="00EB1FD5" w:rsidRPr="00DF406D">
        <w:rPr>
          <w:color w:val="auto"/>
          <w:sz w:val="20"/>
        </w:rPr>
        <w:t>n</w:t>
      </w:r>
      <w:r w:rsidRPr="00DF406D">
        <w:rPr>
          <w:color w:val="auto"/>
          <w:sz w:val="20"/>
        </w:rPr>
        <w:t xml:space="preserve">d 10% </w:t>
      </w:r>
      <w:r w:rsidR="00EB1FD5" w:rsidRPr="00DF406D">
        <w:rPr>
          <w:color w:val="auto"/>
          <w:sz w:val="20"/>
        </w:rPr>
        <w:t>contingency for the efficiency due to increase in volumes</w:t>
      </w:r>
    </w:p>
    <w:p w14:paraId="5C4BC1FE" w14:textId="063F33F7" w:rsidR="002A0271" w:rsidRPr="00DF406D" w:rsidRDefault="002A0271" w:rsidP="00DF406D">
      <w:pPr>
        <w:numPr>
          <w:ilvl w:val="1"/>
          <w:numId w:val="6"/>
        </w:numPr>
        <w:spacing w:after="120"/>
        <w:ind w:left="607" w:hanging="607"/>
        <w:rPr>
          <w:sz w:val="20"/>
          <w:szCs w:val="20"/>
        </w:rPr>
      </w:pPr>
      <w:r w:rsidRPr="00DF406D">
        <w:rPr>
          <w:sz w:val="20"/>
          <w:szCs w:val="20"/>
        </w:rPr>
        <w:t xml:space="preserve">Payment Terms are set forth in the Agreement, Article 8. The following fees for termination </w:t>
      </w:r>
      <w:proofErr w:type="gramStart"/>
      <w:r w:rsidRPr="00DF406D">
        <w:rPr>
          <w:sz w:val="20"/>
          <w:szCs w:val="20"/>
        </w:rPr>
        <w:t>for  convenience</w:t>
      </w:r>
      <w:proofErr w:type="gramEnd"/>
      <w:r w:rsidRPr="00DF406D">
        <w:rPr>
          <w:sz w:val="20"/>
          <w:szCs w:val="20"/>
        </w:rPr>
        <w:t xml:space="preserve"> apply to this SOW:N/A</w:t>
      </w:r>
    </w:p>
    <w:p w14:paraId="6F6073E9" w14:textId="41B93105" w:rsidR="002A0271" w:rsidRPr="00DF406D" w:rsidRDefault="002A0271" w:rsidP="00DF406D">
      <w:pPr>
        <w:numPr>
          <w:ilvl w:val="1"/>
          <w:numId w:val="6"/>
        </w:numPr>
        <w:spacing w:after="120"/>
        <w:ind w:left="607" w:hanging="607"/>
        <w:rPr>
          <w:sz w:val="20"/>
          <w:szCs w:val="20"/>
        </w:rPr>
      </w:pPr>
      <w:r w:rsidRPr="00DF406D">
        <w:rPr>
          <w:sz w:val="20"/>
          <w:szCs w:val="20"/>
        </w:rPr>
        <w:t>Expenses incurred by TI in furtherance of its obligations under this SOW are not billable to TELUS, except the following if approved by the TELUS Manager: N/A</w:t>
      </w:r>
    </w:p>
    <w:p w14:paraId="624BAE8C" w14:textId="77777777" w:rsidR="00C952D0" w:rsidRPr="00DF406D" w:rsidRDefault="008B0FC8" w:rsidP="00DF406D">
      <w:pPr>
        <w:numPr>
          <w:ilvl w:val="1"/>
          <w:numId w:val="6"/>
        </w:numPr>
        <w:spacing w:after="120"/>
        <w:ind w:left="607" w:hanging="607"/>
        <w:rPr>
          <w:sz w:val="20"/>
          <w:szCs w:val="20"/>
        </w:rPr>
      </w:pPr>
      <w:r w:rsidRPr="00DF406D">
        <w:rPr>
          <w:sz w:val="20"/>
          <w:szCs w:val="20"/>
        </w:rPr>
        <w:t>Initial and Ongoing Training</w:t>
      </w:r>
    </w:p>
    <w:p w14:paraId="0C742946" w14:textId="1F41A577" w:rsidR="00C952D0" w:rsidRPr="00DF406D" w:rsidRDefault="008B0FC8" w:rsidP="00DF406D">
      <w:pPr>
        <w:spacing w:after="120"/>
        <w:ind w:left="607"/>
        <w:rPr>
          <w:sz w:val="20"/>
          <w:szCs w:val="20"/>
        </w:rPr>
      </w:pPr>
      <w:r w:rsidRPr="00DF406D">
        <w:rPr>
          <w:sz w:val="20"/>
          <w:szCs w:val="20"/>
        </w:rPr>
        <w:t xml:space="preserve">Initial new hire training durations for the work types in this SOW are estimated at </w:t>
      </w:r>
      <w:r w:rsidR="00BD5AA4" w:rsidRPr="00DF406D">
        <w:rPr>
          <w:i/>
          <w:sz w:val="20"/>
          <w:szCs w:val="20"/>
        </w:rPr>
        <w:t>2</w:t>
      </w:r>
      <w:r w:rsidRPr="00DF406D">
        <w:rPr>
          <w:i/>
          <w:sz w:val="20"/>
          <w:szCs w:val="20"/>
        </w:rPr>
        <w:t xml:space="preserve"> </w:t>
      </w:r>
      <w:proofErr w:type="gramStart"/>
      <w:r w:rsidRPr="00DF406D">
        <w:rPr>
          <w:i/>
          <w:sz w:val="20"/>
          <w:szCs w:val="20"/>
        </w:rPr>
        <w:t>weeks</w:t>
      </w:r>
      <w:proofErr w:type="gramEnd"/>
      <w:r w:rsidRPr="00DF406D">
        <w:rPr>
          <w:sz w:val="20"/>
          <w:szCs w:val="20"/>
        </w:rPr>
        <w:t xml:space="preserve"> product training and 2 weeks of nesting training / production practice (or as required to maintain the high quality standards defined within this SOW).  The nesting training / production practice will be mutually agreed in advance by the TELUS Manager and TI Manager.</w:t>
      </w:r>
      <w:r w:rsidR="00DC3183" w:rsidRPr="00DF406D">
        <w:t xml:space="preserve"> </w:t>
      </w:r>
      <w:r w:rsidR="00DC3183" w:rsidRPr="00DF406D">
        <w:rPr>
          <w:sz w:val="20"/>
          <w:szCs w:val="20"/>
        </w:rPr>
        <w:t>The cost of initial new hire training will not be charged to TELUS.</w:t>
      </w:r>
    </w:p>
    <w:p w14:paraId="5F6011EF" w14:textId="77777777" w:rsidR="00C952D0" w:rsidRPr="00DF406D" w:rsidRDefault="008B0FC8" w:rsidP="00DF406D">
      <w:pPr>
        <w:numPr>
          <w:ilvl w:val="1"/>
          <w:numId w:val="6"/>
        </w:numPr>
        <w:spacing w:after="120"/>
        <w:ind w:left="607" w:hanging="607"/>
        <w:rPr>
          <w:sz w:val="20"/>
          <w:szCs w:val="20"/>
        </w:rPr>
      </w:pPr>
      <w:r w:rsidRPr="00DF406D">
        <w:rPr>
          <w:sz w:val="20"/>
          <w:szCs w:val="20"/>
        </w:rPr>
        <w:t>Attrition/Backfill Training</w:t>
      </w:r>
    </w:p>
    <w:p w14:paraId="039CDDD0" w14:textId="77777777" w:rsidR="00C952D0" w:rsidRPr="00DF406D" w:rsidRDefault="008B0FC8" w:rsidP="00DF406D">
      <w:pPr>
        <w:spacing w:after="120"/>
        <w:ind w:left="607"/>
        <w:rPr>
          <w:sz w:val="20"/>
          <w:szCs w:val="20"/>
        </w:rPr>
      </w:pPr>
      <w:r w:rsidRPr="00DF406D">
        <w:rPr>
          <w:sz w:val="20"/>
          <w:szCs w:val="20"/>
        </w:rPr>
        <w:t xml:space="preserve">TI shall not charge TELUS for training due to the attrition of TI personnel, where such training is required to provide backfill personnel sufficient knowledge and skills required to provide the contracted productive headcount level.  In case of unforeseen TI key personnel attrition, removal or transfer, appropriate replacement TI key personnel will be provided by TI as needed, however, the </w:t>
      </w:r>
      <w:r w:rsidRPr="00DF406D">
        <w:rPr>
          <w:sz w:val="20"/>
          <w:szCs w:val="20"/>
        </w:rPr>
        <w:lastRenderedPageBreak/>
        <w:t>replacement TI key personnel for any discontinued TI key personnel will have experience and qualifications that are equal or superior to those of the replaced TI key personnel.  The replacement TI key personnel will be available prior to departure of replaced TI key personnel for knowledge transfer, training, and all other continuity purposes.  Should TI experience an immediate resignation whereby replacement TI key personnel is not available TI will notify the TELUS Operations Manager within 24 hours and provide an action plan to back fill the key personnel within four to six weeks.  The replacement TI key personnel name, ID, and other Service relevant credentials must be sent by TI to the TELUS Manager for interview, if deemed required by the TELUS Manager, and for approval prior to such TI key personnel providing any Services under this SOW.  The TELUS Manager reserves the right to either participate in the interview process or delegate participation to another TELUS manager to act on behalf of the TELUS Manager in the interview process.</w:t>
      </w:r>
    </w:p>
    <w:p w14:paraId="33F61BD3" w14:textId="77777777" w:rsidR="00C952D0" w:rsidRPr="00DF406D" w:rsidRDefault="008B0FC8" w:rsidP="00DF406D">
      <w:pPr>
        <w:numPr>
          <w:ilvl w:val="1"/>
          <w:numId w:val="6"/>
        </w:numPr>
        <w:spacing w:after="120"/>
        <w:ind w:left="607" w:hanging="607"/>
        <w:rPr>
          <w:sz w:val="20"/>
          <w:szCs w:val="20"/>
        </w:rPr>
      </w:pPr>
      <w:r w:rsidRPr="00DF406D">
        <w:rPr>
          <w:sz w:val="20"/>
          <w:szCs w:val="20"/>
        </w:rPr>
        <w:t>Invoicing Process: TI will process invoices in line with the Agreement and each Party’s internal financial agreed practices and procedures:</w:t>
      </w:r>
    </w:p>
    <w:p w14:paraId="03964E64" w14:textId="77777777" w:rsidR="00C952D0" w:rsidRPr="00DF406D" w:rsidRDefault="008B0FC8" w:rsidP="00DF406D">
      <w:pPr>
        <w:numPr>
          <w:ilvl w:val="0"/>
          <w:numId w:val="20"/>
        </w:numPr>
        <w:pBdr>
          <w:top w:val="nil"/>
          <w:left w:val="nil"/>
          <w:bottom w:val="nil"/>
          <w:right w:val="nil"/>
          <w:between w:val="nil"/>
        </w:pBdr>
        <w:contextualSpacing/>
        <w:rPr>
          <w:sz w:val="20"/>
          <w:szCs w:val="20"/>
        </w:rPr>
      </w:pPr>
      <w:r w:rsidRPr="00DF406D">
        <w:rPr>
          <w:sz w:val="20"/>
          <w:szCs w:val="20"/>
        </w:rPr>
        <w:t xml:space="preserve">Costs will be recorded to TELUS cost </w:t>
      </w:r>
      <w:proofErr w:type="spellStart"/>
      <w:r w:rsidRPr="00DF406D">
        <w:rPr>
          <w:sz w:val="20"/>
          <w:szCs w:val="20"/>
        </w:rPr>
        <w:t>centres</w:t>
      </w:r>
      <w:proofErr w:type="spellEnd"/>
      <w:r w:rsidRPr="00DF406D">
        <w:rPr>
          <w:sz w:val="20"/>
          <w:szCs w:val="20"/>
        </w:rPr>
        <w:t xml:space="preserve"> via a journal entry prepared by TI;</w:t>
      </w:r>
    </w:p>
    <w:p w14:paraId="3849F28C" w14:textId="77777777" w:rsidR="00C952D0" w:rsidRPr="00DF406D" w:rsidRDefault="008B0FC8" w:rsidP="00DF406D">
      <w:pPr>
        <w:numPr>
          <w:ilvl w:val="0"/>
          <w:numId w:val="20"/>
        </w:numPr>
        <w:pBdr>
          <w:top w:val="nil"/>
          <w:left w:val="nil"/>
          <w:bottom w:val="nil"/>
          <w:right w:val="nil"/>
          <w:between w:val="nil"/>
        </w:pBdr>
        <w:contextualSpacing/>
        <w:rPr>
          <w:sz w:val="20"/>
          <w:szCs w:val="20"/>
        </w:rPr>
      </w:pPr>
      <w:r w:rsidRPr="00DF406D">
        <w:rPr>
          <w:sz w:val="20"/>
          <w:szCs w:val="20"/>
        </w:rPr>
        <w:t>The invoice format will include:</w:t>
      </w:r>
    </w:p>
    <w:p w14:paraId="07EAC2C0"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Program name</w:t>
      </w:r>
    </w:p>
    <w:p w14:paraId="543DE3B7"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Program description</w:t>
      </w:r>
    </w:p>
    <w:p w14:paraId="6555C483"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Milestone/Deliverable name (if applicable)</w:t>
      </w:r>
    </w:p>
    <w:p w14:paraId="2660B80C"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Company code</w:t>
      </w:r>
    </w:p>
    <w:p w14:paraId="678171C2"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 xml:space="preserve">Cost </w:t>
      </w:r>
      <w:proofErr w:type="spellStart"/>
      <w:r w:rsidRPr="00DF406D">
        <w:rPr>
          <w:sz w:val="20"/>
          <w:szCs w:val="20"/>
        </w:rPr>
        <w:t>centre</w:t>
      </w:r>
      <w:proofErr w:type="spellEnd"/>
    </w:p>
    <w:p w14:paraId="6BF611AA"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Billable hours (if applicable)</w:t>
      </w:r>
    </w:p>
    <w:p w14:paraId="5A10A011" w14:textId="77777777" w:rsidR="00C952D0" w:rsidRPr="00DF406D" w:rsidRDefault="008B0FC8" w:rsidP="00DF406D">
      <w:pPr>
        <w:numPr>
          <w:ilvl w:val="2"/>
          <w:numId w:val="20"/>
        </w:numPr>
        <w:pBdr>
          <w:top w:val="nil"/>
          <w:left w:val="nil"/>
          <w:bottom w:val="nil"/>
          <w:right w:val="nil"/>
          <w:between w:val="nil"/>
        </w:pBdr>
        <w:contextualSpacing/>
        <w:rPr>
          <w:sz w:val="20"/>
          <w:szCs w:val="20"/>
        </w:rPr>
      </w:pPr>
      <w:r w:rsidRPr="00DF406D">
        <w:rPr>
          <w:sz w:val="20"/>
          <w:szCs w:val="20"/>
        </w:rPr>
        <w:t>Productive Hours</w:t>
      </w:r>
    </w:p>
    <w:p w14:paraId="4AD98903" w14:textId="77777777" w:rsidR="00C952D0" w:rsidRPr="00DF406D" w:rsidRDefault="008B0FC8" w:rsidP="00DF406D">
      <w:pPr>
        <w:numPr>
          <w:ilvl w:val="2"/>
          <w:numId w:val="20"/>
        </w:numPr>
        <w:pBdr>
          <w:top w:val="nil"/>
          <w:left w:val="nil"/>
          <w:bottom w:val="nil"/>
          <w:right w:val="nil"/>
          <w:between w:val="nil"/>
        </w:pBdr>
        <w:contextualSpacing/>
        <w:rPr>
          <w:sz w:val="20"/>
          <w:szCs w:val="20"/>
        </w:rPr>
      </w:pPr>
      <w:r w:rsidRPr="00DF406D">
        <w:rPr>
          <w:sz w:val="20"/>
          <w:szCs w:val="20"/>
        </w:rPr>
        <w:t>Overtime hours</w:t>
      </w:r>
    </w:p>
    <w:p w14:paraId="166A13F4"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Service Level Credits (if any)</w:t>
      </w:r>
    </w:p>
    <w:p w14:paraId="7E8C45A3"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Service Level Bonuses (if any, and if eligible under this SOW)</w:t>
      </w:r>
    </w:p>
    <w:p w14:paraId="665881C9" w14:textId="77777777" w:rsidR="00C952D0" w:rsidRPr="00DF406D" w:rsidRDefault="008B0FC8" w:rsidP="00DF406D">
      <w:pPr>
        <w:numPr>
          <w:ilvl w:val="1"/>
          <w:numId w:val="20"/>
        </w:numPr>
        <w:pBdr>
          <w:top w:val="nil"/>
          <w:left w:val="nil"/>
          <w:bottom w:val="nil"/>
          <w:right w:val="nil"/>
          <w:between w:val="nil"/>
        </w:pBdr>
        <w:contextualSpacing/>
        <w:rPr>
          <w:sz w:val="20"/>
          <w:szCs w:val="20"/>
        </w:rPr>
      </w:pPr>
      <w:r w:rsidRPr="00DF406D">
        <w:rPr>
          <w:sz w:val="20"/>
          <w:szCs w:val="20"/>
        </w:rPr>
        <w:t>Eligible pre- approved Expenses (at cost) (if any, and if eligible under this SOW)</w:t>
      </w:r>
    </w:p>
    <w:p w14:paraId="6C77FAB9" w14:textId="77777777" w:rsidR="009629D7" w:rsidRPr="00DF406D" w:rsidRDefault="009629D7" w:rsidP="00DF406D">
      <w:pPr>
        <w:pBdr>
          <w:top w:val="nil"/>
          <w:left w:val="nil"/>
          <w:bottom w:val="nil"/>
          <w:right w:val="nil"/>
          <w:between w:val="nil"/>
        </w:pBdr>
        <w:ind w:left="2047"/>
        <w:contextualSpacing/>
        <w:rPr>
          <w:sz w:val="20"/>
          <w:szCs w:val="20"/>
        </w:rPr>
      </w:pPr>
    </w:p>
    <w:p w14:paraId="51DA6AF7" w14:textId="77777777" w:rsidR="0067196D" w:rsidRPr="00DF406D" w:rsidRDefault="0067196D" w:rsidP="00DF406D">
      <w:pPr>
        <w:pStyle w:val="ListParagraph"/>
        <w:numPr>
          <w:ilvl w:val="1"/>
          <w:numId w:val="6"/>
        </w:numPr>
        <w:rPr>
          <w:color w:val="auto"/>
          <w:sz w:val="20"/>
          <w:szCs w:val="20"/>
        </w:rPr>
      </w:pPr>
      <w:r w:rsidRPr="00DF406D">
        <w:rPr>
          <w:color w:val="auto"/>
          <w:sz w:val="20"/>
          <w:szCs w:val="20"/>
        </w:rPr>
        <w:t xml:space="preserve">TI will cover travel costs to a maximum allowance of $10,000 (Ten Thousand Canadian Dollars Only) per year for TELUS SME(s) or TELUS Manager travelling from Canada to India for the offshore visit. Travel costs will include airfare of economy class, accommodations, meals, sundry items and local transportation etc. </w:t>
      </w:r>
    </w:p>
    <w:p w14:paraId="0CDE73C0" w14:textId="3D24614B" w:rsidR="00307D7A" w:rsidRPr="00DF406D" w:rsidRDefault="00307D7A" w:rsidP="00DF406D">
      <w:pPr>
        <w:pStyle w:val="ListParagraph"/>
        <w:numPr>
          <w:ilvl w:val="1"/>
          <w:numId w:val="6"/>
        </w:numPr>
        <w:rPr>
          <w:color w:val="auto"/>
          <w:sz w:val="20"/>
          <w:szCs w:val="20"/>
        </w:rPr>
      </w:pPr>
      <w:r w:rsidRPr="00DF406D">
        <w:rPr>
          <w:color w:val="auto"/>
          <w:sz w:val="20"/>
          <w:szCs w:val="20"/>
        </w:rPr>
        <w:t>TI agrees to offer TELUS the following discounts applied to the first three months of invoicing to acc</w:t>
      </w:r>
      <w:r w:rsidR="001F3E96" w:rsidRPr="00DF406D">
        <w:rPr>
          <w:color w:val="auto"/>
          <w:sz w:val="20"/>
          <w:szCs w:val="20"/>
        </w:rPr>
        <w:t>ount for a loss of productivity:</w:t>
      </w:r>
      <w:r w:rsidRPr="00DF406D">
        <w:rPr>
          <w:color w:val="auto"/>
          <w:sz w:val="20"/>
          <w:szCs w:val="20"/>
        </w:rPr>
        <w:t xml:space="preserve"> </w:t>
      </w:r>
    </w:p>
    <w:p w14:paraId="4D0B3FC7" w14:textId="71D82AFC" w:rsidR="00307D7A" w:rsidRPr="00DF406D" w:rsidRDefault="00307D7A" w:rsidP="00DF406D">
      <w:pPr>
        <w:pStyle w:val="ListParagraph"/>
        <w:numPr>
          <w:ilvl w:val="0"/>
          <w:numId w:val="41"/>
        </w:numPr>
        <w:rPr>
          <w:color w:val="auto"/>
          <w:sz w:val="20"/>
          <w:szCs w:val="20"/>
        </w:rPr>
      </w:pPr>
      <w:r w:rsidRPr="00DF406D">
        <w:rPr>
          <w:color w:val="auto"/>
          <w:sz w:val="20"/>
          <w:szCs w:val="20"/>
        </w:rPr>
        <w:t>Month 1 = 40% discount on total invoice amount</w:t>
      </w:r>
    </w:p>
    <w:p w14:paraId="61C43C28" w14:textId="361E13A7" w:rsidR="00307D7A" w:rsidRPr="00DF406D" w:rsidRDefault="00307D7A" w:rsidP="00DF406D">
      <w:pPr>
        <w:pStyle w:val="ListParagraph"/>
        <w:numPr>
          <w:ilvl w:val="0"/>
          <w:numId w:val="41"/>
        </w:numPr>
        <w:rPr>
          <w:color w:val="auto"/>
          <w:sz w:val="20"/>
          <w:szCs w:val="20"/>
        </w:rPr>
      </w:pPr>
      <w:r w:rsidRPr="00DF406D">
        <w:rPr>
          <w:color w:val="auto"/>
          <w:sz w:val="20"/>
          <w:szCs w:val="20"/>
        </w:rPr>
        <w:t>Month 2 = 20% discount on total invoice amount</w:t>
      </w:r>
    </w:p>
    <w:p w14:paraId="1D266D5B" w14:textId="4044B095" w:rsidR="00307D7A" w:rsidRPr="00DF406D" w:rsidRDefault="00307D7A" w:rsidP="00DF406D">
      <w:pPr>
        <w:pStyle w:val="ListParagraph"/>
        <w:numPr>
          <w:ilvl w:val="0"/>
          <w:numId w:val="41"/>
        </w:numPr>
        <w:rPr>
          <w:color w:val="auto"/>
          <w:sz w:val="20"/>
          <w:szCs w:val="20"/>
        </w:rPr>
      </w:pPr>
      <w:r w:rsidRPr="00DF406D">
        <w:rPr>
          <w:color w:val="auto"/>
          <w:sz w:val="20"/>
          <w:szCs w:val="20"/>
        </w:rPr>
        <w:t>Month 3 = 10% discount on total invoice amount</w:t>
      </w:r>
    </w:p>
    <w:p w14:paraId="663E06C3" w14:textId="77777777" w:rsidR="00307D7A" w:rsidRPr="00DF406D" w:rsidRDefault="00307D7A" w:rsidP="00DF406D">
      <w:pPr>
        <w:pStyle w:val="ListParagraph"/>
        <w:numPr>
          <w:ilvl w:val="0"/>
          <w:numId w:val="41"/>
        </w:numPr>
        <w:rPr>
          <w:color w:val="auto"/>
          <w:sz w:val="20"/>
          <w:szCs w:val="20"/>
        </w:rPr>
      </w:pPr>
      <w:r w:rsidRPr="00DF406D">
        <w:rPr>
          <w:color w:val="auto"/>
          <w:sz w:val="20"/>
          <w:szCs w:val="20"/>
        </w:rPr>
        <w:t>Month 4 and beyond = no discount</w:t>
      </w:r>
    </w:p>
    <w:p w14:paraId="0729B418" w14:textId="77777777" w:rsidR="00307D7A" w:rsidRPr="00DF406D" w:rsidRDefault="00307D7A" w:rsidP="00DF406D">
      <w:pPr>
        <w:pStyle w:val="ListParagraph"/>
        <w:ind w:left="644"/>
        <w:rPr>
          <w:color w:val="auto"/>
          <w:sz w:val="20"/>
          <w:szCs w:val="20"/>
        </w:rPr>
      </w:pPr>
    </w:p>
    <w:p w14:paraId="434664F7" w14:textId="77777777" w:rsidR="0067196D" w:rsidRPr="00DF406D" w:rsidRDefault="0067196D" w:rsidP="00DF406D">
      <w:pPr>
        <w:rPr>
          <w:sz w:val="20"/>
          <w:szCs w:val="20"/>
        </w:rPr>
      </w:pPr>
    </w:p>
    <w:p w14:paraId="7E9C2C65" w14:textId="77777777" w:rsidR="00C952D0" w:rsidRPr="00DF406D" w:rsidRDefault="008B0FC8" w:rsidP="00DF406D">
      <w:pPr>
        <w:numPr>
          <w:ilvl w:val="0"/>
          <w:numId w:val="6"/>
        </w:numPr>
        <w:spacing w:after="120"/>
        <w:ind w:left="616" w:hanging="616"/>
        <w:rPr>
          <w:b/>
          <w:smallCaps/>
          <w:sz w:val="20"/>
          <w:szCs w:val="20"/>
        </w:rPr>
      </w:pPr>
      <w:r w:rsidRPr="00DF406D">
        <w:rPr>
          <w:b/>
          <w:smallCaps/>
          <w:sz w:val="20"/>
          <w:szCs w:val="20"/>
        </w:rPr>
        <w:t>Specific Service Levels</w:t>
      </w:r>
    </w:p>
    <w:p w14:paraId="486028A2" w14:textId="77777777" w:rsidR="00C952D0" w:rsidRPr="00DF406D" w:rsidRDefault="008B0FC8" w:rsidP="00DF406D">
      <w:pPr>
        <w:spacing w:before="120" w:after="120"/>
        <w:ind w:left="603" w:hanging="603"/>
        <w:rPr>
          <w:i/>
          <w:sz w:val="20"/>
          <w:szCs w:val="20"/>
        </w:rPr>
      </w:pPr>
      <w:r w:rsidRPr="00DF406D">
        <w:rPr>
          <w:sz w:val="20"/>
          <w:szCs w:val="20"/>
        </w:rPr>
        <w:t>10.1</w:t>
      </w:r>
      <w:r w:rsidRPr="00DF406D">
        <w:rPr>
          <w:sz w:val="20"/>
          <w:szCs w:val="20"/>
        </w:rPr>
        <w:tab/>
        <w:t xml:space="preserve">The following Service Levels will apply to this SOW: </w:t>
      </w:r>
      <w:r w:rsidR="009629D7" w:rsidRPr="00DF406D">
        <w:rPr>
          <w:i/>
          <w:sz w:val="20"/>
          <w:szCs w:val="20"/>
        </w:rPr>
        <w:t>NA</w:t>
      </w:r>
    </w:p>
    <w:p w14:paraId="2C03B821" w14:textId="77777777" w:rsidR="009629D7" w:rsidRPr="00DF406D" w:rsidRDefault="008B0FC8" w:rsidP="00DF406D">
      <w:pPr>
        <w:spacing w:before="120" w:after="120"/>
        <w:ind w:left="603" w:hanging="603"/>
        <w:rPr>
          <w:i/>
          <w:sz w:val="20"/>
          <w:szCs w:val="20"/>
        </w:rPr>
      </w:pPr>
      <w:r w:rsidRPr="00DF406D">
        <w:rPr>
          <w:sz w:val="20"/>
          <w:szCs w:val="20"/>
        </w:rPr>
        <w:t>10.2</w:t>
      </w:r>
      <w:r w:rsidRPr="00DF406D">
        <w:rPr>
          <w:sz w:val="20"/>
          <w:szCs w:val="20"/>
        </w:rPr>
        <w:tab/>
        <w:t xml:space="preserve">Problem escalation: </w:t>
      </w:r>
    </w:p>
    <w:p w14:paraId="25BB8555" w14:textId="77777777" w:rsidR="009629D7" w:rsidRPr="00DF406D" w:rsidRDefault="009629D7" w:rsidP="00DF406D">
      <w:pPr>
        <w:spacing w:before="120" w:after="120"/>
        <w:ind w:left="603" w:hanging="603"/>
        <w:rPr>
          <w:i/>
          <w:sz w:val="20"/>
          <w:szCs w:val="20"/>
        </w:rPr>
      </w:pP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DF406D" w:rsidRPr="00DF406D" w14:paraId="2838F399" w14:textId="77777777" w:rsidTr="004162A0">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25F6E253" w14:textId="77777777" w:rsidR="009629D7" w:rsidRPr="00DF406D" w:rsidRDefault="009629D7" w:rsidP="00DF406D">
            <w:pPr>
              <w:jc w:val="center"/>
              <w:rPr>
                <w:b/>
                <w:color w:val="auto"/>
                <w:sz w:val="20"/>
                <w:szCs w:val="20"/>
              </w:rPr>
            </w:pPr>
            <w:r w:rsidRPr="00DF406D">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0B5558D5" w14:textId="77777777" w:rsidR="009629D7" w:rsidRPr="00DF406D" w:rsidRDefault="009629D7" w:rsidP="00DF406D">
            <w:pPr>
              <w:jc w:val="center"/>
              <w:rPr>
                <w:b/>
                <w:color w:val="auto"/>
                <w:sz w:val="20"/>
                <w:szCs w:val="20"/>
              </w:rPr>
            </w:pPr>
            <w:r w:rsidRPr="00DF406D">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643D8C37" w14:textId="77777777" w:rsidR="009629D7" w:rsidRPr="00DF406D" w:rsidRDefault="009629D7" w:rsidP="00DF406D">
            <w:pPr>
              <w:jc w:val="center"/>
              <w:rPr>
                <w:b/>
                <w:color w:val="auto"/>
                <w:sz w:val="20"/>
                <w:szCs w:val="20"/>
              </w:rPr>
            </w:pPr>
            <w:r w:rsidRPr="00DF406D">
              <w:rPr>
                <w:b/>
                <w:color w:val="auto"/>
                <w:sz w:val="20"/>
                <w:szCs w:val="20"/>
              </w:rPr>
              <w:t>TI Action Plan Presented To:</w:t>
            </w:r>
          </w:p>
        </w:tc>
      </w:tr>
      <w:tr w:rsidR="00DF406D" w:rsidRPr="00DF406D" w14:paraId="604A5509" w14:textId="77777777" w:rsidTr="004162A0">
        <w:trPr>
          <w:trHeight w:val="380"/>
        </w:trPr>
        <w:tc>
          <w:tcPr>
            <w:tcW w:w="3163" w:type="dxa"/>
            <w:tcBorders>
              <w:top w:val="single" w:sz="6" w:space="0" w:color="000000"/>
              <w:left w:val="single" w:sz="6" w:space="0" w:color="000000"/>
            </w:tcBorders>
            <w:vAlign w:val="center"/>
          </w:tcPr>
          <w:p w14:paraId="2BE5F15A" w14:textId="77777777" w:rsidR="009629D7" w:rsidRPr="00DF406D" w:rsidRDefault="009629D7" w:rsidP="00DF406D">
            <w:pPr>
              <w:jc w:val="left"/>
              <w:rPr>
                <w:color w:val="auto"/>
                <w:sz w:val="20"/>
                <w:szCs w:val="20"/>
              </w:rPr>
            </w:pPr>
            <w:r w:rsidRPr="00DF406D">
              <w:rPr>
                <w:color w:val="auto"/>
                <w:sz w:val="20"/>
                <w:szCs w:val="20"/>
              </w:rPr>
              <w:t>2 consecutive calendar months</w:t>
            </w:r>
          </w:p>
        </w:tc>
        <w:tc>
          <w:tcPr>
            <w:tcW w:w="2552" w:type="dxa"/>
            <w:tcBorders>
              <w:top w:val="single" w:sz="6" w:space="0" w:color="000000"/>
            </w:tcBorders>
            <w:vAlign w:val="center"/>
          </w:tcPr>
          <w:p w14:paraId="2F68C916" w14:textId="77777777" w:rsidR="009629D7" w:rsidRPr="00DF406D" w:rsidRDefault="009629D7" w:rsidP="00DF406D">
            <w:pPr>
              <w:jc w:val="left"/>
              <w:rPr>
                <w:color w:val="auto"/>
                <w:sz w:val="20"/>
                <w:szCs w:val="20"/>
              </w:rPr>
            </w:pPr>
            <w:r w:rsidRPr="00DF406D">
              <w:rPr>
                <w:color w:val="auto"/>
                <w:sz w:val="20"/>
                <w:szCs w:val="20"/>
              </w:rPr>
              <w:t>Program Director</w:t>
            </w:r>
          </w:p>
        </w:tc>
        <w:tc>
          <w:tcPr>
            <w:tcW w:w="2932" w:type="dxa"/>
            <w:tcBorders>
              <w:top w:val="single" w:sz="6" w:space="0" w:color="000000"/>
              <w:right w:val="single" w:sz="6" w:space="0" w:color="000000"/>
            </w:tcBorders>
            <w:vAlign w:val="center"/>
          </w:tcPr>
          <w:p w14:paraId="61F71E17" w14:textId="77777777" w:rsidR="009629D7" w:rsidRPr="00DF406D" w:rsidRDefault="009629D7" w:rsidP="00DF406D">
            <w:pPr>
              <w:jc w:val="left"/>
              <w:rPr>
                <w:color w:val="auto"/>
                <w:sz w:val="20"/>
                <w:szCs w:val="20"/>
              </w:rPr>
            </w:pPr>
            <w:r w:rsidRPr="00DF406D">
              <w:rPr>
                <w:color w:val="auto"/>
                <w:sz w:val="20"/>
                <w:szCs w:val="20"/>
              </w:rPr>
              <w:t>TELUS Manager</w:t>
            </w:r>
          </w:p>
        </w:tc>
      </w:tr>
      <w:tr w:rsidR="00DF406D" w:rsidRPr="00DF406D" w14:paraId="30809A2D" w14:textId="77777777" w:rsidTr="004162A0">
        <w:trPr>
          <w:trHeight w:val="840"/>
        </w:trPr>
        <w:tc>
          <w:tcPr>
            <w:tcW w:w="3163" w:type="dxa"/>
            <w:tcBorders>
              <w:left w:val="single" w:sz="6" w:space="0" w:color="000000"/>
            </w:tcBorders>
            <w:vAlign w:val="center"/>
          </w:tcPr>
          <w:p w14:paraId="1EAD1DB4" w14:textId="77777777" w:rsidR="009629D7" w:rsidRPr="00DF406D" w:rsidRDefault="009629D7" w:rsidP="00DF406D">
            <w:pPr>
              <w:jc w:val="left"/>
              <w:rPr>
                <w:color w:val="auto"/>
                <w:sz w:val="20"/>
                <w:szCs w:val="20"/>
              </w:rPr>
            </w:pPr>
            <w:r w:rsidRPr="00DF406D">
              <w:rPr>
                <w:color w:val="auto"/>
                <w:sz w:val="20"/>
                <w:szCs w:val="20"/>
              </w:rPr>
              <w:t>3 consecutive calendar months within a 12 month period.</w:t>
            </w:r>
          </w:p>
        </w:tc>
        <w:tc>
          <w:tcPr>
            <w:tcW w:w="2552" w:type="dxa"/>
            <w:vAlign w:val="center"/>
          </w:tcPr>
          <w:p w14:paraId="7259374A" w14:textId="77777777" w:rsidR="009629D7" w:rsidRPr="00DF406D" w:rsidRDefault="009629D7" w:rsidP="00DF406D">
            <w:pPr>
              <w:jc w:val="left"/>
              <w:rPr>
                <w:color w:val="auto"/>
                <w:sz w:val="20"/>
                <w:szCs w:val="20"/>
              </w:rPr>
            </w:pPr>
            <w:r w:rsidRPr="00DF406D">
              <w:rPr>
                <w:color w:val="auto"/>
                <w:sz w:val="20"/>
                <w:szCs w:val="20"/>
              </w:rPr>
              <w:t>Program Director and Regional Operations Director</w:t>
            </w:r>
          </w:p>
        </w:tc>
        <w:tc>
          <w:tcPr>
            <w:tcW w:w="2932" w:type="dxa"/>
            <w:tcBorders>
              <w:right w:val="single" w:sz="6" w:space="0" w:color="000000"/>
            </w:tcBorders>
            <w:vAlign w:val="center"/>
          </w:tcPr>
          <w:p w14:paraId="63AAF4DC" w14:textId="77777777" w:rsidR="009629D7" w:rsidRPr="00DF406D" w:rsidRDefault="009629D7" w:rsidP="00DF406D">
            <w:pPr>
              <w:jc w:val="left"/>
              <w:rPr>
                <w:color w:val="auto"/>
                <w:sz w:val="20"/>
                <w:szCs w:val="20"/>
              </w:rPr>
            </w:pPr>
            <w:r w:rsidRPr="00DF406D">
              <w:rPr>
                <w:color w:val="auto"/>
                <w:sz w:val="20"/>
                <w:szCs w:val="20"/>
              </w:rPr>
              <w:t>TELUS Senior Operations Manager and TELUS Director</w:t>
            </w:r>
          </w:p>
        </w:tc>
      </w:tr>
      <w:tr w:rsidR="009629D7" w:rsidRPr="00DF406D" w14:paraId="5FCEC53A" w14:textId="77777777" w:rsidTr="004162A0">
        <w:trPr>
          <w:trHeight w:val="800"/>
        </w:trPr>
        <w:tc>
          <w:tcPr>
            <w:tcW w:w="3163" w:type="dxa"/>
            <w:tcBorders>
              <w:left w:val="single" w:sz="6" w:space="0" w:color="000000"/>
              <w:bottom w:val="single" w:sz="12" w:space="0" w:color="000000"/>
            </w:tcBorders>
            <w:vAlign w:val="center"/>
          </w:tcPr>
          <w:p w14:paraId="50A78CA9" w14:textId="77777777" w:rsidR="009629D7" w:rsidRPr="00DF406D" w:rsidRDefault="009629D7" w:rsidP="00DF406D">
            <w:pPr>
              <w:jc w:val="left"/>
              <w:rPr>
                <w:color w:val="auto"/>
                <w:sz w:val="20"/>
                <w:szCs w:val="20"/>
              </w:rPr>
            </w:pPr>
            <w:r w:rsidRPr="00DF406D">
              <w:rPr>
                <w:color w:val="auto"/>
                <w:sz w:val="20"/>
                <w:szCs w:val="20"/>
              </w:rPr>
              <w:lastRenderedPageBreak/>
              <w:t>More than 3 consecutive calendar months within a 12 month period.</w:t>
            </w:r>
          </w:p>
        </w:tc>
        <w:tc>
          <w:tcPr>
            <w:tcW w:w="2552" w:type="dxa"/>
            <w:tcBorders>
              <w:bottom w:val="single" w:sz="12" w:space="0" w:color="000000"/>
            </w:tcBorders>
            <w:vAlign w:val="center"/>
          </w:tcPr>
          <w:p w14:paraId="46CC00D7" w14:textId="77777777" w:rsidR="009629D7" w:rsidRPr="00DF406D" w:rsidRDefault="009629D7" w:rsidP="00DF406D">
            <w:pPr>
              <w:jc w:val="left"/>
              <w:rPr>
                <w:color w:val="auto"/>
                <w:sz w:val="20"/>
                <w:szCs w:val="20"/>
              </w:rPr>
            </w:pPr>
            <w:r w:rsidRPr="00DF406D">
              <w:rPr>
                <w:color w:val="auto"/>
                <w:sz w:val="20"/>
                <w:szCs w:val="20"/>
              </w:rPr>
              <w:t>VP Operations, Regional Operations Director and Program Director</w:t>
            </w:r>
          </w:p>
        </w:tc>
        <w:tc>
          <w:tcPr>
            <w:tcW w:w="2932" w:type="dxa"/>
            <w:tcBorders>
              <w:bottom w:val="single" w:sz="12" w:space="0" w:color="000000"/>
              <w:right w:val="single" w:sz="6" w:space="0" w:color="000000"/>
            </w:tcBorders>
            <w:vAlign w:val="center"/>
          </w:tcPr>
          <w:p w14:paraId="1B4922F5" w14:textId="77777777" w:rsidR="009629D7" w:rsidRPr="00DF406D" w:rsidRDefault="009629D7" w:rsidP="00DF406D">
            <w:pPr>
              <w:jc w:val="left"/>
              <w:rPr>
                <w:color w:val="auto"/>
                <w:sz w:val="20"/>
                <w:szCs w:val="20"/>
              </w:rPr>
            </w:pPr>
            <w:r w:rsidRPr="00DF406D">
              <w:rPr>
                <w:color w:val="auto"/>
                <w:sz w:val="20"/>
                <w:szCs w:val="20"/>
              </w:rPr>
              <w:t>TELUS VP Operations</w:t>
            </w:r>
          </w:p>
        </w:tc>
      </w:tr>
    </w:tbl>
    <w:p w14:paraId="1A713311" w14:textId="77777777" w:rsidR="009629D7" w:rsidRPr="00DF406D" w:rsidRDefault="009629D7" w:rsidP="00DF406D">
      <w:pPr>
        <w:spacing w:before="120" w:after="120"/>
        <w:ind w:left="603" w:hanging="603"/>
        <w:rPr>
          <w:i/>
          <w:sz w:val="20"/>
          <w:szCs w:val="20"/>
        </w:rPr>
      </w:pPr>
    </w:p>
    <w:p w14:paraId="03C0C35C" w14:textId="77777777" w:rsidR="00C952D0" w:rsidRPr="00DF406D" w:rsidRDefault="00C952D0" w:rsidP="00DF406D">
      <w:pPr>
        <w:spacing w:after="120"/>
        <w:ind w:left="630" w:hanging="630"/>
        <w:rPr>
          <w:b/>
          <w:smallCaps/>
          <w:sz w:val="20"/>
          <w:szCs w:val="20"/>
        </w:rPr>
      </w:pPr>
    </w:p>
    <w:p w14:paraId="15134C08" w14:textId="77777777" w:rsidR="00C952D0" w:rsidRPr="00DF406D" w:rsidRDefault="008B0FC8" w:rsidP="00DF406D">
      <w:pPr>
        <w:spacing w:after="120"/>
        <w:ind w:left="630" w:hanging="630"/>
        <w:rPr>
          <w:b/>
          <w:smallCaps/>
          <w:sz w:val="20"/>
          <w:szCs w:val="20"/>
        </w:rPr>
      </w:pPr>
      <w:r w:rsidRPr="00DF406D">
        <w:rPr>
          <w:b/>
          <w:smallCaps/>
          <w:sz w:val="20"/>
          <w:szCs w:val="20"/>
        </w:rPr>
        <w:t>11.0</w:t>
      </w:r>
      <w:r w:rsidRPr="00DF406D">
        <w:rPr>
          <w:b/>
          <w:smallCaps/>
          <w:sz w:val="20"/>
          <w:szCs w:val="20"/>
        </w:rPr>
        <w:tab/>
        <w:t>Reports</w:t>
      </w:r>
    </w:p>
    <w:p w14:paraId="20589DCF" w14:textId="77777777" w:rsidR="00C952D0" w:rsidRPr="00DF406D" w:rsidRDefault="008B0FC8" w:rsidP="00DF406D">
      <w:pPr>
        <w:spacing w:after="120"/>
        <w:ind w:left="612" w:hanging="612"/>
        <w:rPr>
          <w:i/>
          <w:sz w:val="20"/>
          <w:szCs w:val="20"/>
        </w:rPr>
      </w:pPr>
      <w:r w:rsidRPr="00DF406D">
        <w:rPr>
          <w:sz w:val="20"/>
          <w:szCs w:val="20"/>
        </w:rPr>
        <w:t>11.1</w:t>
      </w:r>
      <w:r w:rsidRPr="00DF406D">
        <w:rPr>
          <w:b/>
          <w:sz w:val="20"/>
          <w:szCs w:val="20"/>
        </w:rPr>
        <w:tab/>
      </w:r>
      <w:r w:rsidRPr="00DF406D">
        <w:rPr>
          <w:sz w:val="20"/>
          <w:szCs w:val="20"/>
        </w:rPr>
        <w:t xml:space="preserve">TI shall provide the following reports to TELUS: </w:t>
      </w:r>
    </w:p>
    <w:p w14:paraId="02AACBF2" w14:textId="77777777" w:rsidR="009629D7" w:rsidRPr="00DF406D" w:rsidRDefault="009629D7" w:rsidP="00DF406D">
      <w:pPr>
        <w:keepNext/>
        <w:spacing w:before="120" w:after="60"/>
        <w:ind w:left="634"/>
        <w:rPr>
          <w:i/>
          <w:sz w:val="20"/>
        </w:rPr>
      </w:pPr>
      <w:r w:rsidRPr="00DF406D">
        <w:rPr>
          <w:i/>
          <w:sz w:val="20"/>
          <w:u w:val="single"/>
        </w:rPr>
        <w:t>able 11.1-1</w:t>
      </w:r>
      <w:r w:rsidRPr="00DF406D">
        <w:rPr>
          <w:i/>
          <w:sz w:val="20"/>
        </w:rPr>
        <w:t>: Reports</w:t>
      </w:r>
    </w:p>
    <w:tbl>
      <w:tblPr>
        <w:tblW w:w="933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15"/>
        <w:gridCol w:w="4723"/>
        <w:gridCol w:w="1595"/>
      </w:tblGrid>
      <w:tr w:rsidR="00DF406D" w:rsidRPr="00DF406D" w14:paraId="5551A1A8" w14:textId="77777777" w:rsidTr="004162A0">
        <w:trPr>
          <w:trHeight w:val="539"/>
        </w:trPr>
        <w:tc>
          <w:tcPr>
            <w:tcW w:w="301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D5EA9CD" w14:textId="77777777" w:rsidR="009629D7" w:rsidRPr="00DF406D" w:rsidRDefault="009629D7" w:rsidP="00DF406D">
            <w:pPr>
              <w:keepNext/>
              <w:widowControl w:val="0"/>
              <w:jc w:val="center"/>
              <w:rPr>
                <w:b/>
                <w:sz w:val="20"/>
              </w:rPr>
            </w:pPr>
            <w:r w:rsidRPr="00DF406D">
              <w:rPr>
                <w:b/>
                <w:sz w:val="20"/>
              </w:rPr>
              <w:t>Report Name</w:t>
            </w:r>
          </w:p>
        </w:tc>
        <w:tc>
          <w:tcPr>
            <w:tcW w:w="472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3A501BA" w14:textId="77777777" w:rsidR="009629D7" w:rsidRPr="00DF406D" w:rsidRDefault="009629D7" w:rsidP="00DF406D">
            <w:pPr>
              <w:keepNext/>
              <w:widowControl w:val="0"/>
              <w:jc w:val="center"/>
              <w:rPr>
                <w:b/>
                <w:sz w:val="20"/>
              </w:rPr>
            </w:pPr>
            <w:r w:rsidRPr="00DF406D">
              <w:rPr>
                <w:b/>
                <w:sz w:val="20"/>
              </w:rPr>
              <w:t>Content/ Scope</w:t>
            </w:r>
          </w:p>
        </w:tc>
        <w:tc>
          <w:tcPr>
            <w:tcW w:w="15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C402ED6" w14:textId="77777777" w:rsidR="009629D7" w:rsidRPr="00DF406D" w:rsidRDefault="009629D7" w:rsidP="00DF406D">
            <w:pPr>
              <w:keepNext/>
              <w:widowControl w:val="0"/>
              <w:jc w:val="center"/>
              <w:rPr>
                <w:b/>
                <w:sz w:val="20"/>
              </w:rPr>
            </w:pPr>
            <w:r w:rsidRPr="00DF406D">
              <w:rPr>
                <w:b/>
                <w:sz w:val="20"/>
              </w:rPr>
              <w:t>Frequency</w:t>
            </w:r>
          </w:p>
        </w:tc>
      </w:tr>
      <w:tr w:rsidR="009629D7" w:rsidRPr="00DF406D" w14:paraId="1BBD03CA" w14:textId="77777777" w:rsidTr="004162A0">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7B382AC" w14:textId="77777777" w:rsidR="009629D7" w:rsidRPr="00DF406D" w:rsidRDefault="009629D7" w:rsidP="00DF406D">
            <w:pPr>
              <w:rPr>
                <w:sz w:val="20"/>
              </w:rPr>
            </w:pPr>
            <w:r w:rsidRPr="00DF406D">
              <w:rPr>
                <w:sz w:val="20"/>
              </w:rPr>
              <w:t>Weekly Status Report (WSR)</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CA8D5C0" w14:textId="77777777" w:rsidR="009629D7" w:rsidRPr="00DF406D" w:rsidRDefault="009629D7" w:rsidP="00DF406D">
            <w:pPr>
              <w:widowControl w:val="0"/>
              <w:rPr>
                <w:sz w:val="20"/>
              </w:rPr>
            </w:pPr>
            <w:r w:rsidRPr="00DF406D">
              <w:rPr>
                <w:sz w:val="20"/>
              </w:rPr>
              <w:t>Reports the accomplishment for the week, plan for the next week and issues if any.</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41D1BB6" w14:textId="77777777" w:rsidR="009629D7" w:rsidRPr="00DF406D" w:rsidRDefault="009629D7" w:rsidP="00DF406D">
            <w:pPr>
              <w:widowControl w:val="0"/>
              <w:jc w:val="center"/>
              <w:rPr>
                <w:sz w:val="20"/>
              </w:rPr>
            </w:pPr>
            <w:r w:rsidRPr="00DF406D">
              <w:rPr>
                <w:sz w:val="20"/>
              </w:rPr>
              <w:t>Weekly</w:t>
            </w:r>
          </w:p>
        </w:tc>
      </w:tr>
    </w:tbl>
    <w:p w14:paraId="3D471ACC" w14:textId="77777777" w:rsidR="00C952D0" w:rsidRPr="00DF406D" w:rsidRDefault="00C952D0" w:rsidP="00DF406D">
      <w:pPr>
        <w:spacing w:after="120"/>
        <w:ind w:left="612" w:hanging="612"/>
        <w:rPr>
          <w:sz w:val="20"/>
          <w:szCs w:val="20"/>
        </w:rPr>
      </w:pPr>
    </w:p>
    <w:p w14:paraId="6BDBE9B6" w14:textId="77777777" w:rsidR="00C952D0" w:rsidRPr="00DF406D" w:rsidRDefault="00C952D0" w:rsidP="00DF406D">
      <w:pPr>
        <w:rPr>
          <w:sz w:val="20"/>
          <w:szCs w:val="20"/>
        </w:rPr>
      </w:pPr>
    </w:p>
    <w:p w14:paraId="6EA1D0A4" w14:textId="77777777" w:rsidR="00C952D0" w:rsidRPr="00DF406D" w:rsidRDefault="008B0FC8" w:rsidP="00DF406D">
      <w:pPr>
        <w:spacing w:after="120"/>
        <w:ind w:left="601" w:hanging="601"/>
        <w:rPr>
          <w:b/>
          <w:smallCaps/>
          <w:sz w:val="20"/>
          <w:szCs w:val="20"/>
        </w:rPr>
      </w:pPr>
      <w:r w:rsidRPr="00DF406D">
        <w:rPr>
          <w:b/>
          <w:smallCaps/>
          <w:sz w:val="20"/>
          <w:szCs w:val="20"/>
        </w:rPr>
        <w:t xml:space="preserve">12.0 </w:t>
      </w:r>
      <w:r w:rsidRPr="00DF406D">
        <w:rPr>
          <w:b/>
          <w:smallCaps/>
          <w:sz w:val="20"/>
          <w:szCs w:val="20"/>
        </w:rPr>
        <w:tab/>
        <w:t>Assumptions and Additional Provisions</w:t>
      </w:r>
    </w:p>
    <w:p w14:paraId="50CE2893" w14:textId="77777777" w:rsidR="00C952D0" w:rsidRPr="00DF406D" w:rsidRDefault="008B0FC8" w:rsidP="00DF406D">
      <w:pPr>
        <w:spacing w:after="120"/>
        <w:ind w:left="619" w:hanging="619"/>
        <w:rPr>
          <w:sz w:val="20"/>
          <w:szCs w:val="20"/>
        </w:rPr>
      </w:pPr>
      <w:r w:rsidRPr="00DF406D">
        <w:rPr>
          <w:sz w:val="20"/>
          <w:szCs w:val="20"/>
        </w:rPr>
        <w:t>12.1</w:t>
      </w:r>
      <w:r w:rsidRPr="00DF406D">
        <w:rPr>
          <w:sz w:val="20"/>
          <w:szCs w:val="20"/>
        </w:rPr>
        <w:tab/>
        <w:t>TI, its Affiliates and their respective Representatives will not, directly or indirectly, store, transfer, transmit, transport, view, access, disclose, process, handle or otherwise use (collectively, “</w:t>
      </w:r>
      <w:r w:rsidRPr="00DF406D">
        <w:rPr>
          <w:b/>
          <w:sz w:val="20"/>
          <w:szCs w:val="20"/>
        </w:rPr>
        <w:t>Handle</w:t>
      </w:r>
      <w:r w:rsidRPr="00DF406D">
        <w:rPr>
          <w:sz w:val="20"/>
          <w:szCs w:val="20"/>
        </w:rPr>
        <w:t>”) any Restricted Data outside of Canada nor will TI provide any Services involving the Handling of Restricted Data from outside of Canada.</w:t>
      </w:r>
    </w:p>
    <w:p w14:paraId="0FF77921" w14:textId="77777777" w:rsidR="00C952D0" w:rsidRPr="00DF406D" w:rsidRDefault="008B0FC8" w:rsidP="00DF406D">
      <w:pPr>
        <w:numPr>
          <w:ilvl w:val="0"/>
          <w:numId w:val="19"/>
        </w:numPr>
        <w:pBdr>
          <w:top w:val="nil"/>
          <w:left w:val="nil"/>
          <w:bottom w:val="nil"/>
          <w:right w:val="nil"/>
          <w:between w:val="nil"/>
        </w:pBdr>
        <w:contextualSpacing/>
        <w:rPr>
          <w:sz w:val="20"/>
          <w:szCs w:val="20"/>
        </w:rPr>
      </w:pPr>
      <w:r w:rsidRPr="00DF406D">
        <w:rPr>
          <w:sz w:val="20"/>
          <w:szCs w:val="20"/>
        </w:rPr>
        <w:t>“</w:t>
      </w:r>
      <w:r w:rsidRPr="00DF406D">
        <w:rPr>
          <w:b/>
          <w:sz w:val="20"/>
          <w:szCs w:val="20"/>
        </w:rPr>
        <w:t>Restricted Data</w:t>
      </w:r>
      <w:r w:rsidRPr="00DF406D">
        <w:rPr>
          <w:sz w:val="20"/>
          <w:szCs w:val="20"/>
        </w:rPr>
        <w:t xml:space="preserve">”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TI as a result of any actions under or in respect of this SOW (including as part of TI’s provision, or TELUS’ receipt, of the Services or products contemplated herein); and </w:t>
      </w:r>
    </w:p>
    <w:p w14:paraId="23EEA5C8" w14:textId="77777777" w:rsidR="00C952D0" w:rsidRPr="00DF406D" w:rsidRDefault="008B0FC8" w:rsidP="00DF406D">
      <w:pPr>
        <w:numPr>
          <w:ilvl w:val="0"/>
          <w:numId w:val="19"/>
        </w:numPr>
        <w:pBdr>
          <w:top w:val="nil"/>
          <w:left w:val="nil"/>
          <w:bottom w:val="nil"/>
          <w:right w:val="nil"/>
          <w:between w:val="nil"/>
        </w:pBdr>
        <w:spacing w:after="120"/>
        <w:contextualSpacing/>
        <w:rPr>
          <w:sz w:val="20"/>
          <w:szCs w:val="20"/>
        </w:rPr>
      </w:pPr>
      <w:r w:rsidRPr="00DF406D">
        <w:rPr>
          <w:sz w:val="20"/>
          <w:szCs w:val="20"/>
        </w:rPr>
        <w:t>“</w:t>
      </w:r>
      <w:r w:rsidRPr="00DF406D">
        <w:rPr>
          <w:b/>
          <w:sz w:val="20"/>
          <w:szCs w:val="20"/>
        </w:rPr>
        <w:t>TELUS Customer</w:t>
      </w:r>
      <w:r w:rsidRPr="00DF406D">
        <w:rPr>
          <w:sz w:val="20"/>
          <w:szCs w:val="20"/>
        </w:rPr>
        <w:t>” means any current (at any time during the term of this SOW) or former customer of TELUS or of any TELUS Affiliate.</w:t>
      </w:r>
    </w:p>
    <w:p w14:paraId="155AA561" w14:textId="77777777" w:rsidR="00C952D0" w:rsidRPr="00DF406D" w:rsidRDefault="008B0FC8" w:rsidP="00DF406D">
      <w:pPr>
        <w:ind w:left="621" w:hanging="603"/>
        <w:rPr>
          <w:sz w:val="20"/>
          <w:szCs w:val="20"/>
        </w:rPr>
      </w:pPr>
      <w:r w:rsidRPr="00DF406D">
        <w:rPr>
          <w:sz w:val="20"/>
          <w:szCs w:val="20"/>
        </w:rPr>
        <w:t>12.2</w:t>
      </w:r>
      <w:r w:rsidRPr="00DF406D">
        <w:rPr>
          <w:sz w:val="20"/>
          <w:szCs w:val="20"/>
        </w:rPr>
        <w:tab/>
        <w:t>All information and correspondence (e-mail, meetings, application interviews, teleconferences, application documentation, application code, test products, deliverables, etc.) will, as applicable, be in excellent written and spoken English.</w:t>
      </w:r>
    </w:p>
    <w:p w14:paraId="518724CC" w14:textId="77777777" w:rsidR="00C952D0" w:rsidRPr="00DF406D" w:rsidRDefault="00C952D0" w:rsidP="00DF406D">
      <w:pPr>
        <w:ind w:left="634" w:hanging="634"/>
        <w:rPr>
          <w:sz w:val="20"/>
          <w:szCs w:val="20"/>
        </w:rPr>
      </w:pPr>
    </w:p>
    <w:p w14:paraId="489B868B" w14:textId="77777777" w:rsidR="00C952D0" w:rsidRPr="00DF406D" w:rsidRDefault="008B0FC8" w:rsidP="00DF406D">
      <w:pPr>
        <w:ind w:left="621" w:right="-45" w:hanging="621"/>
        <w:rPr>
          <w:sz w:val="20"/>
          <w:szCs w:val="20"/>
        </w:rPr>
      </w:pPr>
      <w:r w:rsidRPr="00DF406D">
        <w:rPr>
          <w:sz w:val="20"/>
          <w:szCs w:val="20"/>
        </w:rPr>
        <w:t>12.3</w:t>
      </w:r>
      <w:r w:rsidRPr="00DF406D">
        <w:rPr>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11855392" w14:textId="77777777" w:rsidR="00C952D0" w:rsidRPr="00DF406D" w:rsidRDefault="00C952D0" w:rsidP="00DF406D">
      <w:pPr>
        <w:ind w:left="621" w:right="-45" w:hanging="621"/>
        <w:rPr>
          <w:b/>
          <w:sz w:val="20"/>
          <w:szCs w:val="20"/>
        </w:rPr>
      </w:pPr>
    </w:p>
    <w:p w14:paraId="42E3D00C" w14:textId="77777777" w:rsidR="00C952D0" w:rsidRPr="00DF406D" w:rsidRDefault="008B0FC8" w:rsidP="00DF406D">
      <w:pPr>
        <w:spacing w:after="120"/>
        <w:ind w:left="619" w:right="-43" w:hanging="619"/>
        <w:rPr>
          <w:sz w:val="20"/>
          <w:szCs w:val="20"/>
        </w:rPr>
      </w:pPr>
      <w:r w:rsidRPr="00DF406D">
        <w:rPr>
          <w:sz w:val="20"/>
          <w:szCs w:val="20"/>
        </w:rPr>
        <w:t>12.4</w:t>
      </w:r>
      <w:r w:rsidRPr="00DF406D">
        <w:rPr>
          <w:sz w:val="20"/>
          <w:szCs w:val="20"/>
        </w:rPr>
        <w:tab/>
        <w:t>Further to</w:t>
      </w:r>
      <w:r w:rsidRPr="00DF406D">
        <w:rPr>
          <w:b/>
          <w:sz w:val="20"/>
          <w:szCs w:val="20"/>
        </w:rPr>
        <w:t xml:space="preserve"> </w:t>
      </w:r>
      <w:r w:rsidRPr="00DF406D">
        <w:rPr>
          <w:sz w:val="20"/>
          <w:szCs w:val="2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w:t>
      </w:r>
      <w:r w:rsidRPr="00DF406D">
        <w:rPr>
          <w:sz w:val="20"/>
          <w:szCs w:val="20"/>
        </w:rPr>
        <w:lastRenderedPageBreak/>
        <w:t>purpose of performing the Services. TI furthermore agrees to retain aforementioned documentation on file for such period of time as specified by TELUS Corporate Security.</w:t>
      </w:r>
    </w:p>
    <w:p w14:paraId="38B12531" w14:textId="77777777" w:rsidR="00C952D0" w:rsidRPr="00DF406D" w:rsidRDefault="008B0FC8" w:rsidP="00DF406D">
      <w:pPr>
        <w:ind w:left="630" w:right="-45" w:hanging="7"/>
        <w:rPr>
          <w:sz w:val="20"/>
          <w:szCs w:val="20"/>
        </w:rPr>
      </w:pPr>
      <w:r w:rsidRPr="00DF406D">
        <w:rPr>
          <w:sz w:val="20"/>
          <w:szCs w:val="20"/>
        </w:rPr>
        <w:t xml:space="preserve">In addition, TI Manager will coordinate all necessary onboarding/ </w:t>
      </w:r>
      <w:proofErr w:type="spellStart"/>
      <w:r w:rsidRPr="00DF406D">
        <w:rPr>
          <w:sz w:val="20"/>
          <w:szCs w:val="20"/>
        </w:rPr>
        <w:t>offboarding</w:t>
      </w:r>
      <w:proofErr w:type="spellEnd"/>
      <w:r w:rsidRPr="00DF406D">
        <w:rPr>
          <w:sz w:val="20"/>
          <w:szCs w:val="20"/>
        </w:rPr>
        <w:t xml:space="preserve"> activities, for </w:t>
      </w:r>
      <w:proofErr w:type="gramStart"/>
      <w:r w:rsidRPr="00DF406D">
        <w:rPr>
          <w:sz w:val="20"/>
          <w:szCs w:val="20"/>
        </w:rPr>
        <w:t>TI  Representatives</w:t>
      </w:r>
      <w:proofErr w:type="gramEnd"/>
      <w:r w:rsidRPr="00DF406D">
        <w:rPr>
          <w:sz w:val="20"/>
          <w:szCs w:val="20"/>
        </w:rPr>
        <w:t>, with TELUS Manager and all relevant other TELUS departmental organizations.</w:t>
      </w:r>
    </w:p>
    <w:p w14:paraId="51A14731" w14:textId="77777777" w:rsidR="00D54773" w:rsidRPr="00DF406D" w:rsidRDefault="00D54773" w:rsidP="00DF406D">
      <w:pPr>
        <w:ind w:left="630" w:right="-45" w:hanging="7"/>
        <w:rPr>
          <w:sz w:val="20"/>
          <w:szCs w:val="20"/>
        </w:rPr>
      </w:pPr>
    </w:p>
    <w:p w14:paraId="598B574F" w14:textId="77777777" w:rsidR="00D54773" w:rsidRPr="00DF406D" w:rsidRDefault="00D54773" w:rsidP="00DF406D">
      <w:pPr>
        <w:spacing w:after="120"/>
        <w:ind w:left="603" w:hanging="603"/>
        <w:rPr>
          <w:sz w:val="20"/>
          <w:szCs w:val="20"/>
        </w:rPr>
      </w:pPr>
      <w:r w:rsidRPr="00DF406D">
        <w:rPr>
          <w:sz w:val="20"/>
          <w:szCs w:val="20"/>
        </w:rPr>
        <w:t>12.5</w:t>
      </w:r>
      <w:r w:rsidRPr="00DF406D">
        <w:rPr>
          <w:sz w:val="20"/>
          <w:szCs w:val="20"/>
        </w:rPr>
        <w:tab/>
        <w:t>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7EEC918D" w14:textId="77777777" w:rsidR="00C952D0" w:rsidRPr="00DF406D" w:rsidRDefault="00C952D0" w:rsidP="00DF406D">
      <w:pPr>
        <w:ind w:left="504" w:hanging="619"/>
        <w:rPr>
          <w:sz w:val="20"/>
          <w:szCs w:val="20"/>
        </w:rPr>
      </w:pPr>
    </w:p>
    <w:p w14:paraId="5498DCBC" w14:textId="23FCE23F" w:rsidR="00C952D0" w:rsidRPr="00DF406D" w:rsidRDefault="008B0FC8" w:rsidP="00DF406D">
      <w:pPr>
        <w:spacing w:after="120"/>
        <w:ind w:left="603" w:hanging="603"/>
        <w:rPr>
          <w:sz w:val="20"/>
          <w:szCs w:val="20"/>
        </w:rPr>
      </w:pPr>
      <w:r w:rsidRPr="00DF406D">
        <w:rPr>
          <w:sz w:val="20"/>
          <w:szCs w:val="20"/>
        </w:rPr>
        <w:t>12.</w:t>
      </w:r>
      <w:r w:rsidR="00D54773" w:rsidRPr="00DF406D">
        <w:rPr>
          <w:sz w:val="20"/>
          <w:szCs w:val="20"/>
        </w:rPr>
        <w:t>6</w:t>
      </w:r>
      <w:r w:rsidRPr="00DF406D">
        <w:rPr>
          <w:sz w:val="20"/>
          <w:szCs w:val="20"/>
        </w:rPr>
        <w:tab/>
        <w:t>The following assumptions are asserted as part of this SOW:</w:t>
      </w:r>
    </w:p>
    <w:p w14:paraId="075904B9" w14:textId="77777777" w:rsidR="00C952D0" w:rsidRPr="00DF406D" w:rsidRDefault="00335567" w:rsidP="00DF406D">
      <w:pPr>
        <w:ind w:left="600"/>
        <w:rPr>
          <w:i/>
          <w:sz w:val="20"/>
          <w:szCs w:val="20"/>
        </w:rPr>
      </w:pPr>
      <w:r w:rsidRPr="00DF406D">
        <w:rPr>
          <w:i/>
          <w:sz w:val="20"/>
          <w:szCs w:val="20"/>
        </w:rPr>
        <w:t>NA</w:t>
      </w:r>
    </w:p>
    <w:p w14:paraId="7D16DA4F" w14:textId="77777777" w:rsidR="00BC79B2" w:rsidRPr="00DF406D" w:rsidRDefault="00BC79B2" w:rsidP="00DF406D">
      <w:pPr>
        <w:ind w:left="600"/>
        <w:rPr>
          <w:i/>
          <w:sz w:val="20"/>
          <w:szCs w:val="20"/>
        </w:rPr>
      </w:pPr>
    </w:p>
    <w:p w14:paraId="70C2163C" w14:textId="77777777" w:rsidR="00C952D0" w:rsidRPr="00DF406D" w:rsidRDefault="008B0FC8" w:rsidP="00DF406D">
      <w:pPr>
        <w:spacing w:after="240"/>
        <w:ind w:left="601" w:hanging="601"/>
        <w:rPr>
          <w:b/>
          <w:smallCaps/>
          <w:sz w:val="20"/>
          <w:szCs w:val="20"/>
        </w:rPr>
      </w:pPr>
      <w:r w:rsidRPr="00DF406D">
        <w:rPr>
          <w:b/>
          <w:smallCaps/>
          <w:sz w:val="20"/>
          <w:szCs w:val="20"/>
        </w:rPr>
        <w:t xml:space="preserve">13.0 </w:t>
      </w:r>
      <w:r w:rsidRPr="00DF406D">
        <w:rPr>
          <w:b/>
          <w:smallCaps/>
          <w:sz w:val="20"/>
          <w:szCs w:val="20"/>
        </w:rPr>
        <w:tab/>
        <w:t>Addresses for Administration and Invoicing</w:t>
      </w:r>
    </w:p>
    <w:tbl>
      <w:tblPr>
        <w:tblStyle w:val="a6"/>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DF406D" w:rsidRPr="00C72B64" w14:paraId="4A9F8A11" w14:textId="77777777">
        <w:trPr>
          <w:trHeight w:val="1940"/>
        </w:trPr>
        <w:tc>
          <w:tcPr>
            <w:tcW w:w="4680" w:type="dxa"/>
          </w:tcPr>
          <w:p w14:paraId="60DC00A5" w14:textId="77777777" w:rsidR="00C952D0" w:rsidRPr="00DF406D" w:rsidRDefault="008B0FC8" w:rsidP="00DF406D">
            <w:pPr>
              <w:ind w:left="648" w:right="-461" w:firstLine="72"/>
              <w:rPr>
                <w:rFonts w:ascii="Arial" w:hAnsi="Arial" w:cs="Arial"/>
                <w:b/>
                <w:color w:val="auto"/>
                <w:lang w:val="fr-FR"/>
              </w:rPr>
            </w:pPr>
            <w:r w:rsidRPr="00DF406D">
              <w:rPr>
                <w:b/>
                <w:color w:val="auto"/>
                <w:lang w:val="fr-FR"/>
              </w:rPr>
              <w:t>TELUS Communications Inc.</w:t>
            </w:r>
          </w:p>
          <w:p w14:paraId="731195BA" w14:textId="77777777" w:rsidR="00C952D0" w:rsidRPr="00DF406D" w:rsidRDefault="00C952D0" w:rsidP="00DF406D">
            <w:pPr>
              <w:ind w:left="648" w:right="-461" w:firstLine="72"/>
              <w:rPr>
                <w:rFonts w:ascii="Arial" w:hAnsi="Arial" w:cs="Arial"/>
                <w:color w:val="auto"/>
                <w:lang w:val="fr-FR"/>
              </w:rPr>
            </w:pPr>
          </w:p>
          <w:p w14:paraId="57A07ACB" w14:textId="77777777" w:rsidR="00C952D0" w:rsidRPr="00DF406D" w:rsidRDefault="00C952D0" w:rsidP="00DF406D">
            <w:pPr>
              <w:ind w:left="648" w:right="-461" w:firstLine="72"/>
              <w:rPr>
                <w:rFonts w:ascii="Arial" w:hAnsi="Arial" w:cs="Arial"/>
                <w:i/>
                <w:color w:val="auto"/>
                <w:u w:val="single"/>
                <w:lang w:val="fr-FR"/>
              </w:rPr>
            </w:pPr>
          </w:p>
          <w:p w14:paraId="429394D0" w14:textId="77777777" w:rsidR="00C952D0" w:rsidRPr="00B53569" w:rsidRDefault="008B0FC8" w:rsidP="00DF406D">
            <w:pPr>
              <w:ind w:left="648" w:right="-461" w:firstLine="72"/>
              <w:rPr>
                <w:rFonts w:ascii="Arial" w:hAnsi="Arial" w:cs="Arial"/>
                <w:color w:val="auto"/>
                <w:lang w:val="fr-CA"/>
              </w:rPr>
            </w:pPr>
            <w:r w:rsidRPr="00B53569">
              <w:rPr>
                <w:rFonts w:ascii="Arial" w:hAnsi="Arial" w:cs="Arial"/>
                <w:i/>
                <w:color w:val="auto"/>
                <w:u w:val="single"/>
                <w:lang w:val="fr-CA"/>
              </w:rPr>
              <w:t>Attention</w:t>
            </w:r>
            <w:r w:rsidRPr="00B53569">
              <w:rPr>
                <w:rFonts w:ascii="Arial" w:hAnsi="Arial" w:cs="Arial"/>
                <w:i/>
                <w:color w:val="auto"/>
                <w:lang w:val="fr-CA"/>
              </w:rPr>
              <w:t xml:space="preserve">: TELUS </w:t>
            </w:r>
            <w:proofErr w:type="spellStart"/>
            <w:r w:rsidRPr="00B53569">
              <w:rPr>
                <w:rFonts w:ascii="Arial" w:hAnsi="Arial" w:cs="Arial"/>
                <w:i/>
                <w:color w:val="auto"/>
                <w:lang w:val="fr-CA"/>
              </w:rPr>
              <w:t>Accounts</w:t>
            </w:r>
            <w:proofErr w:type="spellEnd"/>
            <w:r w:rsidRPr="00B53569">
              <w:rPr>
                <w:rFonts w:ascii="Arial" w:hAnsi="Arial" w:cs="Arial"/>
                <w:i/>
                <w:color w:val="auto"/>
                <w:lang w:val="fr-CA"/>
              </w:rPr>
              <w:t xml:space="preserve"> Payable</w:t>
            </w:r>
          </w:p>
        </w:tc>
        <w:tc>
          <w:tcPr>
            <w:tcW w:w="4680" w:type="dxa"/>
          </w:tcPr>
          <w:p w14:paraId="32C0CBF3" w14:textId="1C8F841C" w:rsidR="00C952D0" w:rsidRPr="00DF406D" w:rsidRDefault="00B53569" w:rsidP="00DF406D">
            <w:pPr>
              <w:ind w:left="720"/>
              <w:jc w:val="left"/>
              <w:rPr>
                <w:rFonts w:ascii="Arial" w:hAnsi="Arial" w:cs="Arial"/>
                <w:b/>
                <w:color w:val="auto"/>
                <w:lang w:val="fr-FR"/>
              </w:rPr>
            </w:pPr>
            <w:proofErr w:type="spellStart"/>
            <w:r>
              <w:t>smth</w:t>
            </w:r>
            <w:proofErr w:type="spellEnd"/>
            <w:r w:rsidRPr="00DF406D">
              <w:t xml:space="preserve"> </w:t>
            </w:r>
            <w:r w:rsidR="008B0FC8" w:rsidRPr="00DF406D">
              <w:rPr>
                <w:b/>
                <w:color w:val="auto"/>
                <w:lang w:val="fr-FR"/>
              </w:rPr>
              <w:t>(</w:t>
            </w:r>
            <w:proofErr w:type="spellStart"/>
            <w:r w:rsidR="008B0FC8" w:rsidRPr="00DF406D">
              <w:rPr>
                <w:b/>
                <w:color w:val="auto"/>
                <w:lang w:val="fr-FR"/>
              </w:rPr>
              <w:t>Cda</w:t>
            </w:r>
            <w:proofErr w:type="spellEnd"/>
            <w:r w:rsidR="008B0FC8" w:rsidRPr="00DF406D">
              <w:rPr>
                <w:b/>
                <w:color w:val="auto"/>
                <w:lang w:val="fr-FR"/>
              </w:rPr>
              <w:t>) Inc.</w:t>
            </w:r>
          </w:p>
          <w:p w14:paraId="295D01B2" w14:textId="77777777" w:rsidR="00C952D0" w:rsidRPr="00DF406D" w:rsidRDefault="00C952D0" w:rsidP="00DF406D">
            <w:pPr>
              <w:ind w:left="720"/>
              <w:rPr>
                <w:rFonts w:ascii="Arial" w:hAnsi="Arial" w:cs="Arial"/>
                <w:color w:val="auto"/>
                <w:lang w:val="fr-FR"/>
              </w:rPr>
            </w:pPr>
          </w:p>
          <w:p w14:paraId="301BBC57" w14:textId="77777777" w:rsidR="00C952D0" w:rsidRPr="00DF406D" w:rsidRDefault="00C952D0" w:rsidP="00DF406D">
            <w:pPr>
              <w:ind w:left="720"/>
              <w:rPr>
                <w:rFonts w:ascii="Arial" w:hAnsi="Arial" w:cs="Arial"/>
                <w:i/>
                <w:color w:val="auto"/>
                <w:u w:val="single"/>
                <w:lang w:val="fr-FR"/>
              </w:rPr>
            </w:pPr>
          </w:p>
          <w:p w14:paraId="331513A6" w14:textId="77777777" w:rsidR="00C952D0" w:rsidRPr="00DF406D" w:rsidRDefault="008B0FC8" w:rsidP="00DF406D">
            <w:pPr>
              <w:ind w:left="720"/>
              <w:rPr>
                <w:rFonts w:ascii="Arial" w:hAnsi="Arial" w:cs="Arial"/>
                <w:color w:val="auto"/>
                <w:lang w:val="fr-FR"/>
              </w:rPr>
            </w:pPr>
            <w:r w:rsidRPr="00DF406D">
              <w:rPr>
                <w:i/>
                <w:color w:val="auto"/>
                <w:u w:val="single"/>
                <w:lang w:val="fr-FR"/>
              </w:rPr>
              <w:t>Attention:</w:t>
            </w:r>
            <w:r w:rsidRPr="00DF406D">
              <w:rPr>
                <w:color w:val="auto"/>
                <w:lang w:val="fr-FR"/>
              </w:rPr>
              <w:t xml:space="preserve"> </w:t>
            </w:r>
            <w:r w:rsidRPr="00DF406D">
              <w:rPr>
                <w:i/>
                <w:color w:val="auto"/>
                <w:lang w:val="fr-FR"/>
              </w:rPr>
              <w:t xml:space="preserve">Finance </w:t>
            </w:r>
            <w:proofErr w:type="spellStart"/>
            <w:r w:rsidRPr="00DF406D">
              <w:rPr>
                <w:i/>
                <w:color w:val="auto"/>
                <w:lang w:val="fr-FR"/>
              </w:rPr>
              <w:t>Director</w:t>
            </w:r>
            <w:proofErr w:type="spellEnd"/>
          </w:p>
        </w:tc>
      </w:tr>
    </w:tbl>
    <w:p w14:paraId="658081F2" w14:textId="77777777" w:rsidR="00C952D0" w:rsidRPr="00DF406D" w:rsidRDefault="00C952D0" w:rsidP="00DF406D">
      <w:pPr>
        <w:tabs>
          <w:tab w:val="left" w:pos="6691"/>
        </w:tabs>
        <w:spacing w:after="120"/>
        <w:ind w:left="603" w:hanging="603"/>
        <w:rPr>
          <w:b/>
          <w:smallCaps/>
          <w:sz w:val="20"/>
          <w:szCs w:val="20"/>
          <w:lang w:val="fr-FR"/>
        </w:rPr>
      </w:pPr>
    </w:p>
    <w:p w14:paraId="0E05FD9B" w14:textId="77777777" w:rsidR="00C952D0" w:rsidRPr="00DF406D" w:rsidRDefault="00C952D0" w:rsidP="00DF406D">
      <w:pPr>
        <w:tabs>
          <w:tab w:val="left" w:pos="6691"/>
        </w:tabs>
        <w:spacing w:after="120"/>
        <w:rPr>
          <w:b/>
          <w:smallCaps/>
          <w:sz w:val="20"/>
          <w:szCs w:val="20"/>
          <w:lang w:val="fr-FR"/>
        </w:rPr>
      </w:pPr>
    </w:p>
    <w:p w14:paraId="16DECAE0" w14:textId="77777777" w:rsidR="00C952D0" w:rsidRPr="00DF406D" w:rsidRDefault="008B0FC8" w:rsidP="00DF406D">
      <w:pPr>
        <w:tabs>
          <w:tab w:val="left" w:pos="6691"/>
        </w:tabs>
        <w:spacing w:after="120"/>
        <w:ind w:left="603" w:hanging="603"/>
        <w:rPr>
          <w:b/>
          <w:smallCaps/>
          <w:sz w:val="20"/>
          <w:szCs w:val="20"/>
        </w:rPr>
      </w:pPr>
      <w:r w:rsidRPr="00DF406D">
        <w:rPr>
          <w:b/>
          <w:smallCaps/>
          <w:sz w:val="20"/>
          <w:szCs w:val="20"/>
        </w:rPr>
        <w:t xml:space="preserve">14.0 </w:t>
      </w:r>
      <w:r w:rsidRPr="00DF406D">
        <w:rPr>
          <w:b/>
          <w:smallCaps/>
          <w:sz w:val="20"/>
          <w:szCs w:val="20"/>
        </w:rPr>
        <w:tab/>
        <w:t>Agreement</w:t>
      </w:r>
    </w:p>
    <w:p w14:paraId="7C19A340" w14:textId="77777777" w:rsidR="00C952D0" w:rsidRPr="00DF406D" w:rsidRDefault="008B0FC8" w:rsidP="00DF406D">
      <w:pPr>
        <w:tabs>
          <w:tab w:val="left" w:pos="6691"/>
        </w:tabs>
        <w:spacing w:before="240" w:after="120"/>
        <w:ind w:left="603" w:hanging="589"/>
        <w:rPr>
          <w:sz w:val="20"/>
          <w:szCs w:val="20"/>
        </w:rPr>
      </w:pPr>
      <w:r w:rsidRPr="00DF406D">
        <w:rPr>
          <w:sz w:val="20"/>
          <w:szCs w:val="20"/>
        </w:rPr>
        <w:t>14.1</w:t>
      </w:r>
      <w:r w:rsidRPr="00DF406D">
        <w:rPr>
          <w:sz w:val="20"/>
          <w:szCs w:val="20"/>
        </w:rPr>
        <w:tab/>
        <w:t>The Parties acknowledge and agree that the terms and conditions of the Agreement shall govern this Statement of Work.</w:t>
      </w:r>
    </w:p>
    <w:p w14:paraId="7E98D112" w14:textId="77777777" w:rsidR="00C952D0" w:rsidRPr="00DF406D" w:rsidRDefault="008B0FC8" w:rsidP="00DF406D">
      <w:pPr>
        <w:ind w:left="616" w:hanging="616"/>
        <w:rPr>
          <w:sz w:val="20"/>
          <w:szCs w:val="20"/>
        </w:rPr>
      </w:pPr>
      <w:r w:rsidRPr="00DF406D">
        <w:rPr>
          <w:sz w:val="20"/>
          <w:szCs w:val="20"/>
        </w:rPr>
        <w:t>14.2</w:t>
      </w:r>
      <w:r w:rsidRPr="00DF406D">
        <w:rPr>
          <w:sz w:val="20"/>
          <w:szCs w:val="20"/>
        </w:rPr>
        <w:tab/>
      </w:r>
      <w:r w:rsidRPr="00DF406D">
        <w:rPr>
          <w:b/>
          <w:sz w:val="20"/>
          <w:szCs w:val="20"/>
        </w:rPr>
        <w:t xml:space="preserve">Counterparts. </w:t>
      </w:r>
      <w:r w:rsidRPr="00DF406D">
        <w:rPr>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4799A570" w14:textId="77777777" w:rsidR="00C952D0" w:rsidRPr="00DF406D" w:rsidRDefault="00C952D0" w:rsidP="00DF406D">
      <w:pPr>
        <w:tabs>
          <w:tab w:val="left" w:pos="6691"/>
        </w:tabs>
        <w:rPr>
          <w:sz w:val="20"/>
          <w:szCs w:val="20"/>
        </w:rPr>
      </w:pPr>
    </w:p>
    <w:p w14:paraId="6C6C83F0" w14:textId="77777777" w:rsidR="00C952D0" w:rsidRPr="00DF406D" w:rsidRDefault="00C952D0" w:rsidP="00DF406D">
      <w:pPr>
        <w:tabs>
          <w:tab w:val="left" w:pos="6691"/>
        </w:tabs>
        <w:rPr>
          <w:sz w:val="20"/>
          <w:szCs w:val="20"/>
        </w:rPr>
      </w:pPr>
    </w:p>
    <w:p w14:paraId="1A0E8E9E" w14:textId="77777777" w:rsidR="00C952D0" w:rsidRPr="00DF406D" w:rsidRDefault="008B0FC8" w:rsidP="00DF406D">
      <w:pPr>
        <w:tabs>
          <w:tab w:val="left" w:pos="6691"/>
        </w:tabs>
        <w:rPr>
          <w:sz w:val="20"/>
          <w:szCs w:val="20"/>
        </w:rPr>
      </w:pPr>
      <w:r w:rsidRPr="00DF406D">
        <w:rPr>
          <w:sz w:val="20"/>
          <w:szCs w:val="20"/>
        </w:rPr>
        <w:t xml:space="preserve">Agreed and Accepted: </w:t>
      </w:r>
    </w:p>
    <w:p w14:paraId="3B8203C3" w14:textId="77777777" w:rsidR="00C952D0" w:rsidRPr="00DF406D" w:rsidRDefault="00C952D0" w:rsidP="00DF406D">
      <w:pPr>
        <w:tabs>
          <w:tab w:val="left" w:pos="6691"/>
        </w:tabs>
        <w:rPr>
          <w:sz w:val="20"/>
          <w:szCs w:val="20"/>
        </w:rPr>
      </w:pPr>
    </w:p>
    <w:tbl>
      <w:tblPr>
        <w:tblStyle w:val="a7"/>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3"/>
        <w:gridCol w:w="5316"/>
      </w:tblGrid>
      <w:tr w:rsidR="00C952D0" w:rsidRPr="00DF406D" w14:paraId="7B6346F8" w14:textId="77777777">
        <w:tc>
          <w:tcPr>
            <w:tcW w:w="4323" w:type="dxa"/>
          </w:tcPr>
          <w:p w14:paraId="05D72ACF" w14:textId="77777777" w:rsidR="00C952D0" w:rsidRPr="00DF406D" w:rsidRDefault="008B0FC8" w:rsidP="00DF406D">
            <w:pPr>
              <w:rPr>
                <w:b/>
                <w:color w:val="auto"/>
              </w:rPr>
            </w:pPr>
            <w:r w:rsidRPr="00DF406D">
              <w:rPr>
                <w:b/>
                <w:color w:val="auto"/>
              </w:rPr>
              <w:t>TELUS Communications Inc.</w:t>
            </w:r>
          </w:p>
          <w:p w14:paraId="2A91E7F2" w14:textId="77777777" w:rsidR="00C952D0" w:rsidRPr="00DF406D" w:rsidRDefault="00C952D0" w:rsidP="00DF406D">
            <w:pPr>
              <w:rPr>
                <w:color w:val="auto"/>
              </w:rPr>
            </w:pPr>
          </w:p>
          <w:p w14:paraId="3A7BF0DA" w14:textId="77777777" w:rsidR="00C952D0" w:rsidRPr="00DF406D" w:rsidRDefault="00C952D0" w:rsidP="00DF406D">
            <w:pPr>
              <w:rPr>
                <w:color w:val="auto"/>
              </w:rPr>
            </w:pPr>
          </w:p>
          <w:p w14:paraId="3FD3AF0A" w14:textId="77777777" w:rsidR="00C952D0" w:rsidRPr="00DF406D" w:rsidRDefault="008B0FC8" w:rsidP="00DF406D">
            <w:pPr>
              <w:rPr>
                <w:color w:val="auto"/>
              </w:rPr>
            </w:pPr>
            <w:r w:rsidRPr="00DF406D">
              <w:rPr>
                <w:color w:val="auto"/>
              </w:rPr>
              <w:t>By:        ________________________</w:t>
            </w:r>
          </w:p>
          <w:p w14:paraId="36EEF64A" w14:textId="77777777" w:rsidR="00C952D0" w:rsidRPr="00DF406D" w:rsidRDefault="00C952D0" w:rsidP="00DF406D">
            <w:pPr>
              <w:rPr>
                <w:color w:val="auto"/>
              </w:rPr>
            </w:pPr>
          </w:p>
          <w:p w14:paraId="086B3EB1" w14:textId="77777777" w:rsidR="00C952D0" w:rsidRPr="00DF406D" w:rsidRDefault="008B0FC8" w:rsidP="00DF406D">
            <w:pPr>
              <w:rPr>
                <w:color w:val="auto"/>
              </w:rPr>
            </w:pPr>
            <w:r w:rsidRPr="00DF406D">
              <w:rPr>
                <w:color w:val="auto"/>
              </w:rPr>
              <w:t>Printed: ________________________</w:t>
            </w:r>
          </w:p>
          <w:p w14:paraId="1550BC8F" w14:textId="77777777" w:rsidR="00C952D0" w:rsidRPr="00DF406D" w:rsidRDefault="00C952D0" w:rsidP="00DF406D">
            <w:pPr>
              <w:rPr>
                <w:color w:val="auto"/>
              </w:rPr>
            </w:pPr>
          </w:p>
          <w:p w14:paraId="555E6C86" w14:textId="77777777" w:rsidR="00C952D0" w:rsidRPr="00DF406D" w:rsidRDefault="008B0FC8" w:rsidP="00DF406D">
            <w:pPr>
              <w:rPr>
                <w:color w:val="auto"/>
              </w:rPr>
            </w:pPr>
            <w:r w:rsidRPr="00DF406D">
              <w:rPr>
                <w:color w:val="auto"/>
              </w:rPr>
              <w:t>Title:     ________________________</w:t>
            </w:r>
          </w:p>
          <w:p w14:paraId="227641D3" w14:textId="77777777" w:rsidR="00C952D0" w:rsidRPr="00DF406D" w:rsidRDefault="00C952D0" w:rsidP="00DF406D">
            <w:pPr>
              <w:rPr>
                <w:color w:val="auto"/>
              </w:rPr>
            </w:pPr>
          </w:p>
          <w:p w14:paraId="2DC7F9C5" w14:textId="77777777" w:rsidR="00C952D0" w:rsidRPr="00DF406D" w:rsidRDefault="008B0FC8" w:rsidP="00DF406D">
            <w:pPr>
              <w:rPr>
                <w:color w:val="auto"/>
              </w:rPr>
            </w:pPr>
            <w:r w:rsidRPr="00DF406D">
              <w:rPr>
                <w:color w:val="auto"/>
              </w:rPr>
              <w:t>Date:    ________________________</w:t>
            </w:r>
          </w:p>
        </w:tc>
        <w:tc>
          <w:tcPr>
            <w:tcW w:w="5316" w:type="dxa"/>
          </w:tcPr>
          <w:p w14:paraId="6BC5C44B" w14:textId="750F16A6" w:rsidR="00C952D0" w:rsidRPr="00DF406D" w:rsidRDefault="00B53569" w:rsidP="00DF406D">
            <w:pPr>
              <w:ind w:left="720"/>
              <w:jc w:val="left"/>
              <w:rPr>
                <w:b/>
                <w:color w:val="auto"/>
              </w:rPr>
            </w:pPr>
            <w:proofErr w:type="spellStart"/>
            <w:r>
              <w:t>smth</w:t>
            </w:r>
            <w:proofErr w:type="spellEnd"/>
            <w:r w:rsidRPr="00DF406D">
              <w:t xml:space="preserve"> </w:t>
            </w:r>
            <w:r w:rsidR="008B0FC8" w:rsidRPr="00DF406D">
              <w:rPr>
                <w:b/>
                <w:color w:val="auto"/>
              </w:rPr>
              <w:t>(</w:t>
            </w:r>
            <w:proofErr w:type="spellStart"/>
            <w:r w:rsidR="008B0FC8" w:rsidRPr="00DF406D">
              <w:rPr>
                <w:b/>
                <w:color w:val="auto"/>
              </w:rPr>
              <w:t>Cda</w:t>
            </w:r>
            <w:proofErr w:type="spellEnd"/>
            <w:r w:rsidR="008B0FC8" w:rsidRPr="00DF406D">
              <w:rPr>
                <w:b/>
                <w:color w:val="auto"/>
              </w:rPr>
              <w:t>) Inc.</w:t>
            </w:r>
          </w:p>
          <w:p w14:paraId="1D086743" w14:textId="77777777" w:rsidR="00C952D0" w:rsidRPr="00DF406D" w:rsidRDefault="00C952D0" w:rsidP="00DF406D">
            <w:pPr>
              <w:rPr>
                <w:color w:val="auto"/>
              </w:rPr>
            </w:pPr>
          </w:p>
          <w:p w14:paraId="666E2C1C" w14:textId="77777777" w:rsidR="00C952D0" w:rsidRPr="00DF406D" w:rsidRDefault="00C952D0" w:rsidP="00DF406D">
            <w:pPr>
              <w:rPr>
                <w:color w:val="auto"/>
              </w:rPr>
            </w:pPr>
          </w:p>
          <w:p w14:paraId="2B9F25E9" w14:textId="77777777" w:rsidR="00C952D0" w:rsidRPr="00DF406D" w:rsidRDefault="008B0FC8" w:rsidP="00DF406D">
            <w:pPr>
              <w:rPr>
                <w:color w:val="auto"/>
              </w:rPr>
            </w:pPr>
            <w:r w:rsidRPr="00DF406D">
              <w:rPr>
                <w:color w:val="auto"/>
              </w:rPr>
              <w:t>By:        _______________________</w:t>
            </w:r>
          </w:p>
          <w:p w14:paraId="137E192A" w14:textId="77777777" w:rsidR="00C952D0" w:rsidRPr="00DF406D" w:rsidRDefault="00C952D0" w:rsidP="00DF406D">
            <w:pPr>
              <w:rPr>
                <w:color w:val="auto"/>
              </w:rPr>
            </w:pPr>
          </w:p>
          <w:p w14:paraId="6798189A" w14:textId="77777777" w:rsidR="00C952D0" w:rsidRPr="00DF406D" w:rsidRDefault="008B0FC8" w:rsidP="00DF406D">
            <w:pPr>
              <w:rPr>
                <w:color w:val="auto"/>
              </w:rPr>
            </w:pPr>
            <w:r w:rsidRPr="00DF406D">
              <w:rPr>
                <w:color w:val="auto"/>
              </w:rPr>
              <w:t>Printed: _______________________</w:t>
            </w:r>
          </w:p>
          <w:p w14:paraId="50F4BC90" w14:textId="77777777" w:rsidR="00C952D0" w:rsidRPr="00DF406D" w:rsidRDefault="00C952D0" w:rsidP="00DF406D">
            <w:pPr>
              <w:rPr>
                <w:color w:val="auto"/>
              </w:rPr>
            </w:pPr>
          </w:p>
          <w:p w14:paraId="57F2BA60" w14:textId="77777777" w:rsidR="00C952D0" w:rsidRPr="00DF406D" w:rsidRDefault="008B0FC8" w:rsidP="00DF406D">
            <w:pPr>
              <w:rPr>
                <w:color w:val="auto"/>
              </w:rPr>
            </w:pPr>
            <w:r w:rsidRPr="00DF406D">
              <w:rPr>
                <w:color w:val="auto"/>
              </w:rPr>
              <w:t>Title:     _______________________</w:t>
            </w:r>
          </w:p>
          <w:p w14:paraId="15E4DB74" w14:textId="77777777" w:rsidR="00C952D0" w:rsidRPr="00DF406D" w:rsidRDefault="00C952D0" w:rsidP="00DF406D">
            <w:pPr>
              <w:rPr>
                <w:color w:val="auto"/>
              </w:rPr>
            </w:pPr>
          </w:p>
          <w:p w14:paraId="07C3BE2C" w14:textId="77777777" w:rsidR="00C952D0" w:rsidRPr="00DF406D" w:rsidRDefault="008B0FC8" w:rsidP="00DF406D">
            <w:pPr>
              <w:rPr>
                <w:color w:val="auto"/>
              </w:rPr>
            </w:pPr>
            <w:r w:rsidRPr="00DF406D">
              <w:rPr>
                <w:color w:val="auto"/>
              </w:rPr>
              <w:t>Date:    _______________________</w:t>
            </w:r>
          </w:p>
        </w:tc>
      </w:tr>
    </w:tbl>
    <w:p w14:paraId="2AA67FA5" w14:textId="77777777" w:rsidR="00C952D0" w:rsidRPr="00DF406D" w:rsidRDefault="00C952D0" w:rsidP="00DF406D">
      <w:pPr>
        <w:rPr>
          <w:sz w:val="20"/>
          <w:szCs w:val="20"/>
        </w:rPr>
      </w:pPr>
    </w:p>
    <w:p w14:paraId="507BB7FB" w14:textId="77777777" w:rsidR="00C952D0" w:rsidRPr="00DF406D" w:rsidRDefault="00C952D0" w:rsidP="00DF406D">
      <w:pPr>
        <w:rPr>
          <w:sz w:val="20"/>
          <w:szCs w:val="20"/>
        </w:rPr>
      </w:pPr>
    </w:p>
    <w:p w14:paraId="354DE643" w14:textId="77777777" w:rsidR="00C952D0" w:rsidRPr="00DF406D" w:rsidRDefault="008B0FC8" w:rsidP="00DF406D">
      <w:pPr>
        <w:tabs>
          <w:tab w:val="left" w:pos="6691"/>
        </w:tabs>
        <w:rPr>
          <w:i/>
          <w:sz w:val="18"/>
          <w:szCs w:val="18"/>
        </w:rPr>
      </w:pPr>
      <w:r w:rsidRPr="00DF406D">
        <w:rPr>
          <w:i/>
          <w:sz w:val="18"/>
          <w:szCs w:val="18"/>
        </w:rPr>
        <w:t>FOR TELUS USE ONLY (Cost Centre) ____________________</w:t>
      </w:r>
    </w:p>
    <w:p w14:paraId="08875629" w14:textId="77777777" w:rsidR="00C952D0" w:rsidRPr="00DF406D" w:rsidRDefault="00C952D0" w:rsidP="00DF406D">
      <w:pPr>
        <w:tabs>
          <w:tab w:val="left" w:pos="6691"/>
        </w:tabs>
        <w:rPr>
          <w:sz w:val="20"/>
          <w:szCs w:val="20"/>
        </w:rPr>
      </w:pPr>
    </w:p>
    <w:p w14:paraId="4B0110C0" w14:textId="77777777" w:rsidR="00C952D0" w:rsidRPr="00DF406D" w:rsidRDefault="008B0FC8" w:rsidP="00DF406D">
      <w:pPr>
        <w:widowControl w:val="0"/>
        <w:spacing w:line="276" w:lineRule="auto"/>
        <w:jc w:val="left"/>
        <w:rPr>
          <w:b/>
          <w:sz w:val="20"/>
          <w:szCs w:val="20"/>
        </w:rPr>
      </w:pPr>
      <w:r w:rsidRPr="00DF406D">
        <w:br w:type="page"/>
      </w:r>
      <w:r w:rsidRPr="00DF406D">
        <w:rPr>
          <w:b/>
          <w:sz w:val="20"/>
          <w:szCs w:val="20"/>
        </w:rPr>
        <w:lastRenderedPageBreak/>
        <w:t>Appendix ‘A’ – Specific Service Level Requirements</w:t>
      </w:r>
    </w:p>
    <w:p w14:paraId="02EC75E3" w14:textId="77777777" w:rsidR="00C952D0" w:rsidRPr="00DF406D" w:rsidRDefault="00C952D0" w:rsidP="00DF406D">
      <w:pPr>
        <w:tabs>
          <w:tab w:val="left" w:pos="6691"/>
        </w:tabs>
        <w:rPr>
          <w:sz w:val="20"/>
          <w:szCs w:val="20"/>
        </w:rPr>
      </w:pPr>
    </w:p>
    <w:p w14:paraId="44733AAA" w14:textId="77777777" w:rsidR="00C952D0" w:rsidRPr="00DF406D" w:rsidRDefault="008B0FC8" w:rsidP="00DF406D">
      <w:pPr>
        <w:spacing w:before="120" w:after="120"/>
        <w:rPr>
          <w:sz w:val="20"/>
          <w:szCs w:val="20"/>
        </w:rPr>
      </w:pPr>
      <w:r w:rsidRPr="00DF406D">
        <w:rPr>
          <w:sz w:val="20"/>
          <w:szCs w:val="20"/>
        </w:rPr>
        <w:t>The following outlines the incremental and additional, critical Service related requirements (including KPIs and Service Levels) that are in scope under this SOW. These Schedules and their requirements form an integral part of this SOW.</w:t>
      </w:r>
    </w:p>
    <w:p w14:paraId="139E6441" w14:textId="77777777" w:rsidR="0018165B" w:rsidRPr="00DF406D" w:rsidRDefault="0018165B" w:rsidP="00DF406D">
      <w:pPr>
        <w:spacing w:before="120" w:after="120"/>
        <w:rPr>
          <w:sz w:val="20"/>
          <w:szCs w:val="20"/>
        </w:rPr>
      </w:pPr>
      <w:r w:rsidRPr="00DF406D">
        <w:rPr>
          <w:sz w:val="20"/>
          <w:szCs w:val="20"/>
        </w:rPr>
        <w:t>NA</w:t>
      </w:r>
    </w:p>
    <w:p w14:paraId="3E78C996" w14:textId="77777777" w:rsidR="00C952D0" w:rsidRPr="00DF406D" w:rsidRDefault="00C952D0" w:rsidP="00DF406D">
      <w:pPr>
        <w:spacing w:before="120" w:after="120"/>
        <w:rPr>
          <w:sz w:val="20"/>
          <w:szCs w:val="20"/>
        </w:rPr>
      </w:pPr>
    </w:p>
    <w:p w14:paraId="3ADA4D45" w14:textId="77777777" w:rsidR="00C952D0" w:rsidRPr="00DF406D" w:rsidRDefault="00C952D0" w:rsidP="00DF406D">
      <w:pPr>
        <w:spacing w:before="120" w:after="120"/>
        <w:rPr>
          <w:sz w:val="20"/>
          <w:szCs w:val="20"/>
        </w:rPr>
      </w:pPr>
    </w:p>
    <w:p w14:paraId="63D3185F" w14:textId="77777777" w:rsidR="00C952D0" w:rsidRPr="00DF406D" w:rsidRDefault="00C952D0" w:rsidP="00DF406D">
      <w:pPr>
        <w:spacing w:before="120" w:after="120"/>
        <w:rPr>
          <w:sz w:val="20"/>
          <w:szCs w:val="20"/>
        </w:rPr>
      </w:pPr>
    </w:p>
    <w:p w14:paraId="345AD937" w14:textId="77777777" w:rsidR="00C952D0" w:rsidRPr="00DF406D" w:rsidRDefault="00C952D0" w:rsidP="00DF406D">
      <w:pPr>
        <w:spacing w:before="120" w:after="120"/>
        <w:rPr>
          <w:sz w:val="20"/>
          <w:szCs w:val="20"/>
        </w:rPr>
      </w:pPr>
    </w:p>
    <w:p w14:paraId="1C4BF19E" w14:textId="77777777" w:rsidR="00C952D0" w:rsidRPr="00DF406D" w:rsidRDefault="00C952D0" w:rsidP="00DF406D">
      <w:pPr>
        <w:spacing w:before="120" w:after="120"/>
        <w:rPr>
          <w:sz w:val="20"/>
          <w:szCs w:val="20"/>
        </w:rPr>
      </w:pPr>
    </w:p>
    <w:p w14:paraId="2880FDB0" w14:textId="77777777" w:rsidR="00C952D0" w:rsidRPr="00DF406D" w:rsidRDefault="00C952D0" w:rsidP="00DF406D">
      <w:pPr>
        <w:spacing w:before="120" w:after="120"/>
        <w:rPr>
          <w:sz w:val="20"/>
          <w:szCs w:val="20"/>
        </w:rPr>
      </w:pPr>
    </w:p>
    <w:p w14:paraId="779100C2" w14:textId="77777777" w:rsidR="00C952D0" w:rsidRPr="00DF406D" w:rsidRDefault="00C952D0" w:rsidP="00DF406D">
      <w:pPr>
        <w:spacing w:before="120" w:after="120"/>
        <w:rPr>
          <w:sz w:val="20"/>
          <w:szCs w:val="20"/>
        </w:rPr>
      </w:pPr>
    </w:p>
    <w:p w14:paraId="10D6F8AF" w14:textId="77777777" w:rsidR="00C952D0" w:rsidRPr="00DF406D" w:rsidRDefault="00C952D0" w:rsidP="00DF406D">
      <w:pPr>
        <w:spacing w:before="120" w:after="120"/>
        <w:rPr>
          <w:sz w:val="20"/>
          <w:szCs w:val="20"/>
        </w:rPr>
      </w:pPr>
    </w:p>
    <w:p w14:paraId="220EFBC3" w14:textId="77777777" w:rsidR="00C952D0" w:rsidRPr="00DF406D" w:rsidRDefault="00C952D0" w:rsidP="00DF406D">
      <w:pPr>
        <w:spacing w:before="120" w:after="120"/>
        <w:rPr>
          <w:sz w:val="20"/>
          <w:szCs w:val="20"/>
        </w:rPr>
      </w:pPr>
    </w:p>
    <w:p w14:paraId="33DD256F" w14:textId="77777777" w:rsidR="00C952D0" w:rsidRPr="00DF406D" w:rsidRDefault="00C952D0" w:rsidP="00DF406D">
      <w:pPr>
        <w:spacing w:before="120" w:after="120"/>
        <w:rPr>
          <w:sz w:val="20"/>
          <w:szCs w:val="20"/>
        </w:rPr>
      </w:pPr>
    </w:p>
    <w:p w14:paraId="45F1D2A3" w14:textId="77777777" w:rsidR="00C952D0" w:rsidRPr="00DF406D" w:rsidRDefault="00C952D0" w:rsidP="00DF406D">
      <w:pPr>
        <w:spacing w:before="120" w:after="120"/>
        <w:rPr>
          <w:sz w:val="20"/>
          <w:szCs w:val="20"/>
        </w:rPr>
      </w:pPr>
    </w:p>
    <w:p w14:paraId="692AA3B5" w14:textId="77777777" w:rsidR="00C952D0" w:rsidRPr="00DF406D" w:rsidRDefault="00C952D0" w:rsidP="00DF406D">
      <w:pPr>
        <w:spacing w:before="120" w:after="120"/>
        <w:rPr>
          <w:sz w:val="20"/>
          <w:szCs w:val="20"/>
        </w:rPr>
      </w:pPr>
    </w:p>
    <w:p w14:paraId="23D7578F" w14:textId="77777777" w:rsidR="00C952D0" w:rsidRPr="00DF406D" w:rsidRDefault="00C952D0" w:rsidP="00DF406D">
      <w:pPr>
        <w:spacing w:before="120" w:after="120"/>
        <w:rPr>
          <w:sz w:val="20"/>
          <w:szCs w:val="20"/>
        </w:rPr>
      </w:pPr>
    </w:p>
    <w:p w14:paraId="1746C5A5" w14:textId="77777777" w:rsidR="00C952D0" w:rsidRPr="00DF406D" w:rsidRDefault="00C952D0" w:rsidP="00DF406D">
      <w:pPr>
        <w:spacing w:before="120" w:after="120"/>
        <w:rPr>
          <w:sz w:val="20"/>
          <w:szCs w:val="20"/>
        </w:rPr>
      </w:pPr>
    </w:p>
    <w:p w14:paraId="1119035E" w14:textId="77777777" w:rsidR="00C952D0" w:rsidRPr="00DF406D" w:rsidRDefault="00C952D0" w:rsidP="00DF406D">
      <w:pPr>
        <w:spacing w:before="120" w:after="120"/>
        <w:rPr>
          <w:sz w:val="20"/>
          <w:szCs w:val="20"/>
        </w:rPr>
      </w:pPr>
    </w:p>
    <w:p w14:paraId="07A2D803" w14:textId="77777777" w:rsidR="00C952D0" w:rsidRPr="00DF406D" w:rsidRDefault="00C952D0" w:rsidP="00DF406D">
      <w:pPr>
        <w:spacing w:before="120" w:after="120"/>
        <w:rPr>
          <w:sz w:val="20"/>
          <w:szCs w:val="20"/>
        </w:rPr>
      </w:pPr>
    </w:p>
    <w:p w14:paraId="0D459AAC" w14:textId="77777777" w:rsidR="00C952D0" w:rsidRPr="00DF406D" w:rsidRDefault="00C952D0" w:rsidP="00DF406D">
      <w:pPr>
        <w:spacing w:before="120" w:after="120"/>
        <w:rPr>
          <w:sz w:val="20"/>
          <w:szCs w:val="20"/>
        </w:rPr>
      </w:pPr>
    </w:p>
    <w:p w14:paraId="424B7913" w14:textId="77777777" w:rsidR="00C952D0" w:rsidRPr="00DF406D" w:rsidRDefault="00C952D0" w:rsidP="00DF406D">
      <w:pPr>
        <w:spacing w:before="120" w:after="120"/>
        <w:rPr>
          <w:sz w:val="20"/>
          <w:szCs w:val="20"/>
        </w:rPr>
      </w:pPr>
    </w:p>
    <w:p w14:paraId="64709768" w14:textId="77777777" w:rsidR="00C952D0" w:rsidRPr="00DF406D" w:rsidRDefault="00C952D0" w:rsidP="00DF406D">
      <w:pPr>
        <w:spacing w:before="120" w:after="120"/>
        <w:rPr>
          <w:sz w:val="20"/>
          <w:szCs w:val="20"/>
        </w:rPr>
      </w:pPr>
    </w:p>
    <w:p w14:paraId="4E6D51E3" w14:textId="77777777" w:rsidR="00C952D0" w:rsidRPr="00DF406D" w:rsidRDefault="00C952D0" w:rsidP="00DF406D">
      <w:pPr>
        <w:spacing w:before="120" w:after="120"/>
        <w:rPr>
          <w:sz w:val="20"/>
          <w:szCs w:val="20"/>
        </w:rPr>
      </w:pPr>
    </w:p>
    <w:p w14:paraId="52EB5AE3" w14:textId="77777777" w:rsidR="00C952D0" w:rsidRPr="00DF406D" w:rsidRDefault="00C952D0" w:rsidP="00DF406D">
      <w:pPr>
        <w:jc w:val="left"/>
        <w:rPr>
          <w:b/>
          <w:sz w:val="20"/>
          <w:szCs w:val="20"/>
        </w:rPr>
      </w:pPr>
    </w:p>
    <w:p w14:paraId="2A0AA61C" w14:textId="77777777" w:rsidR="00C952D0" w:rsidRPr="00DF406D" w:rsidRDefault="00C952D0" w:rsidP="00DF406D">
      <w:pPr>
        <w:spacing w:after="120"/>
        <w:jc w:val="center"/>
        <w:rPr>
          <w:b/>
          <w:sz w:val="20"/>
          <w:szCs w:val="20"/>
        </w:rPr>
      </w:pPr>
    </w:p>
    <w:p w14:paraId="75934C5F" w14:textId="77777777" w:rsidR="00C952D0" w:rsidRPr="00DF406D" w:rsidRDefault="008B0FC8" w:rsidP="00DF406D">
      <w:pPr>
        <w:spacing w:after="120"/>
        <w:jc w:val="center"/>
        <w:rPr>
          <w:b/>
          <w:sz w:val="20"/>
          <w:szCs w:val="20"/>
        </w:rPr>
      </w:pPr>
      <w:r w:rsidRPr="00DF406D">
        <w:br w:type="page"/>
      </w:r>
    </w:p>
    <w:p w14:paraId="2EE5CE4D" w14:textId="77777777" w:rsidR="00C952D0" w:rsidRPr="00DF406D" w:rsidRDefault="008B0FC8" w:rsidP="00DF406D">
      <w:pPr>
        <w:spacing w:after="120"/>
        <w:jc w:val="center"/>
        <w:rPr>
          <w:b/>
          <w:sz w:val="20"/>
          <w:szCs w:val="20"/>
        </w:rPr>
      </w:pPr>
      <w:r w:rsidRPr="00DF406D">
        <w:rPr>
          <w:b/>
          <w:sz w:val="20"/>
          <w:szCs w:val="20"/>
        </w:rPr>
        <w:lastRenderedPageBreak/>
        <w:t xml:space="preserve">Schedule ‘A1’ to Appendix ‘A’– </w:t>
      </w:r>
      <w:r w:rsidR="00335567" w:rsidRPr="00DF406D">
        <w:rPr>
          <w:b/>
          <w:i/>
          <w:sz w:val="22"/>
          <w:szCs w:val="22"/>
        </w:rPr>
        <w:t>TAM-Wholesale Provisioning</w:t>
      </w:r>
      <w:r w:rsidR="003345C0" w:rsidRPr="00DF406D">
        <w:rPr>
          <w:b/>
          <w:i/>
          <w:sz w:val="22"/>
          <w:szCs w:val="22"/>
        </w:rPr>
        <w:tab/>
        <w:t xml:space="preserve">                                                                            </w:t>
      </w:r>
    </w:p>
    <w:p w14:paraId="41282821" w14:textId="77777777" w:rsidR="00C952D0" w:rsidRPr="00DF406D" w:rsidRDefault="008B0FC8" w:rsidP="00DF406D">
      <w:pPr>
        <w:spacing w:before="120" w:after="120"/>
        <w:rPr>
          <w:sz w:val="20"/>
          <w:szCs w:val="20"/>
        </w:rPr>
      </w:pPr>
      <w:r w:rsidRPr="00DF406D">
        <w:rPr>
          <w:sz w:val="20"/>
          <w:szCs w:val="20"/>
        </w:rPr>
        <w:t xml:space="preserve">This Schedule ‘A1’ </w:t>
      </w:r>
      <w:r w:rsidR="00335567" w:rsidRPr="00DF406D">
        <w:rPr>
          <w:bCs/>
          <w:i/>
          <w:sz w:val="20"/>
          <w:szCs w:val="20"/>
        </w:rPr>
        <w:t xml:space="preserve">TAM-Wholesale Provisioning </w:t>
      </w:r>
      <w:r w:rsidRPr="00DF406D">
        <w:rPr>
          <w:sz w:val="20"/>
          <w:szCs w:val="20"/>
        </w:rPr>
        <w:t xml:space="preserve">to Appendix ‘A’ outlines critical Service dimensions specifically and incrementally applicable to the </w:t>
      </w:r>
      <w:r w:rsidR="00335567" w:rsidRPr="00DF406D">
        <w:rPr>
          <w:bCs/>
          <w:i/>
          <w:sz w:val="20"/>
          <w:szCs w:val="20"/>
        </w:rPr>
        <w:t xml:space="preserve">TAM-Wholesale Provisioning </w:t>
      </w:r>
      <w:r w:rsidRPr="00DF406D">
        <w:rPr>
          <w:sz w:val="20"/>
          <w:szCs w:val="20"/>
        </w:rPr>
        <w:t>portions of the Services under this SOW.</w:t>
      </w:r>
    </w:p>
    <w:p w14:paraId="3C9850C1" w14:textId="77777777" w:rsidR="00C952D0" w:rsidRPr="00DF406D" w:rsidRDefault="008B0FC8" w:rsidP="00DF406D">
      <w:pPr>
        <w:numPr>
          <w:ilvl w:val="0"/>
          <w:numId w:val="15"/>
        </w:numPr>
        <w:spacing w:before="120" w:after="120"/>
        <w:ind w:left="87"/>
        <w:rPr>
          <w:sz w:val="20"/>
          <w:szCs w:val="20"/>
        </w:rPr>
      </w:pPr>
      <w:r w:rsidRPr="00DF406D">
        <w:rPr>
          <w:sz w:val="20"/>
          <w:szCs w:val="20"/>
        </w:rPr>
        <w:t>Scope-Specific</w:t>
      </w:r>
    </w:p>
    <w:p w14:paraId="3A5EE2FE" w14:textId="3780590A" w:rsidR="00C952D0" w:rsidRPr="00DF406D" w:rsidRDefault="00D54773" w:rsidP="00DF406D">
      <w:pPr>
        <w:ind w:firstLine="87"/>
        <w:rPr>
          <w:sz w:val="20"/>
          <w:szCs w:val="20"/>
        </w:rPr>
      </w:pPr>
      <w:r w:rsidRPr="00DF406D">
        <w:rPr>
          <w:sz w:val="20"/>
          <w:szCs w:val="20"/>
        </w:rPr>
        <w:t>See section 3.1.</w:t>
      </w:r>
    </w:p>
    <w:p w14:paraId="6536ECCF" w14:textId="77777777" w:rsidR="00C952D0" w:rsidRPr="00DF406D" w:rsidRDefault="00C952D0" w:rsidP="00DF406D">
      <w:pPr>
        <w:rPr>
          <w:sz w:val="20"/>
          <w:szCs w:val="20"/>
        </w:rPr>
      </w:pPr>
    </w:p>
    <w:p w14:paraId="0727A66E" w14:textId="77777777" w:rsidR="00C952D0" w:rsidRPr="00DF406D" w:rsidRDefault="008B0FC8" w:rsidP="00DF406D">
      <w:pPr>
        <w:numPr>
          <w:ilvl w:val="0"/>
          <w:numId w:val="15"/>
        </w:numPr>
        <w:ind w:left="87"/>
        <w:rPr>
          <w:sz w:val="20"/>
          <w:szCs w:val="20"/>
        </w:rPr>
      </w:pPr>
      <w:r w:rsidRPr="00DF406D">
        <w:rPr>
          <w:sz w:val="20"/>
          <w:szCs w:val="20"/>
        </w:rPr>
        <w:t>Hours of operation</w:t>
      </w:r>
    </w:p>
    <w:p w14:paraId="17288CA6" w14:textId="77777777" w:rsidR="0018165B" w:rsidRPr="00DF406D" w:rsidRDefault="0018165B" w:rsidP="00DF406D">
      <w:pPr>
        <w:rPr>
          <w:i/>
          <w:sz w:val="20"/>
          <w:szCs w:val="20"/>
        </w:rPr>
      </w:pPr>
      <w:r w:rsidRPr="00DF406D">
        <w:rPr>
          <w:sz w:val="20"/>
          <w:szCs w:val="20"/>
        </w:rPr>
        <w:t>Onshore TI Representatives will generally perform these Services during the following hours of operation:</w:t>
      </w:r>
      <w:r w:rsidRPr="00DF406D">
        <w:rPr>
          <w:i/>
          <w:sz w:val="20"/>
          <w:szCs w:val="20"/>
        </w:rPr>
        <w:t xml:space="preserve"> </w:t>
      </w:r>
    </w:p>
    <w:p w14:paraId="09A8891C" w14:textId="752DA399" w:rsidR="0018165B" w:rsidRPr="00DF406D" w:rsidRDefault="00E44AA7" w:rsidP="00DF406D">
      <w:pPr>
        <w:rPr>
          <w:sz w:val="20"/>
          <w:szCs w:val="20"/>
        </w:rPr>
      </w:pPr>
      <w:r w:rsidRPr="00DF406D">
        <w:rPr>
          <w:sz w:val="20"/>
          <w:szCs w:val="20"/>
        </w:rPr>
        <w:t>N</w:t>
      </w:r>
      <w:r w:rsidR="00212E1E" w:rsidRPr="00DF406D">
        <w:rPr>
          <w:sz w:val="20"/>
          <w:szCs w:val="20"/>
        </w:rPr>
        <w:t>/</w:t>
      </w:r>
      <w:r w:rsidRPr="00DF406D">
        <w:rPr>
          <w:sz w:val="20"/>
          <w:szCs w:val="20"/>
        </w:rPr>
        <w:t>A</w:t>
      </w:r>
    </w:p>
    <w:p w14:paraId="21A0B19E" w14:textId="77777777" w:rsidR="0018165B" w:rsidRPr="00DF406D" w:rsidRDefault="0018165B" w:rsidP="00DF406D">
      <w:pPr>
        <w:rPr>
          <w:sz w:val="20"/>
          <w:szCs w:val="20"/>
        </w:rPr>
      </w:pPr>
    </w:p>
    <w:p w14:paraId="2CCAC7F3" w14:textId="77777777" w:rsidR="0018165B" w:rsidRPr="00DF406D" w:rsidRDefault="0018165B" w:rsidP="00DF406D">
      <w:pPr>
        <w:rPr>
          <w:i/>
          <w:sz w:val="20"/>
          <w:szCs w:val="20"/>
        </w:rPr>
      </w:pPr>
      <w:r w:rsidRPr="00DF406D">
        <w:rPr>
          <w:sz w:val="20"/>
          <w:szCs w:val="20"/>
        </w:rPr>
        <w:t>Offshore TI Representatives will generally perform these Services during the following hours of operation:</w:t>
      </w:r>
      <w:r w:rsidRPr="00DF406D">
        <w:rPr>
          <w:i/>
          <w:sz w:val="20"/>
          <w:szCs w:val="20"/>
        </w:rPr>
        <w:t xml:space="preserve"> </w:t>
      </w:r>
    </w:p>
    <w:p w14:paraId="7A658F0A" w14:textId="49DE6DF8" w:rsidR="009E1458" w:rsidRPr="00DF406D" w:rsidRDefault="009E1458" w:rsidP="00DF406D">
      <w:pPr>
        <w:pStyle w:val="ListParagraph"/>
        <w:numPr>
          <w:ilvl w:val="0"/>
          <w:numId w:val="37"/>
        </w:numPr>
        <w:rPr>
          <w:color w:val="auto"/>
          <w:sz w:val="20"/>
          <w:szCs w:val="20"/>
        </w:rPr>
      </w:pPr>
      <w:r w:rsidRPr="00DF406D">
        <w:rPr>
          <w:color w:val="auto"/>
          <w:sz w:val="20"/>
          <w:szCs w:val="20"/>
        </w:rPr>
        <w:t xml:space="preserve">Support hours will be </w:t>
      </w:r>
      <w:r w:rsidR="00441432" w:rsidRPr="00DF406D">
        <w:rPr>
          <w:color w:val="auto"/>
          <w:sz w:val="20"/>
          <w:szCs w:val="20"/>
        </w:rPr>
        <w:t xml:space="preserve">following – </w:t>
      </w:r>
    </w:p>
    <w:p w14:paraId="74CF0F3D" w14:textId="14333ECA" w:rsidR="00441432" w:rsidRPr="00DF406D" w:rsidRDefault="00441432" w:rsidP="00DF406D">
      <w:pPr>
        <w:pStyle w:val="ListParagraph"/>
        <w:numPr>
          <w:ilvl w:val="1"/>
          <w:numId w:val="37"/>
        </w:numPr>
        <w:rPr>
          <w:color w:val="auto"/>
          <w:sz w:val="20"/>
          <w:szCs w:val="20"/>
        </w:rPr>
      </w:pPr>
      <w:r w:rsidRPr="00DF406D">
        <w:rPr>
          <w:color w:val="auto"/>
          <w:sz w:val="20"/>
          <w:szCs w:val="20"/>
        </w:rPr>
        <w:t>TAM- Monday to Friday, 5</w:t>
      </w:r>
      <w:r w:rsidR="001847FD" w:rsidRPr="00DF406D">
        <w:rPr>
          <w:color w:val="auto"/>
          <w:sz w:val="20"/>
          <w:szCs w:val="20"/>
        </w:rPr>
        <w:t>:00</w:t>
      </w:r>
      <w:r w:rsidRPr="00DF406D">
        <w:rPr>
          <w:color w:val="auto"/>
          <w:sz w:val="20"/>
          <w:szCs w:val="20"/>
        </w:rPr>
        <w:t>am to 6</w:t>
      </w:r>
      <w:r w:rsidR="001847FD" w:rsidRPr="00DF406D">
        <w:rPr>
          <w:color w:val="auto"/>
          <w:sz w:val="20"/>
          <w:szCs w:val="20"/>
        </w:rPr>
        <w:t>:00</w:t>
      </w:r>
      <w:r w:rsidRPr="00DF406D">
        <w:rPr>
          <w:color w:val="auto"/>
          <w:sz w:val="20"/>
          <w:szCs w:val="20"/>
        </w:rPr>
        <w:t>pm PST Excluding Canadian Holidays</w:t>
      </w:r>
      <w:r w:rsidRPr="00DF406D">
        <w:rPr>
          <w:rFonts w:ascii="Segoe UI" w:hAnsi="Segoe UI" w:cs="Segoe UI"/>
          <w:color w:val="auto"/>
        </w:rPr>
        <w:t> </w:t>
      </w:r>
    </w:p>
    <w:p w14:paraId="132468CD" w14:textId="26DA06D0" w:rsidR="00441432" w:rsidRPr="00DF406D" w:rsidRDefault="00441432" w:rsidP="00DF406D">
      <w:pPr>
        <w:pStyle w:val="ListParagraph"/>
        <w:numPr>
          <w:ilvl w:val="1"/>
          <w:numId w:val="37"/>
        </w:numPr>
        <w:rPr>
          <w:color w:val="auto"/>
          <w:sz w:val="20"/>
          <w:szCs w:val="20"/>
        </w:rPr>
      </w:pPr>
      <w:r w:rsidRPr="00DF406D">
        <w:rPr>
          <w:color w:val="auto"/>
          <w:sz w:val="20"/>
          <w:szCs w:val="20"/>
        </w:rPr>
        <w:t xml:space="preserve">Wholesale- </w:t>
      </w:r>
      <w:r w:rsidR="001847FD" w:rsidRPr="00DF406D">
        <w:rPr>
          <w:color w:val="auto"/>
          <w:sz w:val="20"/>
          <w:szCs w:val="20"/>
        </w:rPr>
        <w:t xml:space="preserve">Monday to Friday 7:00am PST to 4pm PST and Saturday &amp; Sunday – 8:00am PST to 5:00pm PST </w:t>
      </w:r>
    </w:p>
    <w:p w14:paraId="252D63B4" w14:textId="77777777" w:rsidR="00C952D0" w:rsidRPr="00DF406D" w:rsidRDefault="00C952D0" w:rsidP="00DF406D">
      <w:pPr>
        <w:rPr>
          <w:sz w:val="20"/>
          <w:szCs w:val="20"/>
        </w:rPr>
      </w:pPr>
    </w:p>
    <w:p w14:paraId="5956A79D" w14:textId="77777777" w:rsidR="00C952D0" w:rsidRPr="00DF406D" w:rsidRDefault="008B0FC8" w:rsidP="00DF406D">
      <w:pPr>
        <w:numPr>
          <w:ilvl w:val="0"/>
          <w:numId w:val="15"/>
        </w:numPr>
        <w:rPr>
          <w:sz w:val="20"/>
          <w:szCs w:val="20"/>
        </w:rPr>
      </w:pPr>
      <w:r w:rsidRPr="00DF406D">
        <w:rPr>
          <w:sz w:val="20"/>
          <w:szCs w:val="20"/>
        </w:rPr>
        <w:t>Service Level in accordance to the methodology set out in Schedule 6.2 of the MSA:</w:t>
      </w:r>
    </w:p>
    <w:p w14:paraId="6C6906DA" w14:textId="77777777" w:rsidR="002A7B05" w:rsidRPr="00DF406D" w:rsidRDefault="002A7B05" w:rsidP="00DF406D">
      <w:pPr>
        <w:rPr>
          <w:sz w:val="20"/>
          <w:szCs w:val="20"/>
        </w:rPr>
      </w:pPr>
    </w:p>
    <w:p w14:paraId="1438CAB7" w14:textId="77777777" w:rsidR="002A7B05" w:rsidRPr="00DF406D" w:rsidRDefault="002A7B05" w:rsidP="00DF406D">
      <w:pPr>
        <w:rPr>
          <w:sz w:val="20"/>
          <w:szCs w:val="20"/>
        </w:rPr>
      </w:pPr>
    </w:p>
    <w:p w14:paraId="61C58926" w14:textId="77777777" w:rsidR="002A7B05" w:rsidRPr="00DF406D" w:rsidRDefault="002A7B05" w:rsidP="00DF406D">
      <w:pPr>
        <w:rPr>
          <w:sz w:val="20"/>
          <w:szCs w:val="20"/>
        </w:rPr>
      </w:pPr>
    </w:p>
    <w:tbl>
      <w:tblPr>
        <w:tblStyle w:val="2"/>
        <w:tblW w:w="870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1"/>
        <w:gridCol w:w="5566"/>
        <w:gridCol w:w="988"/>
      </w:tblGrid>
      <w:tr w:rsidR="00DF406D" w:rsidRPr="00DF406D" w14:paraId="17509E04" w14:textId="77777777" w:rsidTr="002A7B05">
        <w:trPr>
          <w:trHeight w:val="440"/>
        </w:trPr>
        <w:tc>
          <w:tcPr>
            <w:tcW w:w="2151" w:type="dxa"/>
            <w:shd w:val="clear" w:color="auto" w:fill="92D050"/>
            <w:tcMar>
              <w:top w:w="0" w:type="dxa"/>
              <w:left w:w="28" w:type="dxa"/>
              <w:bottom w:w="0" w:type="dxa"/>
              <w:right w:w="28" w:type="dxa"/>
            </w:tcMar>
            <w:vAlign w:val="center"/>
          </w:tcPr>
          <w:p w14:paraId="722B5942" w14:textId="77777777" w:rsidR="002A7B05" w:rsidRPr="00DF406D" w:rsidRDefault="002A7B05" w:rsidP="00DF406D">
            <w:pPr>
              <w:jc w:val="center"/>
              <w:rPr>
                <w:b/>
                <w:color w:val="auto"/>
                <w:sz w:val="20"/>
                <w:szCs w:val="20"/>
              </w:rPr>
            </w:pPr>
            <w:r w:rsidRPr="00DF406D">
              <w:rPr>
                <w:b/>
                <w:color w:val="auto"/>
                <w:sz w:val="20"/>
                <w:szCs w:val="20"/>
              </w:rPr>
              <w:t>Service Level</w:t>
            </w:r>
          </w:p>
        </w:tc>
        <w:tc>
          <w:tcPr>
            <w:tcW w:w="5566" w:type="dxa"/>
            <w:shd w:val="clear" w:color="auto" w:fill="92D050"/>
            <w:tcMar>
              <w:top w:w="0" w:type="dxa"/>
              <w:left w:w="28" w:type="dxa"/>
              <w:bottom w:w="0" w:type="dxa"/>
              <w:right w:w="28" w:type="dxa"/>
            </w:tcMar>
            <w:vAlign w:val="center"/>
          </w:tcPr>
          <w:p w14:paraId="040C2CBF" w14:textId="77777777" w:rsidR="002A7B05" w:rsidRPr="00DF406D" w:rsidRDefault="002A7B05" w:rsidP="00DF406D">
            <w:pPr>
              <w:jc w:val="center"/>
              <w:rPr>
                <w:b/>
                <w:color w:val="auto"/>
                <w:sz w:val="20"/>
                <w:szCs w:val="20"/>
              </w:rPr>
            </w:pPr>
            <w:r w:rsidRPr="00DF406D">
              <w:rPr>
                <w:b/>
                <w:color w:val="auto"/>
                <w:sz w:val="20"/>
                <w:szCs w:val="20"/>
              </w:rPr>
              <w:t>Description</w:t>
            </w:r>
          </w:p>
        </w:tc>
        <w:tc>
          <w:tcPr>
            <w:tcW w:w="988" w:type="dxa"/>
            <w:shd w:val="clear" w:color="auto" w:fill="92D050"/>
            <w:tcMar>
              <w:top w:w="0" w:type="dxa"/>
              <w:left w:w="108" w:type="dxa"/>
              <w:bottom w:w="0" w:type="dxa"/>
              <w:right w:w="108" w:type="dxa"/>
            </w:tcMar>
            <w:vAlign w:val="center"/>
          </w:tcPr>
          <w:p w14:paraId="621D40ED" w14:textId="77777777" w:rsidR="002A7B05" w:rsidRPr="00DF406D" w:rsidRDefault="002A7B05" w:rsidP="00DF406D">
            <w:pPr>
              <w:jc w:val="center"/>
              <w:rPr>
                <w:b/>
                <w:color w:val="auto"/>
                <w:sz w:val="20"/>
                <w:szCs w:val="20"/>
              </w:rPr>
            </w:pPr>
            <w:r w:rsidRPr="00DF406D">
              <w:rPr>
                <w:b/>
                <w:color w:val="auto"/>
                <w:sz w:val="20"/>
                <w:szCs w:val="20"/>
              </w:rPr>
              <w:t>Target</w:t>
            </w:r>
          </w:p>
        </w:tc>
      </w:tr>
      <w:tr w:rsidR="00DF406D" w:rsidRPr="00DF406D" w14:paraId="3BCA34D7" w14:textId="77777777" w:rsidTr="00212E1E">
        <w:trPr>
          <w:trHeight w:val="400"/>
        </w:trPr>
        <w:tc>
          <w:tcPr>
            <w:tcW w:w="2151" w:type="dxa"/>
            <w:vMerge w:val="restart"/>
            <w:tcMar>
              <w:top w:w="0" w:type="dxa"/>
              <w:left w:w="28" w:type="dxa"/>
              <w:bottom w:w="0" w:type="dxa"/>
              <w:right w:w="28" w:type="dxa"/>
            </w:tcMar>
            <w:vAlign w:val="bottom"/>
          </w:tcPr>
          <w:p w14:paraId="1E197026" w14:textId="7533C642" w:rsidR="00D54773" w:rsidRPr="00DF406D" w:rsidRDefault="00D54773" w:rsidP="00DF406D">
            <w:pPr>
              <w:rPr>
                <w:rFonts w:ascii="Calibri" w:hAnsi="Calibri"/>
                <w:color w:val="auto"/>
                <w:sz w:val="22"/>
                <w:szCs w:val="22"/>
              </w:rPr>
            </w:pPr>
            <w:r w:rsidRPr="00DF406D">
              <w:rPr>
                <w:color w:val="auto"/>
                <w:sz w:val="20"/>
                <w:szCs w:val="20"/>
              </w:rPr>
              <w:t>Wholesale DSL</w:t>
            </w:r>
          </w:p>
          <w:p w14:paraId="50F01667" w14:textId="77777777" w:rsidR="00D54773" w:rsidRPr="00DF406D" w:rsidRDefault="00D54773" w:rsidP="00DF406D">
            <w:pPr>
              <w:rPr>
                <w:rFonts w:ascii="Calibri" w:hAnsi="Calibri"/>
                <w:color w:val="auto"/>
                <w:sz w:val="22"/>
                <w:szCs w:val="22"/>
              </w:rPr>
            </w:pPr>
          </w:p>
          <w:p w14:paraId="25985AE4" w14:textId="77777777" w:rsidR="00D54773" w:rsidRPr="00DF406D" w:rsidRDefault="00D54773" w:rsidP="00DF406D">
            <w:pPr>
              <w:rPr>
                <w:rFonts w:ascii="Calibri" w:hAnsi="Calibri"/>
                <w:color w:val="auto"/>
                <w:sz w:val="22"/>
                <w:szCs w:val="22"/>
              </w:rPr>
            </w:pPr>
          </w:p>
          <w:p w14:paraId="60E39EC3" w14:textId="77777777" w:rsidR="00D54773" w:rsidRPr="00DF406D" w:rsidRDefault="00D54773" w:rsidP="00DF406D">
            <w:pPr>
              <w:rPr>
                <w:rFonts w:ascii="Calibri" w:hAnsi="Calibri"/>
                <w:color w:val="auto"/>
                <w:sz w:val="22"/>
                <w:szCs w:val="22"/>
              </w:rPr>
            </w:pPr>
          </w:p>
          <w:p w14:paraId="3640217E" w14:textId="71070731" w:rsidR="00D54773" w:rsidRPr="00DF406D" w:rsidRDefault="00D54773" w:rsidP="00DF406D">
            <w:pPr>
              <w:rPr>
                <w:color w:val="auto"/>
                <w:sz w:val="20"/>
                <w:szCs w:val="20"/>
              </w:rPr>
            </w:pPr>
          </w:p>
        </w:tc>
        <w:tc>
          <w:tcPr>
            <w:tcW w:w="5566" w:type="dxa"/>
            <w:tcMar>
              <w:top w:w="0" w:type="dxa"/>
              <w:left w:w="28" w:type="dxa"/>
              <w:bottom w:w="0" w:type="dxa"/>
              <w:right w:w="28" w:type="dxa"/>
            </w:tcMar>
          </w:tcPr>
          <w:p w14:paraId="5551A701" w14:textId="4E67BF2F" w:rsidR="00D54773" w:rsidRPr="00DF406D" w:rsidRDefault="00D54773" w:rsidP="00DF406D">
            <w:pPr>
              <w:spacing w:after="120"/>
              <w:jc w:val="left"/>
              <w:rPr>
                <w:color w:val="auto"/>
                <w:sz w:val="20"/>
                <w:szCs w:val="20"/>
              </w:rPr>
            </w:pPr>
            <w:r w:rsidRPr="00DF406D">
              <w:rPr>
                <w:color w:val="auto"/>
                <w:sz w:val="20"/>
                <w:szCs w:val="20"/>
              </w:rPr>
              <w:t>Average Work Time</w:t>
            </w:r>
          </w:p>
        </w:tc>
        <w:tc>
          <w:tcPr>
            <w:tcW w:w="988" w:type="dxa"/>
            <w:shd w:val="clear" w:color="auto" w:fill="00FF00"/>
            <w:tcMar>
              <w:top w:w="0" w:type="dxa"/>
              <w:left w:w="108" w:type="dxa"/>
              <w:bottom w:w="0" w:type="dxa"/>
              <w:right w:w="108" w:type="dxa"/>
            </w:tcMar>
          </w:tcPr>
          <w:p w14:paraId="3880AF19" w14:textId="7D1E40A4" w:rsidR="00D54773" w:rsidRPr="00DF406D" w:rsidRDefault="00D54773" w:rsidP="00DF406D">
            <w:pPr>
              <w:jc w:val="center"/>
              <w:rPr>
                <w:color w:val="auto"/>
                <w:sz w:val="20"/>
                <w:szCs w:val="20"/>
              </w:rPr>
            </w:pPr>
            <w:r w:rsidRPr="00DF406D">
              <w:rPr>
                <w:color w:val="auto"/>
                <w:sz w:val="20"/>
                <w:szCs w:val="20"/>
              </w:rPr>
              <w:t>&lt;20 min</w:t>
            </w:r>
          </w:p>
        </w:tc>
      </w:tr>
      <w:tr w:rsidR="00DF406D" w:rsidRPr="00DF406D" w14:paraId="70523B47" w14:textId="77777777" w:rsidTr="00212E1E">
        <w:trPr>
          <w:trHeight w:val="400"/>
        </w:trPr>
        <w:tc>
          <w:tcPr>
            <w:tcW w:w="2151" w:type="dxa"/>
            <w:vMerge/>
            <w:tcMar>
              <w:top w:w="0" w:type="dxa"/>
              <w:left w:w="28" w:type="dxa"/>
              <w:bottom w:w="0" w:type="dxa"/>
              <w:right w:w="28" w:type="dxa"/>
            </w:tcMar>
            <w:vAlign w:val="bottom"/>
          </w:tcPr>
          <w:p w14:paraId="5759DF04" w14:textId="3CFCC5BF" w:rsidR="00D54773" w:rsidRPr="00DF406D" w:rsidRDefault="00D54773" w:rsidP="00DF406D">
            <w:pPr>
              <w:rPr>
                <w:color w:val="auto"/>
                <w:sz w:val="20"/>
                <w:szCs w:val="20"/>
              </w:rPr>
            </w:pPr>
          </w:p>
        </w:tc>
        <w:tc>
          <w:tcPr>
            <w:tcW w:w="5566" w:type="dxa"/>
            <w:tcMar>
              <w:top w:w="0" w:type="dxa"/>
              <w:left w:w="28" w:type="dxa"/>
              <w:bottom w:w="0" w:type="dxa"/>
              <w:right w:w="28" w:type="dxa"/>
            </w:tcMar>
          </w:tcPr>
          <w:p w14:paraId="2DCD7E29" w14:textId="0CA2DA3A" w:rsidR="00D54773" w:rsidRPr="00DF406D" w:rsidRDefault="00D54773" w:rsidP="00DF406D">
            <w:pPr>
              <w:spacing w:after="120"/>
              <w:jc w:val="left"/>
              <w:rPr>
                <w:color w:val="auto"/>
                <w:sz w:val="20"/>
                <w:szCs w:val="20"/>
              </w:rPr>
            </w:pPr>
            <w:r w:rsidRPr="00DF406D">
              <w:rPr>
                <w:color w:val="auto"/>
                <w:sz w:val="20"/>
                <w:szCs w:val="20"/>
              </w:rPr>
              <w:t>% Met Work Time</w:t>
            </w:r>
          </w:p>
        </w:tc>
        <w:tc>
          <w:tcPr>
            <w:tcW w:w="988" w:type="dxa"/>
            <w:shd w:val="clear" w:color="auto" w:fill="00FF00"/>
            <w:tcMar>
              <w:top w:w="0" w:type="dxa"/>
              <w:left w:w="108" w:type="dxa"/>
              <w:bottom w:w="0" w:type="dxa"/>
              <w:right w:w="108" w:type="dxa"/>
            </w:tcMar>
          </w:tcPr>
          <w:p w14:paraId="3F6DBF57" w14:textId="5E9AA648" w:rsidR="00D54773" w:rsidRPr="00DF406D" w:rsidRDefault="00D54773" w:rsidP="00DF406D">
            <w:pPr>
              <w:jc w:val="center"/>
              <w:rPr>
                <w:color w:val="auto"/>
                <w:sz w:val="20"/>
                <w:szCs w:val="20"/>
              </w:rPr>
            </w:pPr>
            <w:r w:rsidRPr="00DF406D">
              <w:rPr>
                <w:color w:val="auto"/>
                <w:sz w:val="20"/>
                <w:szCs w:val="20"/>
              </w:rPr>
              <w:t>N/A</w:t>
            </w:r>
          </w:p>
        </w:tc>
      </w:tr>
      <w:tr w:rsidR="00DF406D" w:rsidRPr="00DF406D" w14:paraId="55E56A34" w14:textId="77777777" w:rsidTr="00212E1E">
        <w:trPr>
          <w:trHeight w:val="400"/>
        </w:trPr>
        <w:tc>
          <w:tcPr>
            <w:tcW w:w="2151" w:type="dxa"/>
            <w:vMerge/>
            <w:tcMar>
              <w:top w:w="0" w:type="dxa"/>
              <w:left w:w="28" w:type="dxa"/>
              <w:bottom w:w="0" w:type="dxa"/>
              <w:right w:w="28" w:type="dxa"/>
            </w:tcMar>
            <w:vAlign w:val="bottom"/>
          </w:tcPr>
          <w:p w14:paraId="6C096A56" w14:textId="77777777" w:rsidR="00D54773" w:rsidRPr="00DF406D" w:rsidRDefault="00D54773" w:rsidP="00DF406D">
            <w:pPr>
              <w:rPr>
                <w:rFonts w:ascii="Calibri" w:hAnsi="Calibri"/>
                <w:color w:val="auto"/>
                <w:sz w:val="22"/>
                <w:szCs w:val="22"/>
              </w:rPr>
            </w:pPr>
          </w:p>
        </w:tc>
        <w:tc>
          <w:tcPr>
            <w:tcW w:w="5566" w:type="dxa"/>
            <w:tcMar>
              <w:top w:w="0" w:type="dxa"/>
              <w:left w:w="28" w:type="dxa"/>
              <w:bottom w:w="0" w:type="dxa"/>
              <w:right w:w="28" w:type="dxa"/>
            </w:tcMar>
          </w:tcPr>
          <w:p w14:paraId="40415E07" w14:textId="18DE0212" w:rsidR="00D54773" w:rsidRPr="00DF406D" w:rsidRDefault="00D54773" w:rsidP="00DF406D">
            <w:pPr>
              <w:spacing w:after="120"/>
              <w:jc w:val="left"/>
              <w:rPr>
                <w:rFonts w:ascii="Calibri" w:hAnsi="Calibri"/>
                <w:color w:val="auto"/>
                <w:sz w:val="22"/>
                <w:szCs w:val="22"/>
              </w:rPr>
            </w:pPr>
            <w:r w:rsidRPr="00DF406D">
              <w:rPr>
                <w:color w:val="auto"/>
                <w:sz w:val="20"/>
                <w:szCs w:val="20"/>
              </w:rPr>
              <w:t xml:space="preserve">Average Delay time </w:t>
            </w:r>
          </w:p>
        </w:tc>
        <w:tc>
          <w:tcPr>
            <w:tcW w:w="988" w:type="dxa"/>
            <w:shd w:val="clear" w:color="auto" w:fill="00FF00"/>
            <w:tcMar>
              <w:top w:w="0" w:type="dxa"/>
              <w:left w:w="108" w:type="dxa"/>
              <w:bottom w:w="0" w:type="dxa"/>
              <w:right w:w="108" w:type="dxa"/>
            </w:tcMar>
          </w:tcPr>
          <w:p w14:paraId="26C104E4" w14:textId="6430E34A" w:rsidR="00D54773" w:rsidRPr="00DF406D" w:rsidRDefault="00D54773" w:rsidP="00DF406D">
            <w:pPr>
              <w:jc w:val="center"/>
              <w:rPr>
                <w:rFonts w:ascii="Calibri" w:hAnsi="Calibri"/>
                <w:color w:val="auto"/>
                <w:sz w:val="22"/>
                <w:szCs w:val="22"/>
              </w:rPr>
            </w:pPr>
            <w:r w:rsidRPr="00DF406D">
              <w:rPr>
                <w:color w:val="auto"/>
                <w:sz w:val="20"/>
                <w:szCs w:val="20"/>
              </w:rPr>
              <w:t>&lt;240 min</w:t>
            </w:r>
          </w:p>
        </w:tc>
      </w:tr>
      <w:tr w:rsidR="00DF406D" w:rsidRPr="00DF406D" w14:paraId="5AFACA7A" w14:textId="77777777" w:rsidTr="00212E1E">
        <w:trPr>
          <w:trHeight w:val="400"/>
        </w:trPr>
        <w:tc>
          <w:tcPr>
            <w:tcW w:w="2151" w:type="dxa"/>
            <w:vMerge/>
            <w:tcMar>
              <w:top w:w="0" w:type="dxa"/>
              <w:left w:w="28" w:type="dxa"/>
              <w:bottom w:w="0" w:type="dxa"/>
              <w:right w:w="28" w:type="dxa"/>
            </w:tcMar>
            <w:vAlign w:val="bottom"/>
          </w:tcPr>
          <w:p w14:paraId="07D6412A" w14:textId="77777777" w:rsidR="00D54773" w:rsidRPr="00DF406D" w:rsidRDefault="00D54773" w:rsidP="00DF406D">
            <w:pPr>
              <w:rPr>
                <w:rFonts w:ascii="Calibri" w:hAnsi="Calibri"/>
                <w:color w:val="auto"/>
                <w:sz w:val="22"/>
                <w:szCs w:val="22"/>
              </w:rPr>
            </w:pPr>
          </w:p>
        </w:tc>
        <w:tc>
          <w:tcPr>
            <w:tcW w:w="5566" w:type="dxa"/>
            <w:tcMar>
              <w:top w:w="0" w:type="dxa"/>
              <w:left w:w="28" w:type="dxa"/>
              <w:bottom w:w="0" w:type="dxa"/>
              <w:right w:w="28" w:type="dxa"/>
            </w:tcMar>
          </w:tcPr>
          <w:p w14:paraId="418EAE3E" w14:textId="180227A9" w:rsidR="00D54773" w:rsidRPr="00DF406D" w:rsidRDefault="00D54773" w:rsidP="00DF406D">
            <w:pPr>
              <w:spacing w:after="120"/>
              <w:jc w:val="left"/>
              <w:rPr>
                <w:rFonts w:ascii="Calibri" w:hAnsi="Calibri"/>
                <w:color w:val="auto"/>
                <w:sz w:val="22"/>
                <w:szCs w:val="22"/>
              </w:rPr>
            </w:pPr>
            <w:r w:rsidRPr="00DF406D">
              <w:rPr>
                <w:color w:val="auto"/>
                <w:sz w:val="20"/>
                <w:szCs w:val="20"/>
              </w:rPr>
              <w:t>% Met Delay time</w:t>
            </w:r>
          </w:p>
        </w:tc>
        <w:tc>
          <w:tcPr>
            <w:tcW w:w="988" w:type="dxa"/>
            <w:shd w:val="clear" w:color="auto" w:fill="00FF00"/>
            <w:tcMar>
              <w:top w:w="0" w:type="dxa"/>
              <w:left w:w="108" w:type="dxa"/>
              <w:bottom w:w="0" w:type="dxa"/>
              <w:right w:w="108" w:type="dxa"/>
            </w:tcMar>
          </w:tcPr>
          <w:p w14:paraId="19BF4D07" w14:textId="428C7343" w:rsidR="00D54773" w:rsidRPr="00DF406D" w:rsidRDefault="00D54773" w:rsidP="00DF406D">
            <w:pPr>
              <w:jc w:val="center"/>
              <w:rPr>
                <w:rFonts w:ascii="Calibri" w:hAnsi="Calibri"/>
                <w:color w:val="auto"/>
                <w:sz w:val="22"/>
                <w:szCs w:val="22"/>
              </w:rPr>
            </w:pPr>
            <w:r w:rsidRPr="00DF406D">
              <w:rPr>
                <w:color w:val="auto"/>
                <w:sz w:val="20"/>
                <w:szCs w:val="20"/>
              </w:rPr>
              <w:t>N/A</w:t>
            </w:r>
          </w:p>
        </w:tc>
      </w:tr>
      <w:tr w:rsidR="00DF406D" w:rsidRPr="00DF406D" w14:paraId="506128C5" w14:textId="77777777" w:rsidTr="00212E1E">
        <w:trPr>
          <w:trHeight w:val="400"/>
        </w:trPr>
        <w:tc>
          <w:tcPr>
            <w:tcW w:w="2151" w:type="dxa"/>
            <w:vMerge/>
            <w:tcMar>
              <w:top w:w="0" w:type="dxa"/>
              <w:left w:w="28" w:type="dxa"/>
              <w:bottom w:w="0" w:type="dxa"/>
              <w:right w:w="28" w:type="dxa"/>
            </w:tcMar>
            <w:vAlign w:val="bottom"/>
          </w:tcPr>
          <w:p w14:paraId="6AFA63C1" w14:textId="77777777" w:rsidR="00D54773" w:rsidRPr="00DF406D" w:rsidRDefault="00D54773" w:rsidP="00DF406D">
            <w:pPr>
              <w:rPr>
                <w:rFonts w:ascii="Calibri" w:hAnsi="Calibri"/>
                <w:color w:val="auto"/>
                <w:sz w:val="22"/>
                <w:szCs w:val="22"/>
              </w:rPr>
            </w:pPr>
          </w:p>
        </w:tc>
        <w:tc>
          <w:tcPr>
            <w:tcW w:w="5566" w:type="dxa"/>
            <w:tcMar>
              <w:top w:w="0" w:type="dxa"/>
              <w:left w:w="28" w:type="dxa"/>
              <w:bottom w:w="0" w:type="dxa"/>
              <w:right w:w="28" w:type="dxa"/>
            </w:tcMar>
          </w:tcPr>
          <w:p w14:paraId="22D1CFD6" w14:textId="25B83DF0" w:rsidR="00D54773" w:rsidRPr="00DF406D" w:rsidRDefault="00D54773" w:rsidP="00DF406D">
            <w:pPr>
              <w:spacing w:after="120"/>
              <w:jc w:val="left"/>
              <w:rPr>
                <w:rFonts w:ascii="Calibri" w:hAnsi="Calibri"/>
                <w:color w:val="auto"/>
                <w:sz w:val="22"/>
                <w:szCs w:val="22"/>
              </w:rPr>
            </w:pPr>
            <w:r w:rsidRPr="00DF406D">
              <w:rPr>
                <w:color w:val="auto"/>
                <w:sz w:val="20"/>
                <w:szCs w:val="20"/>
              </w:rPr>
              <w:t>QCE</w:t>
            </w:r>
          </w:p>
        </w:tc>
        <w:tc>
          <w:tcPr>
            <w:tcW w:w="988" w:type="dxa"/>
            <w:shd w:val="clear" w:color="auto" w:fill="00FF00"/>
            <w:tcMar>
              <w:top w:w="0" w:type="dxa"/>
              <w:left w:w="108" w:type="dxa"/>
              <w:bottom w:w="0" w:type="dxa"/>
              <w:right w:w="108" w:type="dxa"/>
            </w:tcMar>
          </w:tcPr>
          <w:p w14:paraId="661F0DCC" w14:textId="212EA1F7" w:rsidR="00D54773" w:rsidRPr="00DF406D" w:rsidRDefault="00D54773" w:rsidP="00DF406D">
            <w:pPr>
              <w:jc w:val="center"/>
              <w:rPr>
                <w:rFonts w:ascii="Calibri" w:hAnsi="Calibri"/>
                <w:color w:val="auto"/>
                <w:sz w:val="22"/>
                <w:szCs w:val="22"/>
              </w:rPr>
            </w:pPr>
            <w:r w:rsidRPr="00DF406D">
              <w:rPr>
                <w:color w:val="auto"/>
                <w:sz w:val="20"/>
                <w:szCs w:val="20"/>
              </w:rPr>
              <w:t>90%</w:t>
            </w:r>
          </w:p>
        </w:tc>
      </w:tr>
      <w:tr w:rsidR="00DF406D" w:rsidRPr="00DF406D" w14:paraId="51DF89BC" w14:textId="77777777" w:rsidTr="00212E1E">
        <w:trPr>
          <w:trHeight w:val="400"/>
        </w:trPr>
        <w:tc>
          <w:tcPr>
            <w:tcW w:w="2151" w:type="dxa"/>
            <w:vMerge w:val="restart"/>
            <w:tcMar>
              <w:top w:w="0" w:type="dxa"/>
              <w:left w:w="28" w:type="dxa"/>
              <w:bottom w:w="0" w:type="dxa"/>
              <w:right w:w="28" w:type="dxa"/>
            </w:tcMar>
            <w:vAlign w:val="bottom"/>
          </w:tcPr>
          <w:p w14:paraId="712CA307" w14:textId="6DE9EF5F" w:rsidR="00D54773" w:rsidRPr="00DF406D" w:rsidRDefault="00D54773" w:rsidP="00DF406D">
            <w:pPr>
              <w:rPr>
                <w:rFonts w:ascii="Calibri" w:hAnsi="Calibri"/>
                <w:color w:val="auto"/>
                <w:sz w:val="22"/>
                <w:szCs w:val="22"/>
              </w:rPr>
            </w:pPr>
            <w:r w:rsidRPr="00DF406D">
              <w:rPr>
                <w:color w:val="auto"/>
                <w:sz w:val="20"/>
                <w:szCs w:val="20"/>
              </w:rPr>
              <w:t>TAM (Test, Accept &amp; Maintenance)</w:t>
            </w:r>
          </w:p>
          <w:p w14:paraId="58774013" w14:textId="77777777" w:rsidR="00D54773" w:rsidRPr="00DF406D" w:rsidRDefault="00D54773" w:rsidP="00DF406D">
            <w:pPr>
              <w:rPr>
                <w:rFonts w:ascii="Calibri" w:hAnsi="Calibri"/>
                <w:color w:val="auto"/>
                <w:sz w:val="22"/>
                <w:szCs w:val="22"/>
              </w:rPr>
            </w:pPr>
          </w:p>
          <w:p w14:paraId="4B5FDD7C" w14:textId="520050E8" w:rsidR="00D54773" w:rsidRPr="00DF406D" w:rsidRDefault="00D54773" w:rsidP="00DF406D">
            <w:pPr>
              <w:rPr>
                <w:color w:val="auto"/>
                <w:sz w:val="20"/>
                <w:szCs w:val="20"/>
              </w:rPr>
            </w:pPr>
          </w:p>
        </w:tc>
        <w:tc>
          <w:tcPr>
            <w:tcW w:w="5566" w:type="dxa"/>
            <w:tcMar>
              <w:top w:w="0" w:type="dxa"/>
              <w:left w:w="28" w:type="dxa"/>
              <w:bottom w:w="0" w:type="dxa"/>
              <w:right w:w="28" w:type="dxa"/>
            </w:tcMar>
          </w:tcPr>
          <w:p w14:paraId="37C0BFAE" w14:textId="4290F9D6" w:rsidR="00D54773" w:rsidRPr="00DF406D" w:rsidRDefault="00D54773" w:rsidP="00DF406D">
            <w:pPr>
              <w:spacing w:after="120"/>
              <w:jc w:val="left"/>
              <w:rPr>
                <w:color w:val="auto"/>
                <w:sz w:val="20"/>
                <w:szCs w:val="20"/>
              </w:rPr>
            </w:pPr>
            <w:r w:rsidRPr="00DF406D">
              <w:rPr>
                <w:color w:val="auto"/>
                <w:sz w:val="20"/>
                <w:szCs w:val="20"/>
              </w:rPr>
              <w:t>Volume JEOP</w:t>
            </w:r>
          </w:p>
        </w:tc>
        <w:tc>
          <w:tcPr>
            <w:tcW w:w="988" w:type="dxa"/>
            <w:shd w:val="clear" w:color="auto" w:fill="00FF00"/>
            <w:tcMar>
              <w:top w:w="0" w:type="dxa"/>
              <w:left w:w="108" w:type="dxa"/>
              <w:bottom w:w="0" w:type="dxa"/>
              <w:right w:w="108" w:type="dxa"/>
            </w:tcMar>
          </w:tcPr>
          <w:p w14:paraId="788643AF" w14:textId="4ECD56FD" w:rsidR="00D54773" w:rsidRPr="00DF406D" w:rsidRDefault="00D54773" w:rsidP="00DF406D">
            <w:pPr>
              <w:jc w:val="center"/>
              <w:rPr>
                <w:color w:val="auto"/>
                <w:sz w:val="20"/>
                <w:szCs w:val="20"/>
              </w:rPr>
            </w:pPr>
            <w:r w:rsidRPr="00DF406D">
              <w:rPr>
                <w:color w:val="auto"/>
                <w:sz w:val="20"/>
                <w:szCs w:val="20"/>
              </w:rPr>
              <w:t>&lt;=1</w:t>
            </w:r>
          </w:p>
        </w:tc>
      </w:tr>
      <w:tr w:rsidR="00DF406D" w:rsidRPr="00DF406D" w14:paraId="615BA4D7" w14:textId="77777777" w:rsidTr="00212E1E">
        <w:trPr>
          <w:trHeight w:val="400"/>
        </w:trPr>
        <w:tc>
          <w:tcPr>
            <w:tcW w:w="2151" w:type="dxa"/>
            <w:vMerge/>
            <w:tcMar>
              <w:top w:w="0" w:type="dxa"/>
              <w:left w:w="28" w:type="dxa"/>
              <w:bottom w:w="0" w:type="dxa"/>
              <w:right w:w="28" w:type="dxa"/>
            </w:tcMar>
            <w:vAlign w:val="bottom"/>
          </w:tcPr>
          <w:p w14:paraId="1BC616F2" w14:textId="77777777" w:rsidR="00D54773" w:rsidRPr="00DF406D" w:rsidRDefault="00D54773" w:rsidP="00DF406D">
            <w:pPr>
              <w:rPr>
                <w:rFonts w:ascii="Calibri" w:hAnsi="Calibri"/>
                <w:color w:val="auto"/>
                <w:sz w:val="22"/>
                <w:szCs w:val="22"/>
              </w:rPr>
            </w:pPr>
          </w:p>
        </w:tc>
        <w:tc>
          <w:tcPr>
            <w:tcW w:w="5566" w:type="dxa"/>
            <w:tcMar>
              <w:top w:w="0" w:type="dxa"/>
              <w:left w:w="28" w:type="dxa"/>
              <w:bottom w:w="0" w:type="dxa"/>
              <w:right w:w="28" w:type="dxa"/>
            </w:tcMar>
          </w:tcPr>
          <w:p w14:paraId="196AF0F9" w14:textId="007FD990" w:rsidR="00D54773" w:rsidRPr="00DF406D" w:rsidRDefault="00D54773" w:rsidP="00DF406D">
            <w:pPr>
              <w:spacing w:after="120"/>
              <w:jc w:val="left"/>
              <w:rPr>
                <w:rFonts w:ascii="Calibri" w:hAnsi="Calibri"/>
                <w:color w:val="auto"/>
                <w:sz w:val="22"/>
                <w:szCs w:val="22"/>
              </w:rPr>
            </w:pPr>
            <w:r w:rsidRPr="00DF406D">
              <w:rPr>
                <w:color w:val="auto"/>
                <w:sz w:val="20"/>
                <w:szCs w:val="20"/>
              </w:rPr>
              <w:t>QCE</w:t>
            </w:r>
          </w:p>
        </w:tc>
        <w:tc>
          <w:tcPr>
            <w:tcW w:w="988" w:type="dxa"/>
            <w:shd w:val="clear" w:color="auto" w:fill="00FF00"/>
            <w:tcMar>
              <w:top w:w="0" w:type="dxa"/>
              <w:left w:w="108" w:type="dxa"/>
              <w:bottom w:w="0" w:type="dxa"/>
              <w:right w:w="108" w:type="dxa"/>
            </w:tcMar>
          </w:tcPr>
          <w:p w14:paraId="36AB36A2" w14:textId="43CA1E36" w:rsidR="00D54773" w:rsidRPr="00DF406D" w:rsidRDefault="00D54773" w:rsidP="00DF406D">
            <w:pPr>
              <w:jc w:val="center"/>
              <w:rPr>
                <w:rFonts w:ascii="Calibri" w:hAnsi="Calibri"/>
                <w:color w:val="auto"/>
                <w:sz w:val="22"/>
                <w:szCs w:val="22"/>
              </w:rPr>
            </w:pPr>
            <w:r w:rsidRPr="00DF406D">
              <w:rPr>
                <w:color w:val="auto"/>
                <w:sz w:val="20"/>
                <w:szCs w:val="20"/>
              </w:rPr>
              <w:t>90%</w:t>
            </w:r>
          </w:p>
        </w:tc>
      </w:tr>
      <w:tr w:rsidR="00DF406D" w:rsidRPr="00DF406D" w14:paraId="0C3C3A3D" w14:textId="77777777" w:rsidTr="00212E1E">
        <w:trPr>
          <w:trHeight w:val="400"/>
        </w:trPr>
        <w:tc>
          <w:tcPr>
            <w:tcW w:w="2151" w:type="dxa"/>
            <w:vMerge/>
            <w:tcMar>
              <w:top w:w="0" w:type="dxa"/>
              <w:left w:w="28" w:type="dxa"/>
              <w:bottom w:w="0" w:type="dxa"/>
              <w:right w:w="28" w:type="dxa"/>
            </w:tcMar>
            <w:vAlign w:val="bottom"/>
          </w:tcPr>
          <w:p w14:paraId="5DD1F5E6" w14:textId="77777777" w:rsidR="00D54773" w:rsidRPr="00DF406D" w:rsidRDefault="00D54773" w:rsidP="00DF406D">
            <w:pPr>
              <w:rPr>
                <w:rFonts w:ascii="Calibri" w:hAnsi="Calibri"/>
                <w:color w:val="auto"/>
                <w:sz w:val="22"/>
                <w:szCs w:val="22"/>
              </w:rPr>
            </w:pPr>
          </w:p>
        </w:tc>
        <w:tc>
          <w:tcPr>
            <w:tcW w:w="5566" w:type="dxa"/>
            <w:tcMar>
              <w:top w:w="0" w:type="dxa"/>
              <w:left w:w="28" w:type="dxa"/>
              <w:bottom w:w="0" w:type="dxa"/>
              <w:right w:w="28" w:type="dxa"/>
            </w:tcMar>
          </w:tcPr>
          <w:p w14:paraId="5AD3504B" w14:textId="3BF5E099" w:rsidR="00D54773" w:rsidRPr="00DF406D" w:rsidRDefault="00D54773" w:rsidP="00DF406D">
            <w:pPr>
              <w:spacing w:after="120"/>
              <w:jc w:val="left"/>
              <w:rPr>
                <w:rFonts w:ascii="Calibri" w:hAnsi="Calibri"/>
                <w:color w:val="auto"/>
                <w:sz w:val="22"/>
                <w:szCs w:val="22"/>
              </w:rPr>
            </w:pPr>
            <w:r w:rsidRPr="00DF406D">
              <w:rPr>
                <w:color w:val="auto"/>
                <w:sz w:val="20"/>
                <w:szCs w:val="20"/>
              </w:rPr>
              <w:t>% Due Date Met</w:t>
            </w:r>
          </w:p>
        </w:tc>
        <w:tc>
          <w:tcPr>
            <w:tcW w:w="988" w:type="dxa"/>
            <w:shd w:val="clear" w:color="auto" w:fill="00FF00"/>
            <w:tcMar>
              <w:top w:w="0" w:type="dxa"/>
              <w:left w:w="108" w:type="dxa"/>
              <w:bottom w:w="0" w:type="dxa"/>
              <w:right w:w="108" w:type="dxa"/>
            </w:tcMar>
          </w:tcPr>
          <w:p w14:paraId="77BC41FB" w14:textId="62B630DC" w:rsidR="00D54773" w:rsidRPr="00DF406D" w:rsidRDefault="00D54773" w:rsidP="00DF406D">
            <w:pPr>
              <w:jc w:val="center"/>
              <w:rPr>
                <w:rFonts w:ascii="Calibri" w:hAnsi="Calibri"/>
                <w:color w:val="auto"/>
                <w:sz w:val="22"/>
                <w:szCs w:val="22"/>
              </w:rPr>
            </w:pPr>
            <w:r w:rsidRPr="00DF406D">
              <w:rPr>
                <w:color w:val="auto"/>
                <w:sz w:val="20"/>
                <w:szCs w:val="20"/>
              </w:rPr>
              <w:t>&gt;95%</w:t>
            </w:r>
          </w:p>
        </w:tc>
      </w:tr>
    </w:tbl>
    <w:p w14:paraId="07B3C033" w14:textId="77777777" w:rsidR="002A7B05" w:rsidRPr="00DF406D" w:rsidRDefault="002A7B05" w:rsidP="00DF406D">
      <w:pPr>
        <w:ind w:hanging="154"/>
        <w:rPr>
          <w:sz w:val="20"/>
          <w:szCs w:val="20"/>
        </w:rPr>
      </w:pPr>
    </w:p>
    <w:p w14:paraId="15E12245" w14:textId="2A5970DC" w:rsidR="002A7B05" w:rsidRPr="00DF406D" w:rsidRDefault="002A7B05" w:rsidP="00DF406D">
      <w:pPr>
        <w:rPr>
          <w:sz w:val="20"/>
          <w:szCs w:val="20"/>
        </w:rPr>
      </w:pPr>
      <w:r w:rsidRPr="00DF406D">
        <w:rPr>
          <w:sz w:val="20"/>
          <w:szCs w:val="20"/>
        </w:rPr>
        <w:t xml:space="preserve">Within </w:t>
      </w:r>
      <w:r w:rsidR="00D54773" w:rsidRPr="00DF406D">
        <w:rPr>
          <w:sz w:val="20"/>
          <w:szCs w:val="20"/>
        </w:rPr>
        <w:t>six</w:t>
      </w:r>
      <w:r w:rsidRPr="00DF406D">
        <w:rPr>
          <w:sz w:val="20"/>
          <w:szCs w:val="20"/>
        </w:rPr>
        <w:t xml:space="preserve"> (</w:t>
      </w:r>
      <w:r w:rsidR="00D54773" w:rsidRPr="00DF406D">
        <w:rPr>
          <w:sz w:val="20"/>
          <w:szCs w:val="20"/>
        </w:rPr>
        <w:t>6</w:t>
      </w:r>
      <w:r w:rsidRPr="00DF406D">
        <w:rPr>
          <w:sz w:val="20"/>
          <w:szCs w:val="20"/>
        </w:rPr>
        <w:t xml:space="preserve">)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14:paraId="78EC7E50" w14:textId="77777777" w:rsidR="002A7B05" w:rsidRPr="00DF406D" w:rsidRDefault="002A7B05" w:rsidP="00DF406D">
      <w:pPr>
        <w:rPr>
          <w:sz w:val="20"/>
          <w:szCs w:val="20"/>
        </w:rPr>
      </w:pPr>
    </w:p>
    <w:p w14:paraId="23B6CDAF" w14:textId="77777777" w:rsidR="00C952D0" w:rsidRPr="00DF406D" w:rsidRDefault="00C952D0" w:rsidP="00DF406D">
      <w:pPr>
        <w:ind w:hanging="154"/>
        <w:rPr>
          <w:sz w:val="20"/>
          <w:szCs w:val="20"/>
        </w:rPr>
      </w:pPr>
    </w:p>
    <w:p w14:paraId="36FD678D" w14:textId="77777777" w:rsidR="00C952D0" w:rsidRPr="00DF406D" w:rsidRDefault="00C952D0" w:rsidP="00DF406D">
      <w:pPr>
        <w:jc w:val="left"/>
        <w:rPr>
          <w:b/>
          <w:sz w:val="20"/>
          <w:szCs w:val="20"/>
        </w:rPr>
      </w:pPr>
    </w:p>
    <w:p w14:paraId="327A4FCF" w14:textId="77777777" w:rsidR="00C952D0" w:rsidRPr="00DF406D" w:rsidRDefault="00C952D0" w:rsidP="00DF406D">
      <w:pPr>
        <w:jc w:val="center"/>
        <w:rPr>
          <w:b/>
          <w:sz w:val="20"/>
          <w:szCs w:val="20"/>
        </w:rPr>
      </w:pPr>
    </w:p>
    <w:p w14:paraId="19548BE6" w14:textId="77777777" w:rsidR="00C952D0" w:rsidRPr="00DF406D" w:rsidRDefault="008B0FC8" w:rsidP="00DF406D">
      <w:pPr>
        <w:jc w:val="center"/>
        <w:rPr>
          <w:b/>
          <w:sz w:val="20"/>
          <w:szCs w:val="20"/>
        </w:rPr>
      </w:pPr>
      <w:r w:rsidRPr="00DF406D">
        <w:br w:type="page"/>
      </w:r>
    </w:p>
    <w:p w14:paraId="5B87A5E8" w14:textId="77777777" w:rsidR="00C952D0" w:rsidRPr="00DF406D" w:rsidRDefault="008B0FC8" w:rsidP="00DF406D">
      <w:pPr>
        <w:jc w:val="center"/>
        <w:rPr>
          <w:b/>
          <w:sz w:val="22"/>
          <w:szCs w:val="22"/>
        </w:rPr>
      </w:pPr>
      <w:r w:rsidRPr="00DF406D">
        <w:rPr>
          <w:b/>
          <w:sz w:val="20"/>
          <w:szCs w:val="20"/>
        </w:rPr>
        <w:lastRenderedPageBreak/>
        <w:t>Appendix ‘B’</w:t>
      </w:r>
    </w:p>
    <w:p w14:paraId="7DF4ADB0" w14:textId="77777777" w:rsidR="00C952D0" w:rsidRPr="00DF406D" w:rsidRDefault="008B0FC8" w:rsidP="00DF406D">
      <w:pPr>
        <w:jc w:val="center"/>
        <w:rPr>
          <w:b/>
          <w:sz w:val="20"/>
          <w:szCs w:val="20"/>
        </w:rPr>
      </w:pPr>
      <w:r w:rsidRPr="00DF406D">
        <w:rPr>
          <w:b/>
          <w:sz w:val="20"/>
          <w:szCs w:val="20"/>
        </w:rPr>
        <w:t>Change Order Form</w:t>
      </w:r>
    </w:p>
    <w:p w14:paraId="2EB8352C" w14:textId="77777777" w:rsidR="00C952D0" w:rsidRPr="00DF406D" w:rsidRDefault="00C952D0" w:rsidP="00DF406D">
      <w:pPr>
        <w:ind w:left="720" w:right="591"/>
        <w:jc w:val="left"/>
        <w:rPr>
          <w:i/>
          <w:sz w:val="18"/>
          <w:szCs w:val="18"/>
        </w:rPr>
      </w:pPr>
    </w:p>
    <w:p w14:paraId="6BDC92C0" w14:textId="77777777" w:rsidR="00C952D0" w:rsidRPr="00DF406D" w:rsidRDefault="008B0FC8" w:rsidP="00DF406D">
      <w:pPr>
        <w:spacing w:before="120" w:after="120"/>
        <w:jc w:val="center"/>
        <w:rPr>
          <w:b/>
          <w:i/>
          <w:sz w:val="21"/>
          <w:szCs w:val="21"/>
        </w:rPr>
      </w:pPr>
      <w:r w:rsidRPr="00DF406D">
        <w:rPr>
          <w:sz w:val="21"/>
          <w:szCs w:val="21"/>
        </w:rPr>
        <w:t>CHANGE ORDER No.</w:t>
      </w:r>
      <w:r w:rsidRPr="00DF406D">
        <w:rPr>
          <w:b/>
          <w:sz w:val="21"/>
          <w:szCs w:val="21"/>
        </w:rPr>
        <w:t xml:space="preserve"> &lt;&lt;##&gt;&gt;</w:t>
      </w:r>
    </w:p>
    <w:p w14:paraId="07F6D1AE" w14:textId="77777777" w:rsidR="00C952D0" w:rsidRPr="00DF406D" w:rsidRDefault="008B0FC8" w:rsidP="00DF406D">
      <w:pPr>
        <w:spacing w:before="120" w:after="120"/>
        <w:jc w:val="center"/>
        <w:rPr>
          <w:sz w:val="21"/>
          <w:szCs w:val="21"/>
        </w:rPr>
      </w:pPr>
      <w:r w:rsidRPr="00DF406D">
        <w:rPr>
          <w:sz w:val="21"/>
          <w:szCs w:val="21"/>
        </w:rPr>
        <w:t xml:space="preserve">to SOW No. </w:t>
      </w:r>
      <w:r w:rsidRPr="00DF406D">
        <w:rPr>
          <w:b/>
          <w:sz w:val="21"/>
          <w:szCs w:val="21"/>
        </w:rPr>
        <w:t>20YY-##</w:t>
      </w:r>
    </w:p>
    <w:p w14:paraId="22D6B27D" w14:textId="77777777" w:rsidR="00C952D0" w:rsidRPr="00DF406D" w:rsidRDefault="008B0FC8" w:rsidP="00DF406D">
      <w:pPr>
        <w:spacing w:before="120" w:after="120"/>
        <w:jc w:val="center"/>
        <w:rPr>
          <w:b/>
          <w:i/>
          <w:sz w:val="21"/>
          <w:szCs w:val="21"/>
        </w:rPr>
      </w:pPr>
      <w:r w:rsidRPr="00DF406D">
        <w:rPr>
          <w:b/>
          <w:i/>
          <w:sz w:val="21"/>
          <w:szCs w:val="21"/>
        </w:rPr>
        <w:t>&lt;&lt;SOW Name&gt;&gt;</w:t>
      </w:r>
    </w:p>
    <w:p w14:paraId="218A3AAE" w14:textId="77777777" w:rsidR="00C952D0" w:rsidRPr="00DF406D" w:rsidRDefault="008B0FC8" w:rsidP="00DF406D">
      <w:pPr>
        <w:spacing w:before="120" w:after="60"/>
        <w:jc w:val="center"/>
        <w:rPr>
          <w:i/>
          <w:sz w:val="21"/>
          <w:szCs w:val="21"/>
        </w:rPr>
      </w:pPr>
      <w:r w:rsidRPr="00DF406D">
        <w:rPr>
          <w:i/>
          <w:sz w:val="21"/>
          <w:szCs w:val="21"/>
        </w:rPr>
        <w:t>(Fixed Price Services)</w:t>
      </w:r>
    </w:p>
    <w:p w14:paraId="4EF9F3CF" w14:textId="77777777" w:rsidR="00C952D0" w:rsidRPr="00DF406D" w:rsidRDefault="00C952D0" w:rsidP="00DF406D">
      <w:pPr>
        <w:rPr>
          <w:sz w:val="20"/>
          <w:szCs w:val="20"/>
        </w:rPr>
      </w:pPr>
    </w:p>
    <w:p w14:paraId="660B3ACB" w14:textId="050E5CE1" w:rsidR="00C952D0" w:rsidRPr="00DF406D" w:rsidRDefault="008B0FC8" w:rsidP="00DF406D">
      <w:pPr>
        <w:ind w:right="19"/>
        <w:rPr>
          <w:sz w:val="20"/>
          <w:szCs w:val="20"/>
        </w:rPr>
      </w:pPr>
      <w:r w:rsidRPr="00DF406D">
        <w:rPr>
          <w:sz w:val="20"/>
          <w:szCs w:val="20"/>
        </w:rPr>
        <w:t>This Change Order (“</w:t>
      </w:r>
      <w:r w:rsidRPr="00DF406D">
        <w:rPr>
          <w:b/>
          <w:sz w:val="20"/>
          <w:szCs w:val="20"/>
        </w:rPr>
        <w:t>CO</w:t>
      </w:r>
      <w:r w:rsidRPr="00DF406D">
        <w:rPr>
          <w:sz w:val="20"/>
          <w:szCs w:val="20"/>
        </w:rPr>
        <w:t>”) Number &lt;&lt;</w:t>
      </w:r>
      <w:r w:rsidRPr="00DF406D">
        <w:rPr>
          <w:i/>
          <w:sz w:val="20"/>
          <w:szCs w:val="20"/>
        </w:rPr>
        <w:t>##&gt;&gt;</w:t>
      </w:r>
      <w:r w:rsidRPr="00DF406D">
        <w:rPr>
          <w:sz w:val="20"/>
          <w:szCs w:val="20"/>
        </w:rPr>
        <w:t xml:space="preserve"> (“</w:t>
      </w:r>
      <w:r w:rsidRPr="00DF406D">
        <w:rPr>
          <w:b/>
          <w:sz w:val="20"/>
          <w:szCs w:val="20"/>
        </w:rPr>
        <w:t>CO No. &lt;&lt;</w:t>
      </w:r>
      <w:r w:rsidRPr="00DF406D">
        <w:rPr>
          <w:b/>
          <w:i/>
          <w:sz w:val="20"/>
          <w:szCs w:val="20"/>
        </w:rPr>
        <w:t>##&gt;&gt;</w:t>
      </w:r>
      <w:r w:rsidRPr="00DF406D">
        <w:rPr>
          <w:b/>
          <w:sz w:val="20"/>
          <w:szCs w:val="20"/>
        </w:rPr>
        <w:t>”)</w:t>
      </w:r>
      <w:r w:rsidRPr="00DF406D">
        <w:rPr>
          <w:sz w:val="20"/>
          <w:szCs w:val="20"/>
        </w:rPr>
        <w:t xml:space="preserve"> is entered into between </w:t>
      </w:r>
      <w:proofErr w:type="spellStart"/>
      <w:r w:rsidR="00B53569">
        <w:rPr>
          <w:sz w:val="20"/>
          <w:szCs w:val="20"/>
        </w:rPr>
        <w:t>smth</w:t>
      </w:r>
      <w:proofErr w:type="spellEnd"/>
      <w:r w:rsidR="00B53569" w:rsidRPr="00DF406D">
        <w:rPr>
          <w:sz w:val="20"/>
          <w:szCs w:val="20"/>
        </w:rPr>
        <w:t xml:space="preserve"> </w:t>
      </w:r>
      <w:r w:rsidRPr="00DF406D">
        <w:rPr>
          <w:sz w:val="20"/>
          <w:szCs w:val="20"/>
        </w:rPr>
        <w:t>(</w:t>
      </w:r>
      <w:proofErr w:type="spellStart"/>
      <w:r w:rsidRPr="00DF406D">
        <w:rPr>
          <w:sz w:val="20"/>
          <w:szCs w:val="20"/>
        </w:rPr>
        <w:t>Cda</w:t>
      </w:r>
      <w:proofErr w:type="spellEnd"/>
      <w:r w:rsidRPr="00DF406D">
        <w:rPr>
          <w:sz w:val="20"/>
          <w:szCs w:val="20"/>
        </w:rPr>
        <w:t>) Inc. (“</w:t>
      </w:r>
      <w:r w:rsidRPr="00DF406D">
        <w:rPr>
          <w:b/>
          <w:sz w:val="20"/>
          <w:szCs w:val="20"/>
        </w:rPr>
        <w:t>TI</w:t>
      </w:r>
      <w:r w:rsidRPr="00DF406D">
        <w:rPr>
          <w:sz w:val="20"/>
          <w:szCs w:val="20"/>
        </w:rPr>
        <w:t>”) and TELUS Communications Inc. (“</w:t>
      </w:r>
      <w:r w:rsidRPr="00DF406D">
        <w:rPr>
          <w:b/>
          <w:sz w:val="20"/>
          <w:szCs w:val="20"/>
        </w:rPr>
        <w:t>TELUS</w:t>
      </w:r>
      <w:r w:rsidRPr="00DF406D">
        <w:rPr>
          <w:sz w:val="20"/>
          <w:szCs w:val="20"/>
        </w:rPr>
        <w:t>”) (collectively, the “</w:t>
      </w:r>
      <w:r w:rsidRPr="00DF406D">
        <w:rPr>
          <w:b/>
          <w:sz w:val="20"/>
          <w:szCs w:val="20"/>
        </w:rPr>
        <w:t>Parties</w:t>
      </w:r>
      <w:r w:rsidRPr="00DF406D">
        <w:rPr>
          <w:sz w:val="20"/>
          <w:szCs w:val="20"/>
        </w:rPr>
        <w:t>”, with each being a “</w:t>
      </w:r>
      <w:r w:rsidRPr="00DF406D">
        <w:rPr>
          <w:b/>
          <w:sz w:val="20"/>
          <w:szCs w:val="20"/>
        </w:rPr>
        <w:t>Party</w:t>
      </w:r>
      <w:r w:rsidRPr="00DF406D">
        <w:rPr>
          <w:sz w:val="20"/>
          <w:szCs w:val="20"/>
        </w:rPr>
        <w:t>”) effective &lt;&lt;</w:t>
      </w:r>
      <w:r w:rsidRPr="00DF406D">
        <w:rPr>
          <w:i/>
          <w:sz w:val="20"/>
          <w:szCs w:val="20"/>
        </w:rPr>
        <w:t>Insert Change Order Effective Date&gt;&gt;</w:t>
      </w:r>
      <w:r w:rsidRPr="00DF406D">
        <w:rPr>
          <w:sz w:val="20"/>
          <w:szCs w:val="20"/>
        </w:rPr>
        <w:t xml:space="preserve"> (“</w:t>
      </w:r>
      <w:r w:rsidRPr="00DF406D">
        <w:rPr>
          <w:b/>
          <w:sz w:val="20"/>
          <w:szCs w:val="20"/>
        </w:rPr>
        <w:t>Change Order Effective Date</w:t>
      </w:r>
      <w:r w:rsidRPr="00DF406D">
        <w:rPr>
          <w:sz w:val="20"/>
          <w:szCs w:val="20"/>
        </w:rPr>
        <w:t>”) and amends the Statement of Work (“</w:t>
      </w:r>
      <w:r w:rsidRPr="00DF406D">
        <w:rPr>
          <w:b/>
          <w:sz w:val="20"/>
          <w:szCs w:val="20"/>
        </w:rPr>
        <w:t>SOW</w:t>
      </w:r>
      <w:r w:rsidRPr="00DF406D">
        <w:rPr>
          <w:sz w:val="20"/>
          <w:szCs w:val="20"/>
        </w:rPr>
        <w:t>”) Number 20</w:t>
      </w:r>
      <w:r w:rsidRPr="00DF406D">
        <w:rPr>
          <w:i/>
          <w:sz w:val="20"/>
          <w:szCs w:val="20"/>
        </w:rPr>
        <w:t>YY</w:t>
      </w:r>
      <w:r w:rsidRPr="00DF406D">
        <w:rPr>
          <w:sz w:val="20"/>
          <w:szCs w:val="20"/>
        </w:rPr>
        <w:t>-</w:t>
      </w:r>
      <w:r w:rsidRPr="00DF406D">
        <w:rPr>
          <w:i/>
          <w:sz w:val="20"/>
          <w:szCs w:val="20"/>
        </w:rPr>
        <w:t>xx</w:t>
      </w:r>
      <w:r w:rsidRPr="00DF406D">
        <w:rPr>
          <w:sz w:val="20"/>
          <w:szCs w:val="20"/>
        </w:rPr>
        <w:t xml:space="preserve"> </w:t>
      </w:r>
      <w:r w:rsidRPr="00DF406D">
        <w:rPr>
          <w:i/>
          <w:sz w:val="20"/>
          <w:szCs w:val="20"/>
        </w:rPr>
        <w:t>(&lt;&lt;Name of SOW&gt;&gt;)</w:t>
      </w:r>
      <w:r w:rsidRPr="00DF406D">
        <w:rPr>
          <w:sz w:val="20"/>
          <w:szCs w:val="20"/>
        </w:rPr>
        <w:t xml:space="preserve"> with an original SOW effective date of April 1, 2016 (the “</w:t>
      </w:r>
      <w:r w:rsidRPr="00DF406D">
        <w:rPr>
          <w:b/>
          <w:sz w:val="20"/>
          <w:szCs w:val="20"/>
        </w:rPr>
        <w:t>SOW No. 20</w:t>
      </w:r>
      <w:r w:rsidRPr="00DF406D">
        <w:rPr>
          <w:b/>
          <w:i/>
          <w:sz w:val="20"/>
          <w:szCs w:val="20"/>
        </w:rPr>
        <w:t>YY</w:t>
      </w:r>
      <w:r w:rsidRPr="00DF406D">
        <w:rPr>
          <w:b/>
          <w:sz w:val="20"/>
          <w:szCs w:val="20"/>
        </w:rPr>
        <w:t>-</w:t>
      </w:r>
      <w:r w:rsidRPr="00DF406D">
        <w:rPr>
          <w:b/>
          <w:i/>
          <w:sz w:val="20"/>
          <w:szCs w:val="20"/>
        </w:rPr>
        <w:t>xx</w:t>
      </w:r>
      <w:r w:rsidRPr="00DF406D">
        <w:rPr>
          <w:sz w:val="20"/>
          <w:szCs w:val="20"/>
        </w:rPr>
        <w:t>”), as governed by and subject to the terms and conditions set out in the Master Services Agreement between TELUS Communications Company and TI with an effective date of April 1, 2016 (the “</w:t>
      </w:r>
      <w:r w:rsidRPr="00DF406D">
        <w:rPr>
          <w:b/>
          <w:sz w:val="20"/>
          <w:szCs w:val="20"/>
        </w:rPr>
        <w:t>Agreement</w:t>
      </w:r>
      <w:r w:rsidRPr="00DF406D">
        <w:rPr>
          <w:sz w:val="20"/>
          <w:szCs w:val="20"/>
        </w:rPr>
        <w:t>” or “</w:t>
      </w:r>
      <w:r w:rsidRPr="00DF406D">
        <w:rPr>
          <w:b/>
          <w:sz w:val="20"/>
          <w:szCs w:val="20"/>
        </w:rPr>
        <w:t>MSA</w:t>
      </w:r>
      <w:r w:rsidRPr="00DF406D">
        <w:rPr>
          <w:sz w:val="20"/>
          <w:szCs w:val="20"/>
        </w:rPr>
        <w:t>”).</w:t>
      </w:r>
    </w:p>
    <w:p w14:paraId="57DB5B7B" w14:textId="77777777" w:rsidR="00C952D0" w:rsidRPr="00DF406D" w:rsidRDefault="00C952D0" w:rsidP="00DF406D">
      <w:pPr>
        <w:ind w:right="19"/>
        <w:rPr>
          <w:sz w:val="20"/>
          <w:szCs w:val="20"/>
        </w:rPr>
      </w:pPr>
    </w:p>
    <w:p w14:paraId="15516071" w14:textId="77777777" w:rsidR="00C952D0" w:rsidRPr="00DF406D" w:rsidRDefault="008B0FC8" w:rsidP="00DF406D">
      <w:pPr>
        <w:ind w:right="19"/>
        <w:rPr>
          <w:sz w:val="20"/>
          <w:szCs w:val="20"/>
        </w:rPr>
      </w:pPr>
      <w:r w:rsidRPr="00DF406D">
        <w:rPr>
          <w:sz w:val="20"/>
          <w:szCs w:val="20"/>
        </w:rPr>
        <w:t>All capitalized terms used in this CO No.</w:t>
      </w:r>
      <w:r w:rsidRPr="00DF406D">
        <w:rPr>
          <w:b/>
          <w:i/>
          <w:sz w:val="20"/>
          <w:szCs w:val="20"/>
        </w:rPr>
        <w:t xml:space="preserve"> </w:t>
      </w:r>
      <w:r w:rsidRPr="00DF406D">
        <w:rPr>
          <w:i/>
          <w:sz w:val="20"/>
          <w:szCs w:val="20"/>
        </w:rPr>
        <w:t>&lt;&lt;##&gt;&gt;</w:t>
      </w:r>
      <w:r w:rsidRPr="00DF406D">
        <w:rPr>
          <w:sz w:val="20"/>
          <w:szCs w:val="20"/>
        </w:rPr>
        <w:t xml:space="preserve"> shall have the meaning attributed thereto in the Agreement or in SOW No. 20</w:t>
      </w:r>
      <w:r w:rsidRPr="00DF406D">
        <w:rPr>
          <w:i/>
          <w:sz w:val="20"/>
          <w:szCs w:val="20"/>
        </w:rPr>
        <w:t>YY</w:t>
      </w:r>
      <w:r w:rsidRPr="00DF406D">
        <w:rPr>
          <w:sz w:val="20"/>
          <w:szCs w:val="20"/>
        </w:rPr>
        <w:t>-</w:t>
      </w:r>
      <w:r w:rsidRPr="00DF406D">
        <w:rPr>
          <w:i/>
          <w:sz w:val="20"/>
          <w:szCs w:val="20"/>
        </w:rPr>
        <w:t>xx</w:t>
      </w:r>
      <w:r w:rsidRPr="00DF406D">
        <w:rPr>
          <w:sz w:val="20"/>
          <w:szCs w:val="20"/>
        </w:rPr>
        <w:t>, as amended, unless otherwise defined in this CO No.</w:t>
      </w:r>
      <w:r w:rsidRPr="00DF406D">
        <w:rPr>
          <w:i/>
          <w:sz w:val="20"/>
          <w:szCs w:val="20"/>
        </w:rPr>
        <w:t xml:space="preserve"> ##</w:t>
      </w:r>
      <w:r w:rsidRPr="00DF406D">
        <w:rPr>
          <w:sz w:val="20"/>
          <w:szCs w:val="20"/>
        </w:rPr>
        <w:t>.</w:t>
      </w:r>
    </w:p>
    <w:p w14:paraId="6DED91F6" w14:textId="77777777" w:rsidR="00C952D0" w:rsidRPr="00DF406D" w:rsidRDefault="00C952D0" w:rsidP="00DF406D">
      <w:pPr>
        <w:widowControl w:val="0"/>
        <w:ind w:right="594"/>
        <w:rPr>
          <w:sz w:val="20"/>
          <w:szCs w:val="20"/>
        </w:rPr>
      </w:pPr>
    </w:p>
    <w:p w14:paraId="4E056C13" w14:textId="77777777" w:rsidR="00C952D0" w:rsidRPr="00DF406D" w:rsidRDefault="008B0FC8" w:rsidP="00DF406D">
      <w:pPr>
        <w:ind w:right="19"/>
        <w:rPr>
          <w:b/>
          <w:smallCaps/>
          <w:sz w:val="20"/>
          <w:szCs w:val="20"/>
        </w:rPr>
      </w:pPr>
      <w:r w:rsidRPr="00DF406D">
        <w:rPr>
          <w:b/>
          <w:smallCaps/>
          <w:sz w:val="20"/>
          <w:szCs w:val="20"/>
        </w:rPr>
        <w:t>WHEREAS</w:t>
      </w:r>
      <w:r w:rsidRPr="00DF406D">
        <w:rPr>
          <w:b/>
          <w:sz w:val="20"/>
          <w:szCs w:val="20"/>
        </w:rPr>
        <w:t>:</w:t>
      </w:r>
    </w:p>
    <w:p w14:paraId="410FE959" w14:textId="77777777" w:rsidR="00C952D0" w:rsidRPr="00DF406D" w:rsidRDefault="008B0FC8" w:rsidP="00DF406D">
      <w:pPr>
        <w:numPr>
          <w:ilvl w:val="0"/>
          <w:numId w:val="1"/>
        </w:numPr>
        <w:ind w:left="567" w:right="19" w:hanging="408"/>
        <w:contextualSpacing/>
        <w:rPr>
          <w:sz w:val="20"/>
          <w:szCs w:val="20"/>
        </w:rPr>
      </w:pPr>
      <w:r w:rsidRPr="00DF406D">
        <w:rPr>
          <w:sz w:val="20"/>
          <w:szCs w:val="20"/>
        </w:rPr>
        <w:t>TELUS and TI entered into SOW No. 20</w:t>
      </w:r>
      <w:r w:rsidRPr="00DF406D">
        <w:rPr>
          <w:i/>
          <w:sz w:val="20"/>
          <w:szCs w:val="20"/>
        </w:rPr>
        <w:t>YY</w:t>
      </w:r>
      <w:r w:rsidRPr="00DF406D">
        <w:rPr>
          <w:sz w:val="20"/>
          <w:szCs w:val="20"/>
        </w:rPr>
        <w:t>-</w:t>
      </w:r>
      <w:r w:rsidRPr="00DF406D">
        <w:rPr>
          <w:i/>
          <w:sz w:val="20"/>
          <w:szCs w:val="20"/>
        </w:rPr>
        <w:t>xx</w:t>
      </w:r>
      <w:r w:rsidRPr="00DF406D">
        <w:rPr>
          <w:sz w:val="20"/>
          <w:szCs w:val="20"/>
        </w:rPr>
        <w:t xml:space="preserve"> effective &lt;&lt;</w:t>
      </w:r>
      <w:r w:rsidRPr="00DF406D">
        <w:rPr>
          <w:i/>
          <w:sz w:val="20"/>
          <w:szCs w:val="20"/>
        </w:rPr>
        <w:t>Month Day, Year&gt;&gt;</w:t>
      </w:r>
      <w:r w:rsidRPr="00DF406D">
        <w:rPr>
          <w:sz w:val="20"/>
          <w:szCs w:val="20"/>
        </w:rPr>
        <w:t>;</w:t>
      </w:r>
    </w:p>
    <w:p w14:paraId="1A77CA02" w14:textId="77777777" w:rsidR="00C952D0" w:rsidRPr="00DF406D" w:rsidRDefault="008B0FC8" w:rsidP="00DF406D">
      <w:pPr>
        <w:numPr>
          <w:ilvl w:val="0"/>
          <w:numId w:val="1"/>
        </w:numPr>
        <w:ind w:left="567" w:right="19" w:hanging="408"/>
        <w:contextualSpacing/>
        <w:rPr>
          <w:sz w:val="20"/>
          <w:szCs w:val="20"/>
        </w:rPr>
      </w:pPr>
      <w:r w:rsidRPr="00DF406D">
        <w:rPr>
          <w:i/>
          <w:sz w:val="20"/>
          <w:szCs w:val="20"/>
        </w:rPr>
        <w:t>&lt;&lt;The Parties previously amended various provisions of SOW No. 20YY-xx&gt;&gt;</w:t>
      </w:r>
      <w:r w:rsidRPr="00DF406D">
        <w:rPr>
          <w:sz w:val="20"/>
          <w:szCs w:val="20"/>
        </w:rPr>
        <w:t>; and</w:t>
      </w:r>
    </w:p>
    <w:p w14:paraId="008D7DEE" w14:textId="77777777" w:rsidR="00C952D0" w:rsidRPr="00DF406D" w:rsidRDefault="008B0FC8" w:rsidP="00DF406D">
      <w:pPr>
        <w:numPr>
          <w:ilvl w:val="0"/>
          <w:numId w:val="1"/>
        </w:numPr>
        <w:ind w:left="567" w:right="19" w:hanging="408"/>
        <w:contextualSpacing/>
        <w:rPr>
          <w:sz w:val="20"/>
          <w:szCs w:val="20"/>
        </w:rPr>
      </w:pPr>
      <w:r w:rsidRPr="00DF406D">
        <w:rPr>
          <w:sz w:val="20"/>
          <w:szCs w:val="20"/>
        </w:rPr>
        <w:t>The Parties now wish to &lt;&lt;</w:t>
      </w:r>
      <w:r w:rsidRPr="00DF406D">
        <w:rPr>
          <w:i/>
          <w:sz w:val="20"/>
          <w:szCs w:val="20"/>
        </w:rPr>
        <w:t>further&gt;&gt;</w:t>
      </w:r>
      <w:r w:rsidRPr="00DF406D">
        <w:rPr>
          <w:sz w:val="20"/>
          <w:szCs w:val="20"/>
        </w:rPr>
        <w:t xml:space="preserve"> amend certain SOW No. 20</w:t>
      </w:r>
      <w:r w:rsidRPr="00DF406D">
        <w:rPr>
          <w:i/>
          <w:sz w:val="20"/>
          <w:szCs w:val="20"/>
        </w:rPr>
        <w:t>YY</w:t>
      </w:r>
      <w:r w:rsidRPr="00DF406D">
        <w:rPr>
          <w:sz w:val="20"/>
          <w:szCs w:val="20"/>
        </w:rPr>
        <w:t>-</w:t>
      </w:r>
      <w:r w:rsidRPr="00DF406D">
        <w:rPr>
          <w:i/>
          <w:sz w:val="20"/>
          <w:szCs w:val="20"/>
        </w:rPr>
        <w:t>xx</w:t>
      </w:r>
      <w:r w:rsidRPr="00DF406D">
        <w:rPr>
          <w:sz w:val="20"/>
          <w:szCs w:val="20"/>
        </w:rPr>
        <w:t xml:space="preserve"> provisions.</w:t>
      </w:r>
    </w:p>
    <w:p w14:paraId="4F24C6B6" w14:textId="77777777" w:rsidR="00C952D0" w:rsidRPr="00DF406D" w:rsidRDefault="00C952D0" w:rsidP="00DF406D">
      <w:pPr>
        <w:ind w:left="567" w:right="19"/>
        <w:rPr>
          <w:sz w:val="20"/>
          <w:szCs w:val="20"/>
        </w:rPr>
      </w:pPr>
    </w:p>
    <w:p w14:paraId="50E8173F" w14:textId="77777777" w:rsidR="00C952D0" w:rsidRPr="00DF406D" w:rsidRDefault="008B0FC8" w:rsidP="00DF406D">
      <w:pPr>
        <w:ind w:right="19"/>
        <w:rPr>
          <w:sz w:val="20"/>
          <w:szCs w:val="20"/>
        </w:rPr>
      </w:pPr>
      <w:r w:rsidRPr="00DF406D">
        <w:rPr>
          <w:b/>
          <w:smallCaps/>
          <w:sz w:val="20"/>
          <w:szCs w:val="20"/>
        </w:rPr>
        <w:t>NOW, THEREFORE</w:t>
      </w:r>
      <w:r w:rsidRPr="00DF406D">
        <w:rPr>
          <w:b/>
          <w:sz w:val="20"/>
          <w:szCs w:val="20"/>
        </w:rPr>
        <w:t>,</w:t>
      </w:r>
      <w:r w:rsidRPr="00DF406D">
        <w:rPr>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72D0BD1A" w14:textId="77777777" w:rsidR="00C952D0" w:rsidRPr="00DF406D" w:rsidRDefault="00C952D0" w:rsidP="00DF406D">
      <w:pPr>
        <w:ind w:left="567" w:right="19"/>
        <w:rPr>
          <w:sz w:val="20"/>
          <w:szCs w:val="20"/>
        </w:rPr>
      </w:pPr>
    </w:p>
    <w:p w14:paraId="4CF379E4" w14:textId="77777777" w:rsidR="00C952D0" w:rsidRPr="00DF406D" w:rsidRDefault="008B0FC8" w:rsidP="00DF406D">
      <w:pPr>
        <w:numPr>
          <w:ilvl w:val="0"/>
          <w:numId w:val="9"/>
        </w:numPr>
        <w:ind w:left="360" w:right="19"/>
        <w:contextualSpacing/>
        <w:rPr>
          <w:b/>
          <w:sz w:val="20"/>
          <w:szCs w:val="20"/>
        </w:rPr>
      </w:pPr>
      <w:r w:rsidRPr="00DF406D">
        <w:rPr>
          <w:b/>
          <w:sz w:val="20"/>
          <w:szCs w:val="20"/>
        </w:rPr>
        <w:t>SUMMARY OF CHANGES FROM THIS CHANGE ORDER</w:t>
      </w:r>
    </w:p>
    <w:p w14:paraId="33980BF3" w14:textId="77777777" w:rsidR="00C952D0" w:rsidRPr="00DF406D" w:rsidRDefault="008B0FC8" w:rsidP="00DF406D">
      <w:pPr>
        <w:spacing w:after="360"/>
        <w:ind w:left="360" w:right="19"/>
        <w:rPr>
          <w:i/>
          <w:sz w:val="20"/>
          <w:szCs w:val="20"/>
        </w:rPr>
      </w:pPr>
      <w:r w:rsidRPr="00DF406D">
        <w:rPr>
          <w:i/>
          <w:sz w:val="20"/>
          <w:szCs w:val="20"/>
        </w:rPr>
        <w:t>&lt;&lt;Provide an executive summary of the key change(s). Also list the incremental change in the Maximum Total Fees, as well as the resulting new revised Maximum Total Fees over the entire contract value since SOW Start Date, until the latest SOW End Date.&gt;&gt;</w:t>
      </w:r>
    </w:p>
    <w:p w14:paraId="6B0F473C" w14:textId="77777777" w:rsidR="00C952D0" w:rsidRPr="00DF406D" w:rsidRDefault="008B0FC8" w:rsidP="00DF406D">
      <w:pPr>
        <w:numPr>
          <w:ilvl w:val="0"/>
          <w:numId w:val="9"/>
        </w:numPr>
        <w:ind w:left="360" w:right="19"/>
        <w:contextualSpacing/>
        <w:rPr>
          <w:b/>
          <w:sz w:val="20"/>
          <w:szCs w:val="20"/>
        </w:rPr>
      </w:pPr>
      <w:r w:rsidRPr="00DF406D">
        <w:rPr>
          <w:b/>
          <w:sz w:val="20"/>
          <w:szCs w:val="20"/>
        </w:rPr>
        <w:t>DETAILS OF CHANGES FROM THIS CHANGE ORDER</w:t>
      </w:r>
    </w:p>
    <w:p w14:paraId="442CC075" w14:textId="77777777" w:rsidR="00C952D0" w:rsidRPr="00DF406D" w:rsidRDefault="008B0FC8" w:rsidP="00DF406D">
      <w:pPr>
        <w:spacing w:after="360"/>
        <w:ind w:left="360" w:right="19"/>
        <w:rPr>
          <w:i/>
          <w:sz w:val="20"/>
          <w:szCs w:val="20"/>
        </w:rPr>
      </w:pPr>
      <w:r w:rsidRPr="00DF406D">
        <w:rPr>
          <w:i/>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03E0257E" w14:textId="77777777" w:rsidR="00C952D0" w:rsidRPr="00DF406D" w:rsidRDefault="008B0FC8" w:rsidP="00DF406D">
      <w:pPr>
        <w:ind w:right="19"/>
        <w:rPr>
          <w:sz w:val="20"/>
          <w:szCs w:val="20"/>
        </w:rPr>
      </w:pPr>
      <w:r w:rsidRPr="00DF406D">
        <w:rPr>
          <w:sz w:val="20"/>
          <w:szCs w:val="20"/>
        </w:rPr>
        <w:t>All other terms and conditions of SOW No. 20</w:t>
      </w:r>
      <w:r w:rsidRPr="00DF406D">
        <w:rPr>
          <w:i/>
          <w:sz w:val="20"/>
          <w:szCs w:val="20"/>
        </w:rPr>
        <w:t>YY-##</w:t>
      </w:r>
      <w:r w:rsidRPr="00DF406D">
        <w:rPr>
          <w:sz w:val="20"/>
          <w:szCs w:val="20"/>
        </w:rPr>
        <w:t xml:space="preserve">, as amended, shall remain in full force and effect, un-amended under this CO No. </w:t>
      </w:r>
      <w:r w:rsidRPr="00DF406D">
        <w:rPr>
          <w:i/>
          <w:sz w:val="20"/>
          <w:szCs w:val="20"/>
        </w:rPr>
        <w:t>&lt;&lt;##&gt;&gt;</w:t>
      </w:r>
      <w:r w:rsidRPr="00DF406D">
        <w:rPr>
          <w:sz w:val="20"/>
          <w:szCs w:val="20"/>
        </w:rPr>
        <w:t>, except as expressly provided for in this CO No.</w:t>
      </w:r>
      <w:r w:rsidRPr="00DF406D">
        <w:rPr>
          <w:i/>
          <w:sz w:val="20"/>
          <w:szCs w:val="20"/>
        </w:rPr>
        <w:t xml:space="preserve"> &lt;&lt;##&gt;&gt;.</w:t>
      </w:r>
    </w:p>
    <w:p w14:paraId="490B1635" w14:textId="77777777" w:rsidR="00C952D0" w:rsidRPr="00DF406D" w:rsidRDefault="00C952D0" w:rsidP="00DF406D">
      <w:pPr>
        <w:ind w:right="19"/>
        <w:rPr>
          <w:sz w:val="20"/>
          <w:szCs w:val="20"/>
        </w:rPr>
      </w:pPr>
    </w:p>
    <w:p w14:paraId="495FDB60" w14:textId="77777777" w:rsidR="00C952D0" w:rsidRPr="00DF406D" w:rsidRDefault="008B0FC8" w:rsidP="00DF406D">
      <w:pPr>
        <w:ind w:right="19"/>
        <w:rPr>
          <w:sz w:val="20"/>
          <w:szCs w:val="20"/>
        </w:rPr>
      </w:pPr>
      <w:r w:rsidRPr="00DF406D">
        <w:rPr>
          <w:sz w:val="20"/>
          <w:szCs w:val="20"/>
        </w:rPr>
        <w:t xml:space="preserve">Each Party covenants and agrees that, subsequent to the execution and delivery of this CO No. </w:t>
      </w:r>
      <w:r w:rsidRPr="00DF406D">
        <w:rPr>
          <w:i/>
          <w:sz w:val="20"/>
          <w:szCs w:val="20"/>
        </w:rPr>
        <w:t>&lt;&lt;##&gt;&gt;</w:t>
      </w:r>
      <w:r w:rsidRPr="00DF406D">
        <w:rPr>
          <w:sz w:val="20"/>
          <w:szCs w:val="20"/>
        </w:rPr>
        <w:t xml:space="preserve"> and without any additional consideration, each Party shall execute and deliver any further legal instruments and perform any acts that are or may become necessary to fully perform and carry out the terms and intent of this CO No. </w:t>
      </w:r>
      <w:r w:rsidRPr="00DF406D">
        <w:rPr>
          <w:i/>
          <w:sz w:val="20"/>
          <w:szCs w:val="20"/>
        </w:rPr>
        <w:t>&lt;&lt;##&gt;&gt;</w:t>
      </w:r>
      <w:r w:rsidRPr="00DF406D">
        <w:rPr>
          <w:sz w:val="20"/>
          <w:szCs w:val="20"/>
        </w:rPr>
        <w:t>.</w:t>
      </w:r>
    </w:p>
    <w:p w14:paraId="7D6FCFD5" w14:textId="77777777" w:rsidR="00C952D0" w:rsidRPr="00DF406D" w:rsidRDefault="00C952D0" w:rsidP="00DF406D">
      <w:pPr>
        <w:ind w:right="19"/>
        <w:rPr>
          <w:b/>
          <w:sz w:val="20"/>
          <w:szCs w:val="20"/>
        </w:rPr>
      </w:pPr>
    </w:p>
    <w:p w14:paraId="4585160A" w14:textId="77777777" w:rsidR="00C952D0" w:rsidRPr="00DF406D" w:rsidRDefault="008B0FC8" w:rsidP="00DF406D">
      <w:pPr>
        <w:ind w:right="19"/>
        <w:rPr>
          <w:sz w:val="20"/>
          <w:szCs w:val="20"/>
        </w:rPr>
      </w:pPr>
      <w:r w:rsidRPr="00DF406D">
        <w:rPr>
          <w:b/>
          <w:sz w:val="20"/>
          <w:szCs w:val="20"/>
        </w:rPr>
        <w:t>Counterparts</w:t>
      </w:r>
      <w:r w:rsidRPr="00DF406D">
        <w:rPr>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1DAB5A9F" w14:textId="77777777" w:rsidR="00C952D0" w:rsidRPr="00DF406D" w:rsidRDefault="00C952D0" w:rsidP="00DF406D">
      <w:pPr>
        <w:spacing w:after="120"/>
        <w:ind w:left="567" w:right="595"/>
      </w:pPr>
    </w:p>
    <w:p w14:paraId="51C04932" w14:textId="77777777" w:rsidR="00C952D0" w:rsidRPr="00DF406D" w:rsidRDefault="008B0FC8" w:rsidP="00DF406D">
      <w:pPr>
        <w:tabs>
          <w:tab w:val="left" w:pos="6691"/>
        </w:tabs>
        <w:rPr>
          <w:sz w:val="20"/>
          <w:szCs w:val="20"/>
        </w:rPr>
      </w:pPr>
      <w:r w:rsidRPr="00DF406D">
        <w:rPr>
          <w:sz w:val="20"/>
          <w:szCs w:val="20"/>
        </w:rPr>
        <w:t xml:space="preserve">Agreed and Accepted: </w:t>
      </w:r>
    </w:p>
    <w:p w14:paraId="58C4EF49" w14:textId="77777777" w:rsidR="00C952D0" w:rsidRPr="00DF406D" w:rsidRDefault="00C952D0" w:rsidP="00DF406D">
      <w:pPr>
        <w:rPr>
          <w:sz w:val="20"/>
          <w:szCs w:val="20"/>
        </w:rPr>
      </w:pPr>
    </w:p>
    <w:tbl>
      <w:tblPr>
        <w:tblStyle w:val="a9"/>
        <w:tblW w:w="0" w:type="auto"/>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C952D0" w:rsidRPr="00DF406D" w14:paraId="4F862E17" w14:textId="77777777">
        <w:tc>
          <w:tcPr>
            <w:tcW w:w="4680" w:type="dxa"/>
          </w:tcPr>
          <w:p w14:paraId="161CA17C" w14:textId="77777777" w:rsidR="00C952D0" w:rsidRPr="00DF406D" w:rsidRDefault="008B0FC8" w:rsidP="00DF406D">
            <w:pPr>
              <w:rPr>
                <w:rFonts w:ascii="Arial" w:hAnsi="Arial" w:cs="Arial"/>
                <w:b/>
                <w:color w:val="auto"/>
              </w:rPr>
            </w:pPr>
            <w:r w:rsidRPr="00DF406D">
              <w:rPr>
                <w:rFonts w:ascii="Arial" w:hAnsi="Arial" w:cs="Arial"/>
                <w:b/>
                <w:color w:val="auto"/>
              </w:rPr>
              <w:lastRenderedPageBreak/>
              <w:t>TELUS Communications Inc.</w:t>
            </w:r>
          </w:p>
          <w:p w14:paraId="636BBCFB" w14:textId="77777777" w:rsidR="00C952D0" w:rsidRPr="00DF406D" w:rsidRDefault="00C952D0" w:rsidP="00DF406D">
            <w:pPr>
              <w:rPr>
                <w:rFonts w:ascii="Arial" w:hAnsi="Arial" w:cs="Arial"/>
                <w:color w:val="auto"/>
              </w:rPr>
            </w:pPr>
          </w:p>
          <w:p w14:paraId="373DC618" w14:textId="77777777" w:rsidR="00C952D0" w:rsidRPr="00DF406D" w:rsidRDefault="00C952D0" w:rsidP="00DF406D">
            <w:pPr>
              <w:rPr>
                <w:rFonts w:ascii="Arial" w:hAnsi="Arial" w:cs="Arial"/>
                <w:color w:val="auto"/>
              </w:rPr>
            </w:pPr>
          </w:p>
          <w:p w14:paraId="57E5698C" w14:textId="77777777" w:rsidR="00C952D0" w:rsidRPr="00DF406D" w:rsidRDefault="008B0FC8" w:rsidP="00DF406D">
            <w:pPr>
              <w:rPr>
                <w:rFonts w:ascii="Arial" w:hAnsi="Arial" w:cs="Arial"/>
                <w:color w:val="auto"/>
              </w:rPr>
            </w:pPr>
            <w:r w:rsidRPr="00DF406D">
              <w:rPr>
                <w:rFonts w:ascii="Arial" w:hAnsi="Arial" w:cs="Arial"/>
                <w:color w:val="auto"/>
              </w:rPr>
              <w:t>By:        ________________________</w:t>
            </w:r>
          </w:p>
          <w:p w14:paraId="170F101B" w14:textId="77777777" w:rsidR="00C952D0" w:rsidRPr="00DF406D" w:rsidRDefault="00C952D0" w:rsidP="00DF406D">
            <w:pPr>
              <w:rPr>
                <w:rFonts w:ascii="Arial" w:hAnsi="Arial" w:cs="Arial"/>
                <w:color w:val="auto"/>
              </w:rPr>
            </w:pPr>
          </w:p>
          <w:p w14:paraId="37E99308" w14:textId="77777777" w:rsidR="00C952D0" w:rsidRPr="00DF406D" w:rsidRDefault="008B0FC8" w:rsidP="00DF406D">
            <w:pPr>
              <w:rPr>
                <w:rFonts w:ascii="Arial" w:hAnsi="Arial" w:cs="Arial"/>
                <w:color w:val="auto"/>
              </w:rPr>
            </w:pPr>
            <w:r w:rsidRPr="00DF406D">
              <w:rPr>
                <w:rFonts w:ascii="Arial" w:hAnsi="Arial" w:cs="Arial"/>
                <w:color w:val="auto"/>
              </w:rPr>
              <w:t>Printed: ________________________</w:t>
            </w:r>
          </w:p>
          <w:p w14:paraId="16BA6EBA" w14:textId="77777777" w:rsidR="00C952D0" w:rsidRPr="00DF406D" w:rsidRDefault="00C952D0" w:rsidP="00DF406D">
            <w:pPr>
              <w:rPr>
                <w:rFonts w:ascii="Arial" w:hAnsi="Arial" w:cs="Arial"/>
                <w:color w:val="auto"/>
              </w:rPr>
            </w:pPr>
          </w:p>
          <w:p w14:paraId="0936A0BA" w14:textId="77777777" w:rsidR="00C952D0" w:rsidRPr="00DF406D" w:rsidRDefault="008B0FC8" w:rsidP="00DF406D">
            <w:pPr>
              <w:rPr>
                <w:rFonts w:ascii="Arial" w:hAnsi="Arial" w:cs="Arial"/>
                <w:color w:val="auto"/>
              </w:rPr>
            </w:pPr>
            <w:r w:rsidRPr="00DF406D">
              <w:rPr>
                <w:rFonts w:ascii="Arial" w:hAnsi="Arial" w:cs="Arial"/>
                <w:color w:val="auto"/>
              </w:rPr>
              <w:t>Title:     ________________________</w:t>
            </w:r>
          </w:p>
          <w:p w14:paraId="0FC0BA2B" w14:textId="77777777" w:rsidR="00C952D0" w:rsidRPr="00DF406D" w:rsidRDefault="00C952D0" w:rsidP="00DF406D">
            <w:pPr>
              <w:rPr>
                <w:rFonts w:ascii="Arial" w:hAnsi="Arial" w:cs="Arial"/>
                <w:color w:val="auto"/>
              </w:rPr>
            </w:pPr>
          </w:p>
          <w:p w14:paraId="6FB2B8BE" w14:textId="77777777" w:rsidR="00C952D0" w:rsidRPr="00DF406D" w:rsidRDefault="008B0FC8" w:rsidP="00DF406D">
            <w:pPr>
              <w:rPr>
                <w:rFonts w:ascii="Arial" w:hAnsi="Arial" w:cs="Arial"/>
                <w:color w:val="auto"/>
              </w:rPr>
            </w:pPr>
            <w:r w:rsidRPr="00DF406D">
              <w:rPr>
                <w:rFonts w:ascii="Arial" w:hAnsi="Arial" w:cs="Arial"/>
                <w:color w:val="auto"/>
              </w:rPr>
              <w:t>Date:    ________________________</w:t>
            </w:r>
          </w:p>
        </w:tc>
        <w:tc>
          <w:tcPr>
            <w:tcW w:w="4680" w:type="dxa"/>
          </w:tcPr>
          <w:p w14:paraId="366648E9" w14:textId="71E5B053" w:rsidR="00C952D0" w:rsidRPr="00DF406D" w:rsidRDefault="00B53569" w:rsidP="00DF406D">
            <w:pPr>
              <w:rPr>
                <w:rFonts w:ascii="Arial" w:hAnsi="Arial" w:cs="Arial"/>
                <w:b/>
                <w:color w:val="auto"/>
              </w:rPr>
            </w:pPr>
            <w:proofErr w:type="spellStart"/>
            <w:r>
              <w:t>smth</w:t>
            </w:r>
            <w:proofErr w:type="spellEnd"/>
            <w:r w:rsidRPr="00DF406D">
              <w:t xml:space="preserve"> </w:t>
            </w:r>
            <w:r w:rsidR="008B0FC8" w:rsidRPr="00DF406D">
              <w:rPr>
                <w:rFonts w:ascii="Arial" w:hAnsi="Arial" w:cs="Arial"/>
                <w:b/>
                <w:color w:val="auto"/>
              </w:rPr>
              <w:t>(</w:t>
            </w:r>
            <w:proofErr w:type="spellStart"/>
            <w:r w:rsidR="008B0FC8" w:rsidRPr="00DF406D">
              <w:rPr>
                <w:rFonts w:ascii="Arial" w:hAnsi="Arial" w:cs="Arial"/>
                <w:b/>
                <w:color w:val="auto"/>
              </w:rPr>
              <w:t>Cda</w:t>
            </w:r>
            <w:proofErr w:type="spellEnd"/>
            <w:r w:rsidR="008B0FC8" w:rsidRPr="00DF406D">
              <w:rPr>
                <w:rFonts w:ascii="Arial" w:hAnsi="Arial" w:cs="Arial"/>
                <w:b/>
                <w:color w:val="auto"/>
              </w:rPr>
              <w:t>) Inc.</w:t>
            </w:r>
          </w:p>
          <w:p w14:paraId="0D07DE1A" w14:textId="77777777" w:rsidR="00C952D0" w:rsidRPr="00DF406D" w:rsidRDefault="00C952D0" w:rsidP="00DF406D">
            <w:pPr>
              <w:rPr>
                <w:rFonts w:ascii="Arial" w:hAnsi="Arial" w:cs="Arial"/>
                <w:color w:val="auto"/>
              </w:rPr>
            </w:pPr>
          </w:p>
          <w:p w14:paraId="01E03B8E" w14:textId="77777777" w:rsidR="00C952D0" w:rsidRPr="00DF406D" w:rsidRDefault="00C952D0" w:rsidP="00DF406D">
            <w:pPr>
              <w:rPr>
                <w:rFonts w:ascii="Arial" w:hAnsi="Arial" w:cs="Arial"/>
                <w:color w:val="auto"/>
              </w:rPr>
            </w:pPr>
          </w:p>
          <w:p w14:paraId="12595B3B" w14:textId="77777777" w:rsidR="00C952D0" w:rsidRPr="00DF406D" w:rsidRDefault="008B0FC8" w:rsidP="00DF406D">
            <w:pPr>
              <w:rPr>
                <w:rFonts w:ascii="Arial" w:hAnsi="Arial" w:cs="Arial"/>
                <w:color w:val="auto"/>
              </w:rPr>
            </w:pPr>
            <w:r w:rsidRPr="00DF406D">
              <w:rPr>
                <w:rFonts w:ascii="Arial" w:hAnsi="Arial" w:cs="Arial"/>
                <w:color w:val="auto"/>
              </w:rPr>
              <w:t>By:        _______________________</w:t>
            </w:r>
          </w:p>
          <w:p w14:paraId="090D9319" w14:textId="77777777" w:rsidR="00C952D0" w:rsidRPr="00DF406D" w:rsidRDefault="00C952D0" w:rsidP="00DF406D">
            <w:pPr>
              <w:rPr>
                <w:rFonts w:ascii="Arial" w:hAnsi="Arial" w:cs="Arial"/>
                <w:color w:val="auto"/>
              </w:rPr>
            </w:pPr>
          </w:p>
          <w:p w14:paraId="68D0D416" w14:textId="77777777" w:rsidR="00C952D0" w:rsidRPr="00DF406D" w:rsidRDefault="008B0FC8" w:rsidP="00DF406D">
            <w:pPr>
              <w:rPr>
                <w:rFonts w:ascii="Arial" w:hAnsi="Arial" w:cs="Arial"/>
                <w:color w:val="auto"/>
              </w:rPr>
            </w:pPr>
            <w:r w:rsidRPr="00DF406D">
              <w:rPr>
                <w:rFonts w:ascii="Arial" w:hAnsi="Arial" w:cs="Arial"/>
                <w:color w:val="auto"/>
              </w:rPr>
              <w:t>Printed: _______________________</w:t>
            </w:r>
          </w:p>
          <w:p w14:paraId="2E653E10" w14:textId="77777777" w:rsidR="00C952D0" w:rsidRPr="00DF406D" w:rsidRDefault="00C952D0" w:rsidP="00DF406D">
            <w:pPr>
              <w:rPr>
                <w:rFonts w:ascii="Arial" w:hAnsi="Arial" w:cs="Arial"/>
                <w:color w:val="auto"/>
              </w:rPr>
            </w:pPr>
          </w:p>
          <w:p w14:paraId="7D0ABF21" w14:textId="77777777" w:rsidR="00C952D0" w:rsidRPr="00DF406D" w:rsidRDefault="008B0FC8" w:rsidP="00DF406D">
            <w:pPr>
              <w:rPr>
                <w:rFonts w:ascii="Arial" w:hAnsi="Arial" w:cs="Arial"/>
                <w:color w:val="auto"/>
              </w:rPr>
            </w:pPr>
            <w:r w:rsidRPr="00DF406D">
              <w:rPr>
                <w:rFonts w:ascii="Arial" w:hAnsi="Arial" w:cs="Arial"/>
                <w:color w:val="auto"/>
              </w:rPr>
              <w:t>Title:     _______________________</w:t>
            </w:r>
          </w:p>
          <w:p w14:paraId="20535498" w14:textId="77777777" w:rsidR="00C952D0" w:rsidRPr="00DF406D" w:rsidRDefault="00C952D0" w:rsidP="00DF406D">
            <w:pPr>
              <w:rPr>
                <w:rFonts w:ascii="Arial" w:hAnsi="Arial" w:cs="Arial"/>
                <w:color w:val="auto"/>
              </w:rPr>
            </w:pPr>
          </w:p>
          <w:p w14:paraId="37E10B95" w14:textId="77777777" w:rsidR="00C952D0" w:rsidRPr="00DF406D" w:rsidRDefault="008B0FC8" w:rsidP="00DF406D">
            <w:pPr>
              <w:rPr>
                <w:rFonts w:ascii="Arial" w:hAnsi="Arial" w:cs="Arial"/>
                <w:color w:val="auto"/>
              </w:rPr>
            </w:pPr>
            <w:r w:rsidRPr="00DF406D">
              <w:rPr>
                <w:rFonts w:ascii="Arial" w:hAnsi="Arial" w:cs="Arial"/>
                <w:color w:val="auto"/>
              </w:rPr>
              <w:t>Date:    _______________________</w:t>
            </w:r>
          </w:p>
        </w:tc>
      </w:tr>
    </w:tbl>
    <w:p w14:paraId="69A315D3" w14:textId="77777777" w:rsidR="00C952D0" w:rsidRPr="00DF406D" w:rsidRDefault="00C952D0" w:rsidP="00DF406D">
      <w:pPr>
        <w:rPr>
          <w:sz w:val="20"/>
          <w:szCs w:val="20"/>
        </w:rPr>
      </w:pPr>
    </w:p>
    <w:p w14:paraId="308927F4" w14:textId="77777777" w:rsidR="00C952D0" w:rsidRPr="00DF406D" w:rsidRDefault="008B0FC8" w:rsidP="00DF406D">
      <w:pPr>
        <w:rPr>
          <w:i/>
          <w:sz w:val="16"/>
          <w:szCs w:val="16"/>
        </w:rPr>
      </w:pPr>
      <w:r w:rsidRPr="00DF406D">
        <w:rPr>
          <w:i/>
          <w:sz w:val="16"/>
          <w:szCs w:val="16"/>
        </w:rPr>
        <w:t>TELUS Cost Center: ______________________</w:t>
      </w:r>
    </w:p>
    <w:p w14:paraId="18CE8F7D" w14:textId="77777777" w:rsidR="00C952D0" w:rsidRPr="00DF406D" w:rsidRDefault="008B0FC8" w:rsidP="00DF406D">
      <w:pPr>
        <w:rPr>
          <w:i/>
          <w:sz w:val="16"/>
          <w:szCs w:val="16"/>
        </w:rPr>
      </w:pPr>
      <w:r w:rsidRPr="00DF406D">
        <w:rPr>
          <w:i/>
          <w:sz w:val="16"/>
          <w:szCs w:val="16"/>
        </w:rPr>
        <w:tab/>
      </w:r>
      <w:r w:rsidRPr="00DF406D">
        <w:rPr>
          <w:i/>
          <w:sz w:val="16"/>
          <w:szCs w:val="16"/>
        </w:rPr>
        <w:tab/>
        <w:t xml:space="preserve"> (for TELUS-internal use only)</w:t>
      </w:r>
    </w:p>
    <w:p w14:paraId="47636BB4" w14:textId="77777777" w:rsidR="00C952D0" w:rsidRPr="00DF406D" w:rsidRDefault="00C952D0" w:rsidP="00DF406D">
      <w:pPr>
        <w:jc w:val="left"/>
      </w:pPr>
    </w:p>
    <w:p w14:paraId="4C27A232" w14:textId="77777777" w:rsidR="00C952D0" w:rsidRPr="00DF406D" w:rsidRDefault="008B0FC8" w:rsidP="00DF406D">
      <w:pPr>
        <w:widowControl w:val="0"/>
        <w:spacing w:line="276" w:lineRule="auto"/>
        <w:jc w:val="left"/>
        <w:sectPr w:rsidR="00C952D0" w:rsidRPr="00DF406D">
          <w:headerReference w:type="default" r:id="rId7"/>
          <w:footerReference w:type="default" r:id="rId8"/>
          <w:pgSz w:w="12240" w:h="15840"/>
          <w:pgMar w:top="1440" w:right="1440" w:bottom="1440" w:left="1440" w:header="0" w:footer="720" w:gutter="0"/>
          <w:pgNumType w:start="1"/>
          <w:cols w:space="720"/>
        </w:sectPr>
      </w:pPr>
      <w:r w:rsidRPr="00DF406D">
        <w:br w:type="page"/>
      </w:r>
    </w:p>
    <w:p w14:paraId="27862EC8" w14:textId="77777777" w:rsidR="00C952D0" w:rsidRPr="00DF406D" w:rsidRDefault="008B0FC8" w:rsidP="00DF406D">
      <w:pPr>
        <w:jc w:val="center"/>
        <w:rPr>
          <w:b/>
          <w:sz w:val="22"/>
          <w:szCs w:val="22"/>
        </w:rPr>
      </w:pPr>
      <w:r w:rsidRPr="00DF406D">
        <w:rPr>
          <w:b/>
          <w:sz w:val="20"/>
          <w:szCs w:val="20"/>
        </w:rPr>
        <w:lastRenderedPageBreak/>
        <w:t>Appendix ‘C’</w:t>
      </w:r>
    </w:p>
    <w:p w14:paraId="61BD8798" w14:textId="77777777" w:rsidR="00C952D0" w:rsidRPr="00DF406D" w:rsidRDefault="008B0FC8" w:rsidP="00DF406D">
      <w:pPr>
        <w:jc w:val="center"/>
        <w:rPr>
          <w:b/>
          <w:sz w:val="20"/>
          <w:szCs w:val="20"/>
        </w:rPr>
      </w:pPr>
      <w:r w:rsidRPr="00DF406D">
        <w:rPr>
          <w:b/>
          <w:sz w:val="20"/>
          <w:szCs w:val="20"/>
        </w:rPr>
        <w:t>Legacy Staffing Summary</w:t>
      </w:r>
    </w:p>
    <w:p w14:paraId="3F07C35C" w14:textId="77777777" w:rsidR="00C952D0" w:rsidRPr="00DF406D" w:rsidRDefault="00C952D0" w:rsidP="00DF406D">
      <w:pPr>
        <w:jc w:val="left"/>
      </w:pPr>
    </w:p>
    <w:p w14:paraId="27DE84E7" w14:textId="77777777" w:rsidR="00C952D0" w:rsidRPr="00DF406D" w:rsidRDefault="008B0FC8" w:rsidP="00DF406D">
      <w:pPr>
        <w:jc w:val="left"/>
        <w:rPr>
          <w:sz w:val="20"/>
          <w:szCs w:val="20"/>
        </w:rPr>
      </w:pPr>
      <w:r w:rsidRPr="00DF406D">
        <w:rPr>
          <w:sz w:val="20"/>
          <w:szCs w:val="20"/>
        </w:rPr>
        <w:t>The following table summarizes the billing rates and staffing in place at the time of contracting.</w:t>
      </w:r>
    </w:p>
    <w:p w14:paraId="1E9D5BA6" w14:textId="77777777" w:rsidR="00C952D0" w:rsidRPr="00DF406D" w:rsidRDefault="00C952D0" w:rsidP="00DF406D">
      <w:pPr>
        <w:jc w:val="left"/>
        <w:rPr>
          <w:sz w:val="20"/>
          <w:szCs w:val="20"/>
        </w:rPr>
      </w:pPr>
    </w:p>
    <w:p w14:paraId="15D1BEF5" w14:textId="77777777" w:rsidR="00C952D0" w:rsidRPr="00DF406D" w:rsidRDefault="008B0FC8" w:rsidP="00DF406D">
      <w:pPr>
        <w:spacing w:before="120" w:after="60"/>
        <w:jc w:val="left"/>
        <w:rPr>
          <w:i/>
          <w:sz w:val="20"/>
          <w:szCs w:val="20"/>
        </w:rPr>
      </w:pPr>
      <w:bookmarkStart w:id="1" w:name="_gjdgxs" w:colFirst="0" w:colLast="0"/>
      <w:bookmarkEnd w:id="1"/>
      <w:r w:rsidRPr="00DF406D">
        <w:rPr>
          <w:i/>
          <w:sz w:val="20"/>
          <w:szCs w:val="20"/>
        </w:rPr>
        <w:t>Not applicable.</w:t>
      </w:r>
    </w:p>
    <w:p w14:paraId="2A9773B4" w14:textId="77777777" w:rsidR="00C952D0" w:rsidRPr="00DF406D" w:rsidRDefault="00C952D0" w:rsidP="00DF406D">
      <w:pPr>
        <w:spacing w:before="120" w:after="60"/>
        <w:jc w:val="left"/>
        <w:rPr>
          <w:i/>
          <w:sz w:val="20"/>
          <w:szCs w:val="20"/>
        </w:rPr>
      </w:pPr>
    </w:p>
    <w:p w14:paraId="0F3E8ACC" w14:textId="77777777" w:rsidR="00C952D0" w:rsidRPr="00DF406D" w:rsidRDefault="00C952D0" w:rsidP="00DF406D">
      <w:pPr>
        <w:spacing w:before="120" w:after="60"/>
        <w:jc w:val="left"/>
        <w:rPr>
          <w:i/>
          <w:sz w:val="20"/>
          <w:szCs w:val="20"/>
        </w:rPr>
      </w:pPr>
    </w:p>
    <w:p w14:paraId="6D5F75BE" w14:textId="77777777" w:rsidR="00C952D0" w:rsidRPr="00DF406D" w:rsidRDefault="00C952D0" w:rsidP="00DF406D">
      <w:pPr>
        <w:spacing w:before="120" w:after="60"/>
        <w:jc w:val="left"/>
        <w:rPr>
          <w:i/>
          <w:sz w:val="20"/>
          <w:szCs w:val="20"/>
        </w:rPr>
      </w:pPr>
    </w:p>
    <w:p w14:paraId="0234FEBA" w14:textId="77777777" w:rsidR="00C952D0" w:rsidRPr="00DF406D" w:rsidRDefault="00C952D0" w:rsidP="00DF406D">
      <w:pPr>
        <w:spacing w:before="120" w:after="60"/>
        <w:jc w:val="left"/>
        <w:rPr>
          <w:i/>
          <w:sz w:val="20"/>
          <w:szCs w:val="20"/>
        </w:rPr>
      </w:pPr>
    </w:p>
    <w:p w14:paraId="461CCD0F" w14:textId="77777777" w:rsidR="00C952D0" w:rsidRPr="00DF406D" w:rsidRDefault="00C952D0" w:rsidP="00DF406D">
      <w:pPr>
        <w:spacing w:before="120" w:after="60"/>
        <w:jc w:val="left"/>
        <w:rPr>
          <w:i/>
          <w:sz w:val="20"/>
          <w:szCs w:val="20"/>
        </w:rPr>
      </w:pPr>
    </w:p>
    <w:p w14:paraId="59F387B9" w14:textId="77777777" w:rsidR="00C952D0" w:rsidRPr="00DF406D" w:rsidRDefault="00C952D0" w:rsidP="00DF406D">
      <w:pPr>
        <w:spacing w:before="120" w:after="60"/>
        <w:jc w:val="left"/>
        <w:rPr>
          <w:i/>
          <w:sz w:val="20"/>
          <w:szCs w:val="20"/>
        </w:rPr>
      </w:pPr>
    </w:p>
    <w:p w14:paraId="6EAABBCA" w14:textId="77777777" w:rsidR="00C952D0" w:rsidRPr="00DF406D" w:rsidRDefault="00C952D0" w:rsidP="00DF406D">
      <w:pPr>
        <w:spacing w:before="120" w:after="60"/>
        <w:jc w:val="left"/>
        <w:rPr>
          <w:i/>
          <w:sz w:val="20"/>
          <w:szCs w:val="20"/>
        </w:rPr>
      </w:pPr>
    </w:p>
    <w:p w14:paraId="26F330B1" w14:textId="77777777" w:rsidR="00C952D0" w:rsidRPr="00DF406D" w:rsidRDefault="00C952D0" w:rsidP="00DF406D">
      <w:pPr>
        <w:spacing w:before="120" w:after="60"/>
        <w:jc w:val="left"/>
        <w:rPr>
          <w:i/>
          <w:sz w:val="20"/>
          <w:szCs w:val="20"/>
        </w:rPr>
      </w:pPr>
    </w:p>
    <w:p w14:paraId="5A9FB6F6" w14:textId="77777777" w:rsidR="00C952D0" w:rsidRPr="00DF406D" w:rsidRDefault="00C952D0" w:rsidP="00DF406D">
      <w:pPr>
        <w:spacing w:before="120" w:after="60"/>
        <w:jc w:val="left"/>
        <w:rPr>
          <w:i/>
          <w:sz w:val="20"/>
          <w:szCs w:val="20"/>
        </w:rPr>
      </w:pPr>
    </w:p>
    <w:p w14:paraId="3C3AF234" w14:textId="77777777" w:rsidR="00C952D0" w:rsidRPr="00DF406D" w:rsidRDefault="00C952D0" w:rsidP="00DF406D">
      <w:pPr>
        <w:spacing w:before="120" w:after="60"/>
        <w:jc w:val="left"/>
        <w:rPr>
          <w:i/>
          <w:sz w:val="20"/>
          <w:szCs w:val="20"/>
        </w:rPr>
      </w:pPr>
    </w:p>
    <w:p w14:paraId="3C6A91E1" w14:textId="77777777" w:rsidR="00C952D0" w:rsidRPr="00DF406D" w:rsidRDefault="00C952D0" w:rsidP="00DF406D">
      <w:pPr>
        <w:spacing w:before="120" w:after="60"/>
        <w:jc w:val="left"/>
        <w:rPr>
          <w:i/>
          <w:sz w:val="20"/>
          <w:szCs w:val="20"/>
        </w:rPr>
      </w:pPr>
    </w:p>
    <w:p w14:paraId="5F6B282C" w14:textId="77777777" w:rsidR="00C952D0" w:rsidRPr="00DF406D" w:rsidRDefault="00C952D0" w:rsidP="00DF406D">
      <w:pPr>
        <w:spacing w:before="120" w:after="60"/>
        <w:jc w:val="left"/>
        <w:rPr>
          <w:i/>
          <w:sz w:val="20"/>
          <w:szCs w:val="20"/>
        </w:rPr>
      </w:pPr>
    </w:p>
    <w:p w14:paraId="2CF10C1B" w14:textId="77777777" w:rsidR="00C952D0" w:rsidRPr="00DF406D" w:rsidRDefault="00C952D0" w:rsidP="00DF406D">
      <w:pPr>
        <w:spacing w:before="120" w:after="60"/>
        <w:jc w:val="left"/>
        <w:rPr>
          <w:i/>
          <w:sz w:val="20"/>
          <w:szCs w:val="20"/>
        </w:rPr>
      </w:pPr>
    </w:p>
    <w:p w14:paraId="366A45C5" w14:textId="77777777" w:rsidR="00C952D0" w:rsidRPr="00DF406D" w:rsidRDefault="00C952D0" w:rsidP="00DF406D">
      <w:pPr>
        <w:spacing w:before="120" w:after="60"/>
        <w:jc w:val="left"/>
        <w:rPr>
          <w:i/>
          <w:sz w:val="20"/>
          <w:szCs w:val="20"/>
        </w:rPr>
      </w:pPr>
    </w:p>
    <w:p w14:paraId="260367DE" w14:textId="77777777" w:rsidR="00C952D0" w:rsidRPr="00DF406D" w:rsidRDefault="00C952D0" w:rsidP="00DF406D">
      <w:pPr>
        <w:spacing w:before="120" w:after="60"/>
        <w:jc w:val="left"/>
        <w:rPr>
          <w:i/>
          <w:sz w:val="20"/>
          <w:szCs w:val="20"/>
        </w:rPr>
      </w:pPr>
    </w:p>
    <w:p w14:paraId="6BB46632" w14:textId="77777777" w:rsidR="00C952D0" w:rsidRPr="00DF406D" w:rsidRDefault="00C952D0" w:rsidP="00DF406D">
      <w:pPr>
        <w:spacing w:before="120" w:after="60"/>
        <w:jc w:val="left"/>
        <w:rPr>
          <w:i/>
          <w:sz w:val="20"/>
          <w:szCs w:val="20"/>
        </w:rPr>
      </w:pPr>
    </w:p>
    <w:p w14:paraId="02C16F00" w14:textId="77777777" w:rsidR="00C952D0" w:rsidRPr="00DF406D" w:rsidRDefault="00C952D0" w:rsidP="00DF406D">
      <w:pPr>
        <w:spacing w:before="120" w:after="60"/>
        <w:jc w:val="left"/>
        <w:rPr>
          <w:i/>
          <w:sz w:val="20"/>
          <w:szCs w:val="20"/>
        </w:rPr>
      </w:pPr>
    </w:p>
    <w:p w14:paraId="51CBF697" w14:textId="77777777" w:rsidR="00C952D0" w:rsidRPr="00DF406D" w:rsidRDefault="00C952D0" w:rsidP="00DF406D">
      <w:pPr>
        <w:spacing w:before="120" w:after="60"/>
        <w:jc w:val="left"/>
        <w:rPr>
          <w:i/>
          <w:sz w:val="20"/>
          <w:szCs w:val="20"/>
        </w:rPr>
      </w:pPr>
    </w:p>
    <w:p w14:paraId="18BFE36A" w14:textId="77777777" w:rsidR="00C952D0" w:rsidRPr="00DF406D" w:rsidRDefault="00C952D0" w:rsidP="00DF406D">
      <w:pPr>
        <w:spacing w:before="120" w:after="60"/>
        <w:jc w:val="left"/>
        <w:rPr>
          <w:i/>
          <w:sz w:val="20"/>
          <w:szCs w:val="20"/>
        </w:rPr>
      </w:pPr>
    </w:p>
    <w:p w14:paraId="14841AD9" w14:textId="77777777" w:rsidR="00C952D0" w:rsidRPr="00DF406D" w:rsidRDefault="00C952D0" w:rsidP="00DF406D">
      <w:pPr>
        <w:spacing w:before="120" w:after="60"/>
        <w:jc w:val="left"/>
        <w:rPr>
          <w:i/>
          <w:sz w:val="20"/>
          <w:szCs w:val="20"/>
        </w:rPr>
      </w:pPr>
    </w:p>
    <w:p w14:paraId="2B06B94C" w14:textId="77777777" w:rsidR="00C952D0" w:rsidRPr="00DF406D" w:rsidRDefault="00C952D0" w:rsidP="00DF406D">
      <w:pPr>
        <w:spacing w:before="120" w:after="60"/>
        <w:jc w:val="left"/>
        <w:rPr>
          <w:i/>
          <w:sz w:val="20"/>
          <w:szCs w:val="20"/>
        </w:rPr>
      </w:pPr>
    </w:p>
    <w:p w14:paraId="3BFF5082" w14:textId="77777777" w:rsidR="00C952D0" w:rsidRPr="00DF406D" w:rsidRDefault="00C952D0" w:rsidP="00DF406D">
      <w:pPr>
        <w:spacing w:before="120" w:after="60"/>
        <w:jc w:val="left"/>
        <w:rPr>
          <w:i/>
          <w:sz w:val="20"/>
          <w:szCs w:val="20"/>
        </w:rPr>
      </w:pPr>
    </w:p>
    <w:p w14:paraId="4CC05209" w14:textId="77777777" w:rsidR="00C952D0" w:rsidRPr="00DF406D" w:rsidRDefault="00C952D0" w:rsidP="00DF406D">
      <w:pPr>
        <w:spacing w:before="120" w:after="60"/>
        <w:jc w:val="left"/>
        <w:rPr>
          <w:i/>
          <w:sz w:val="20"/>
          <w:szCs w:val="20"/>
        </w:rPr>
      </w:pPr>
    </w:p>
    <w:p w14:paraId="0917EFB3" w14:textId="77777777" w:rsidR="00C952D0" w:rsidRPr="00DF406D" w:rsidRDefault="00C952D0" w:rsidP="00DF406D">
      <w:pPr>
        <w:spacing w:before="120" w:after="60"/>
        <w:jc w:val="left"/>
        <w:rPr>
          <w:i/>
          <w:sz w:val="20"/>
          <w:szCs w:val="20"/>
        </w:rPr>
      </w:pPr>
    </w:p>
    <w:p w14:paraId="765363FD" w14:textId="77777777" w:rsidR="00C952D0" w:rsidRPr="00DF406D" w:rsidRDefault="00C952D0" w:rsidP="00DF406D">
      <w:pPr>
        <w:spacing w:before="120" w:after="60"/>
        <w:jc w:val="left"/>
        <w:rPr>
          <w:i/>
          <w:sz w:val="20"/>
          <w:szCs w:val="20"/>
        </w:rPr>
      </w:pPr>
    </w:p>
    <w:p w14:paraId="782FE96D" w14:textId="77777777" w:rsidR="00C952D0" w:rsidRPr="00DF406D" w:rsidRDefault="00C952D0" w:rsidP="00DF406D">
      <w:pPr>
        <w:spacing w:before="120" w:after="60"/>
        <w:jc w:val="left"/>
        <w:rPr>
          <w:i/>
          <w:sz w:val="20"/>
          <w:szCs w:val="20"/>
        </w:rPr>
      </w:pPr>
    </w:p>
    <w:p w14:paraId="611AF900" w14:textId="77777777" w:rsidR="00C952D0" w:rsidRPr="00DF406D" w:rsidRDefault="00C952D0" w:rsidP="00DF406D">
      <w:pPr>
        <w:spacing w:before="120" w:after="60"/>
        <w:jc w:val="left"/>
        <w:rPr>
          <w:i/>
          <w:sz w:val="20"/>
          <w:szCs w:val="20"/>
        </w:rPr>
      </w:pPr>
    </w:p>
    <w:p w14:paraId="62CF5F52" w14:textId="77777777" w:rsidR="00C952D0" w:rsidRPr="00DF406D" w:rsidRDefault="00C952D0" w:rsidP="00DF406D">
      <w:pPr>
        <w:spacing w:before="120" w:after="60"/>
        <w:jc w:val="left"/>
        <w:rPr>
          <w:i/>
          <w:sz w:val="20"/>
          <w:szCs w:val="20"/>
        </w:rPr>
      </w:pPr>
    </w:p>
    <w:p w14:paraId="4888C353" w14:textId="77777777" w:rsidR="00C952D0" w:rsidRPr="00DF406D" w:rsidRDefault="00C952D0" w:rsidP="00DF406D">
      <w:pPr>
        <w:spacing w:before="120" w:after="60"/>
        <w:jc w:val="left"/>
        <w:rPr>
          <w:i/>
          <w:sz w:val="20"/>
          <w:szCs w:val="20"/>
        </w:rPr>
      </w:pPr>
    </w:p>
    <w:p w14:paraId="41BA2EA1" w14:textId="77777777" w:rsidR="00C952D0" w:rsidRPr="00DF406D" w:rsidRDefault="00C952D0" w:rsidP="00DF406D">
      <w:pPr>
        <w:spacing w:before="120" w:after="60"/>
        <w:jc w:val="left"/>
        <w:rPr>
          <w:i/>
          <w:sz w:val="20"/>
          <w:szCs w:val="20"/>
        </w:rPr>
      </w:pPr>
    </w:p>
    <w:p w14:paraId="1E9BAA69" w14:textId="77777777" w:rsidR="00C952D0" w:rsidRPr="00DF406D" w:rsidRDefault="008B0FC8" w:rsidP="00DF406D">
      <w:pPr>
        <w:rPr>
          <w:i/>
          <w:sz w:val="20"/>
          <w:szCs w:val="20"/>
        </w:rPr>
      </w:pPr>
      <w:r w:rsidRPr="00DF406D">
        <w:br w:type="page"/>
      </w:r>
    </w:p>
    <w:p w14:paraId="54E54267" w14:textId="77777777" w:rsidR="00C952D0" w:rsidRPr="00DF406D" w:rsidRDefault="00C952D0" w:rsidP="00DF406D">
      <w:pPr>
        <w:spacing w:before="120" w:after="60"/>
        <w:jc w:val="left"/>
        <w:rPr>
          <w:i/>
          <w:sz w:val="20"/>
          <w:szCs w:val="20"/>
        </w:rPr>
      </w:pPr>
    </w:p>
    <w:p w14:paraId="7A315576" w14:textId="77777777" w:rsidR="00C952D0" w:rsidRPr="00DF406D" w:rsidRDefault="008B0FC8" w:rsidP="00DF406D">
      <w:pPr>
        <w:jc w:val="center"/>
        <w:rPr>
          <w:b/>
          <w:sz w:val="22"/>
          <w:szCs w:val="22"/>
        </w:rPr>
      </w:pPr>
      <w:r w:rsidRPr="00DF406D">
        <w:rPr>
          <w:b/>
          <w:sz w:val="20"/>
          <w:szCs w:val="20"/>
        </w:rPr>
        <w:t>Appendix ‘D’</w:t>
      </w:r>
    </w:p>
    <w:p w14:paraId="51A88D39" w14:textId="77777777" w:rsidR="00C952D0" w:rsidRPr="00DF406D" w:rsidRDefault="008B0FC8" w:rsidP="00DF406D">
      <w:pPr>
        <w:jc w:val="center"/>
        <w:rPr>
          <w:b/>
          <w:sz w:val="20"/>
          <w:szCs w:val="20"/>
        </w:rPr>
      </w:pPr>
      <w:r w:rsidRPr="00DF406D">
        <w:rPr>
          <w:b/>
          <w:sz w:val="20"/>
          <w:szCs w:val="20"/>
        </w:rPr>
        <w:t>Acceptance Process</w:t>
      </w:r>
    </w:p>
    <w:p w14:paraId="4A3E9933" w14:textId="77777777" w:rsidR="00C952D0" w:rsidRPr="00DF406D" w:rsidRDefault="00C952D0" w:rsidP="00DF406D">
      <w:pPr>
        <w:jc w:val="center"/>
        <w:rPr>
          <w:b/>
          <w:sz w:val="20"/>
          <w:szCs w:val="20"/>
        </w:rPr>
      </w:pPr>
    </w:p>
    <w:p w14:paraId="5E881D08"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25" w:hanging="425"/>
        <w:rPr>
          <w:sz w:val="20"/>
          <w:szCs w:val="20"/>
        </w:rPr>
      </w:pPr>
    </w:p>
    <w:p w14:paraId="26CE9E24"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rPr>
          <w:sz w:val="20"/>
          <w:szCs w:val="20"/>
        </w:rPr>
      </w:pPr>
    </w:p>
    <w:p w14:paraId="5F958393"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26" w:hanging="426"/>
        <w:rPr>
          <w:sz w:val="20"/>
          <w:szCs w:val="20"/>
        </w:rPr>
      </w:pPr>
      <w:r w:rsidRPr="00DF406D">
        <w:rPr>
          <w:sz w:val="20"/>
          <w:szCs w:val="20"/>
        </w:rPr>
        <w:t>1.</w:t>
      </w:r>
      <w:r w:rsidRPr="00DF406D">
        <w:rPr>
          <w:sz w:val="20"/>
          <w:szCs w:val="20"/>
        </w:rPr>
        <w:tab/>
        <w:t>Each Deliverable or Milestone documented in this Statement of Work shall be subject to an acceptance process as follows (“</w:t>
      </w:r>
      <w:r w:rsidRPr="00DF406D">
        <w:rPr>
          <w:b/>
          <w:sz w:val="20"/>
          <w:szCs w:val="20"/>
        </w:rPr>
        <w:t>Acceptance Process</w:t>
      </w:r>
      <w:r w:rsidRPr="00DF406D">
        <w:rPr>
          <w:sz w:val="20"/>
          <w:szCs w:val="20"/>
        </w:rPr>
        <w:t>”):</w:t>
      </w:r>
    </w:p>
    <w:p w14:paraId="05E57699"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DF406D">
        <w:rPr>
          <w:sz w:val="20"/>
          <w:szCs w:val="20"/>
        </w:rPr>
        <w:t>(a)</w:t>
      </w:r>
      <w:r w:rsidRPr="00DF406D">
        <w:rPr>
          <w:sz w:val="20"/>
          <w:szCs w:val="20"/>
        </w:rPr>
        <w:tab/>
        <w:t>Each Deliverable or Milestone shall be submitted by TI to TELUS for acceptance by TELUS Manager in writing (“</w:t>
      </w:r>
      <w:r w:rsidRPr="00DF406D">
        <w:rPr>
          <w:b/>
          <w:sz w:val="20"/>
          <w:szCs w:val="20"/>
        </w:rPr>
        <w:t>Acceptance</w:t>
      </w:r>
      <w:r w:rsidRPr="00DF406D">
        <w:rPr>
          <w:sz w:val="20"/>
          <w:szCs w:val="20"/>
        </w:rPr>
        <w:t>”), through written notice to the TELUS Manager, when TI deems that TI’s Deliverable or Milestone has met all Acceptance Criteria. The TELUS Manager will have an initial period of fifteen (15) Business Days, after the TELUS Manager’s receipt of such Milestone or Deliverable, as applicable, and notice (“</w:t>
      </w:r>
      <w:r w:rsidRPr="00DF406D">
        <w:rPr>
          <w:b/>
          <w:sz w:val="20"/>
          <w:szCs w:val="20"/>
        </w:rPr>
        <w:t>Acceptance Period</w:t>
      </w:r>
      <w:r w:rsidRPr="00DF406D">
        <w:rPr>
          <w:sz w:val="20"/>
          <w:szCs w:val="20"/>
        </w:rPr>
        <w:t>”), to inspect the Deliverable or Milestone and to notify TI in writing of either Acceptance (“</w:t>
      </w:r>
      <w:r w:rsidRPr="00DF406D">
        <w:rPr>
          <w:b/>
          <w:sz w:val="20"/>
          <w:szCs w:val="20"/>
        </w:rPr>
        <w:t>Notice of Acceptance</w:t>
      </w:r>
      <w:r w:rsidRPr="00DF406D">
        <w:rPr>
          <w:sz w:val="20"/>
          <w:szCs w:val="20"/>
        </w:rPr>
        <w:t>”) or non-acceptance (“</w:t>
      </w:r>
      <w:r w:rsidRPr="00DF406D">
        <w:rPr>
          <w:b/>
          <w:sz w:val="20"/>
          <w:szCs w:val="20"/>
        </w:rPr>
        <w:t>Notice of Non-Acceptance</w:t>
      </w:r>
      <w:r w:rsidRPr="00DF406D">
        <w:rPr>
          <w:sz w:val="20"/>
          <w:szCs w:val="20"/>
        </w:rPr>
        <w:t xml:space="preserve">”) of such Deliverable or Milestone. If no notice is received by TI from the TELUS Manager within such fifteen (15) Business Day period, TI may initiate a written escalation to the TELUS Manager with a copy to the TELUS Manager’s Vice President requesting immediate Notice of Acceptance or Qualified Acceptance or Non-Acceptance.  If, subsequently, notice is still not received within another ten (10) Business Days from aforementioned written escalation, a further escalation may be initiated by TI to the TELUS Manager with a copy to the TELUS Manager’s Vice President as well as the TELUS Manager’s Senior Vice President, requesting immediate Notice of Acceptance or Qualified Acceptance or Non-Acceptance. If, thereafter, no notice is still not received within another five (5) Business Days, TI will provide TELUS with a notice that acceptance will become deemed in two (2) Business Days.  If no notice is received by the TI from the TELUS Manager after this final notice, such Deliverable or Milestone will be deemed to have been accepted.   </w:t>
      </w:r>
    </w:p>
    <w:p w14:paraId="4F03770A"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DF406D">
        <w:rPr>
          <w:sz w:val="20"/>
          <w:szCs w:val="20"/>
        </w:rPr>
        <w:t>(b)</w:t>
      </w:r>
      <w:r w:rsidRPr="00DF406D">
        <w:rPr>
          <w:sz w:val="20"/>
          <w:szCs w:val="20"/>
        </w:rPr>
        <w:tab/>
        <w:t>The only basis for Non-Acceptance of a Deliverable or Milestone shall be the failure of such Deliverable or Milestone to conform to the applicable Acceptance Criteria(s);</w:t>
      </w:r>
    </w:p>
    <w:p w14:paraId="52FAA1F5"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DF406D">
        <w:rPr>
          <w:sz w:val="20"/>
          <w:szCs w:val="20"/>
        </w:rPr>
        <w:t>(c)</w:t>
      </w:r>
      <w:r w:rsidRPr="00DF406D">
        <w:rPr>
          <w:sz w:val="20"/>
          <w:szCs w:val="20"/>
        </w:rPr>
        <w:tab/>
        <w:t>In case of Non-Acceptance of a Deliverable or Milestone by TELUS, the TELUS Manager shall provide with the formal Notice of Non-Acceptance to TI any deficiencies or errors that form the basis for not accepting the Deliverable or Milestone;</w:t>
      </w:r>
    </w:p>
    <w:p w14:paraId="74242059"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DF406D">
        <w:rPr>
          <w:sz w:val="20"/>
          <w:szCs w:val="20"/>
        </w:rPr>
        <w:t>(d)</w:t>
      </w:r>
      <w:r w:rsidRPr="00DF406D">
        <w:rPr>
          <w:sz w:val="20"/>
          <w:szCs w:val="20"/>
        </w:rPr>
        <w:tab/>
        <w:t>Qualified Acceptance: Where any deficiencies or errors in Deliverables or Milestones, as revealed through the Acceptance Process, do not, in TELUS’ opinion, acting reasonably,  materially affect the TELUS-intended use, the TELUS Manager may indicate, in writing, qualified Acceptance (“</w:t>
      </w:r>
      <w:r w:rsidRPr="00DF406D">
        <w:rPr>
          <w:b/>
          <w:sz w:val="20"/>
          <w:szCs w:val="20"/>
        </w:rPr>
        <w:t>Qualified Acceptance</w:t>
      </w:r>
      <w:r w:rsidRPr="00DF406D">
        <w:rPr>
          <w:sz w:val="20"/>
          <w:szCs w:val="20"/>
        </w:rPr>
        <w:t>”) of such Deliverable or Milestone, listing the outstanding deficiencies and errors (“</w:t>
      </w:r>
      <w:r w:rsidRPr="00DF406D">
        <w:rPr>
          <w:b/>
          <w:sz w:val="20"/>
          <w:szCs w:val="20"/>
        </w:rPr>
        <w:t>Notice of Qualified Acceptance</w:t>
      </w:r>
      <w:r w:rsidRPr="00DF406D">
        <w:rPr>
          <w:sz w:val="20"/>
          <w:szCs w:val="20"/>
        </w:rPr>
        <w:t>”), and the Deliverable or Milestone will then be subject to an abatement of the Fees and/ or Payment Schedule as agreed between the Parties, such abatement to be of an amount which is reasonable in all the circumstances, and TI shall correct those deficiencies and errors as soon as reasonably practicable free of any additional Fees; and</w:t>
      </w:r>
    </w:p>
    <w:p w14:paraId="28F9E933"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DF406D">
        <w:rPr>
          <w:sz w:val="20"/>
          <w:szCs w:val="20"/>
        </w:rPr>
        <w:t>(e)</w:t>
      </w:r>
      <w:r w:rsidRPr="00DF406D">
        <w:rPr>
          <w:sz w:val="20"/>
          <w:szCs w:val="20"/>
        </w:rPr>
        <w:tab/>
        <w:t>Following submission by TELUS of any Notice of Non-Acceptance or Notice of Qualified Acceptance in accordance with subsection (a) above, TI will, at TELUS’s option and at TI's sole risk and expense, (</w:t>
      </w:r>
      <w:proofErr w:type="spellStart"/>
      <w:r w:rsidRPr="00DF406D">
        <w:rPr>
          <w:sz w:val="20"/>
          <w:szCs w:val="20"/>
        </w:rPr>
        <w:t>i</w:t>
      </w:r>
      <w:proofErr w:type="spellEnd"/>
      <w:r w:rsidRPr="00DF406D">
        <w:rPr>
          <w:sz w:val="20"/>
          <w:szCs w:val="20"/>
        </w:rPr>
        <w:t>) correct or replace the identified deficiencies and errors within a reasonable period of time, as deemed acceptable by the TELUS Manager, and re-submit the Deliverable or Milestone for Acceptance through written notice to the TELUS Manager when TI deems that it has rectified or replaced all identified deficiencies and errors and thereby such Deliverable or Milestone is ready for Acceptance, or, if TELUS so chooses, (ii) stop further Services related to such Deliverable or Milestone or overall as further indicated by TELUS at such time, with no commercial or other obligations by TELUS to TI relating to the applicable, impacted Deliverables or Milestones under the Statement of Work or the Agreement which would have otherwise applied had TELUS been able to accept such Deliverable or Milestone, notwithstanding other rights TELUS may have in such instance under the Statement of Work  or the Agreement.</w:t>
      </w:r>
    </w:p>
    <w:p w14:paraId="16740E8A"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sz w:val="20"/>
          <w:szCs w:val="20"/>
        </w:rPr>
      </w:pPr>
    </w:p>
    <w:p w14:paraId="7D5E82C5"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rPr>
          <w:sz w:val="20"/>
          <w:szCs w:val="20"/>
        </w:rPr>
      </w:pPr>
      <w:r w:rsidRPr="00DF406D">
        <w:rPr>
          <w:sz w:val="20"/>
          <w:szCs w:val="20"/>
        </w:rPr>
        <w:t>2.</w:t>
      </w:r>
      <w:r w:rsidRPr="00DF406D">
        <w:rPr>
          <w:sz w:val="20"/>
          <w:szCs w:val="20"/>
        </w:rPr>
        <w:tab/>
      </w:r>
      <w:r w:rsidRPr="00DF406D">
        <w:rPr>
          <w:b/>
          <w:sz w:val="20"/>
          <w:szCs w:val="20"/>
        </w:rPr>
        <w:t>Other Acceptance Related Considerations</w:t>
      </w:r>
      <w:r w:rsidRPr="00DF406D">
        <w:rPr>
          <w:sz w:val="20"/>
          <w:szCs w:val="20"/>
        </w:rPr>
        <w:t>.</w:t>
      </w:r>
    </w:p>
    <w:p w14:paraId="2DCBBA13" w14:textId="77777777" w:rsidR="00C952D0" w:rsidRPr="00DF406D" w:rsidRDefault="008B0FC8" w:rsidP="00DF406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62" w:firstLine="13"/>
        <w:rPr>
          <w:sz w:val="20"/>
          <w:szCs w:val="20"/>
        </w:rPr>
      </w:pPr>
      <w:r w:rsidRPr="00DF406D">
        <w:rPr>
          <w:sz w:val="20"/>
          <w:szCs w:val="20"/>
        </w:rPr>
        <w:t xml:space="preserve">Payment of any Fees related to a Milestone or Deliverable shall never be due to TI until after Acceptance or Qualified Acceptance or deemed acceptance, as applicable, by the TELUS Manager of said Milestone or Deliverable, and then never exceeding the amount linked to such Milestone or Deliverable in the applicable Statement of Work, with specific consideration of the abated Fees or Payment Schedule in the case of Qualified Acceptance. </w:t>
      </w:r>
    </w:p>
    <w:p w14:paraId="7BAE4423" w14:textId="77777777" w:rsidR="00C952D0" w:rsidRPr="00DF406D" w:rsidRDefault="00C952D0" w:rsidP="00DF406D">
      <w:pPr>
        <w:jc w:val="center"/>
        <w:rPr>
          <w:b/>
          <w:sz w:val="20"/>
          <w:szCs w:val="20"/>
        </w:rPr>
      </w:pPr>
    </w:p>
    <w:p w14:paraId="6778FFBA" w14:textId="77777777" w:rsidR="00C952D0" w:rsidRPr="00DF406D" w:rsidRDefault="00C952D0" w:rsidP="00DF406D">
      <w:pPr>
        <w:spacing w:before="120" w:after="60"/>
        <w:jc w:val="left"/>
        <w:rPr>
          <w:i/>
          <w:sz w:val="20"/>
          <w:szCs w:val="20"/>
        </w:rPr>
      </w:pPr>
    </w:p>
    <w:p w14:paraId="27F77D14"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5C86416E"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2588F8A5"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2B7AA0F"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2B03CC4E"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BC1916B"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5BF4A1D7"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52F1AB7E"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C4CDA51"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B600B39"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3E9B7395"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6CADE7DA"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66A49665"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532A98CD"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2434D0D5"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93C457C"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3842722D"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6822F0CD"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F7CDB1E"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3EEBDEE"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8F9177F"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7073A48"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0B539927"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21271B1A"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7447752E" w14:textId="77777777" w:rsidR="00C952D0" w:rsidRPr="00DF406D" w:rsidRDefault="00C952D0" w:rsidP="00DF406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sectPr w:rsidR="00C952D0" w:rsidRPr="00DF406D">
      <w:type w:val="continuous"/>
      <w:pgSz w:w="12240" w:h="15840"/>
      <w:pgMar w:top="1440" w:right="1440" w:bottom="1440" w:left="1440" w:header="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4F1CE" w16cid:durableId="20C5F9A7"/>
  <w16cid:commentId w16cid:paraId="706D303E" w16cid:durableId="20C5F9A8"/>
  <w16cid:commentId w16cid:paraId="27E0B482" w16cid:durableId="20C5F9A9"/>
  <w16cid:commentId w16cid:paraId="7279ADF9" w16cid:durableId="20C5F9AA"/>
  <w16cid:commentId w16cid:paraId="411425FD" w16cid:durableId="20C5F9AB"/>
  <w16cid:commentId w16cid:paraId="3D02308E" w16cid:durableId="20C5F9AC"/>
  <w16cid:commentId w16cid:paraId="180D82AB" w16cid:durableId="20C5F9AD"/>
  <w16cid:commentId w16cid:paraId="2CADFBB6" w16cid:durableId="20C5F9BF"/>
  <w16cid:commentId w16cid:paraId="595A8DBF" w16cid:durableId="20C5F9AE"/>
  <w16cid:commentId w16cid:paraId="5DC91343" w16cid:durableId="20C5F9A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30E41" w14:textId="77777777" w:rsidR="0095282D" w:rsidRDefault="0095282D">
      <w:r>
        <w:separator/>
      </w:r>
    </w:p>
  </w:endnote>
  <w:endnote w:type="continuationSeparator" w:id="0">
    <w:p w14:paraId="6C40B9D1" w14:textId="77777777" w:rsidR="0095282D" w:rsidRDefault="0095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91756" w14:textId="35F74BFC" w:rsidR="00D62864" w:rsidRDefault="00D62864">
    <w:pPr>
      <w:tabs>
        <w:tab w:val="center" w:pos="4320"/>
        <w:tab w:val="right" w:pos="8640"/>
      </w:tabs>
      <w:jc w:val="left"/>
      <w:rPr>
        <w:rFonts w:ascii="Calibri" w:eastAsia="Calibri" w:hAnsi="Calibri" w:cs="Calibri"/>
        <w:sz w:val="22"/>
        <w:szCs w:val="22"/>
      </w:rPr>
    </w:pPr>
    <w:r w:rsidRPr="00E818BE">
      <w:rPr>
        <w:rFonts w:ascii="Calibri" w:eastAsia="Calibri" w:hAnsi="Calibri" w:cs="Calibri"/>
        <w:i/>
        <w:sz w:val="18"/>
        <w:szCs w:val="18"/>
      </w:rPr>
      <w:t>TI_</w:t>
    </w:r>
    <w:r>
      <w:rPr>
        <w:rFonts w:ascii="Calibri" w:eastAsia="Calibri" w:hAnsi="Calibri" w:cs="Calibri"/>
        <w:i/>
        <w:sz w:val="18"/>
        <w:szCs w:val="18"/>
      </w:rPr>
      <w:t>SOW44_2019</w:t>
    </w:r>
    <w:r w:rsidRPr="00E818BE">
      <w:rPr>
        <w:rFonts w:ascii="Calibri" w:eastAsia="Calibri" w:hAnsi="Calibri" w:cs="Calibri"/>
        <w:i/>
        <w:sz w:val="18"/>
        <w:szCs w:val="18"/>
      </w:rPr>
      <w:t>_FB_</w:t>
    </w:r>
    <w:r w:rsidRPr="00FE71B0">
      <w:t xml:space="preserve"> </w:t>
    </w:r>
    <w:r w:rsidRPr="00487C22">
      <w:rPr>
        <w:rFonts w:ascii="Calibri" w:eastAsia="Calibri" w:hAnsi="Calibri" w:cs="Calibri"/>
        <w:i/>
        <w:sz w:val="18"/>
        <w:szCs w:val="18"/>
      </w:rPr>
      <w:t>TAM-Wholesale Provisioning</w:t>
    </w:r>
    <w:r>
      <w:rPr>
        <w:rFonts w:ascii="Calibri" w:eastAsia="Calibri" w:hAnsi="Calibri" w:cs="Calibri"/>
        <w:i/>
        <w:sz w:val="18"/>
        <w:szCs w:val="18"/>
      </w:rPr>
      <w:tab/>
    </w:r>
    <w:r>
      <w:rPr>
        <w:rFonts w:ascii="Calibri" w:eastAsia="Calibri" w:hAnsi="Calibri" w:cs="Calibri"/>
        <w:sz w:val="22"/>
        <w:szCs w:val="22"/>
      </w:rPr>
      <w:t xml:space="preserve">                                                                            Page </w:t>
    </w: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2E1C0B">
      <w:rPr>
        <w:rFonts w:ascii="Calibri" w:eastAsia="Calibri" w:hAnsi="Calibri" w:cs="Calibri"/>
        <w:noProof/>
        <w:sz w:val="22"/>
        <w:szCs w:val="22"/>
      </w:rPr>
      <w:t>18</w:t>
    </w:r>
    <w:r>
      <w:rPr>
        <w:rFonts w:ascii="Calibri" w:eastAsia="Calibri" w:hAnsi="Calibri" w:cs="Calibri"/>
        <w:sz w:val="22"/>
        <w:szCs w:val="22"/>
      </w:rPr>
      <w:fldChar w:fldCharType="end"/>
    </w:r>
    <w:r>
      <w:rPr>
        <w:rFonts w:ascii="Calibri" w:eastAsia="Calibri" w:hAnsi="Calibri" w:cs="Calibri"/>
        <w:sz w:val="22"/>
        <w:szCs w:val="22"/>
      </w:rPr>
      <w:t xml:space="preserve"> of </w:t>
    </w:r>
    <w:r>
      <w:rPr>
        <w:rFonts w:ascii="Calibri" w:eastAsia="Calibri" w:hAnsi="Calibri" w:cs="Calibri"/>
        <w:sz w:val="22"/>
        <w:szCs w:val="22"/>
      </w:rPr>
      <w:fldChar w:fldCharType="begin"/>
    </w:r>
    <w:r>
      <w:rPr>
        <w:rFonts w:ascii="Calibri" w:eastAsia="Calibri" w:hAnsi="Calibri" w:cs="Calibri"/>
        <w:sz w:val="22"/>
        <w:szCs w:val="22"/>
      </w:rPr>
      <w:instrText>NUMPAGES</w:instrText>
    </w:r>
    <w:r>
      <w:rPr>
        <w:rFonts w:ascii="Calibri" w:eastAsia="Calibri" w:hAnsi="Calibri" w:cs="Calibri"/>
        <w:sz w:val="22"/>
        <w:szCs w:val="22"/>
      </w:rPr>
      <w:fldChar w:fldCharType="separate"/>
    </w:r>
    <w:r w:rsidR="002E1C0B">
      <w:rPr>
        <w:rFonts w:ascii="Calibri" w:eastAsia="Calibri" w:hAnsi="Calibri" w:cs="Calibri"/>
        <w:noProof/>
        <w:sz w:val="22"/>
        <w:szCs w:val="22"/>
      </w:rPr>
      <w:t>18</w:t>
    </w:r>
    <w:r>
      <w:rPr>
        <w:rFonts w:ascii="Calibri" w:eastAsia="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27C5F" w14:textId="77777777" w:rsidR="0095282D" w:rsidRDefault="0095282D">
      <w:r>
        <w:separator/>
      </w:r>
    </w:p>
  </w:footnote>
  <w:footnote w:type="continuationSeparator" w:id="0">
    <w:p w14:paraId="25BCECB6" w14:textId="77777777" w:rsidR="0095282D" w:rsidRDefault="00952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0BB18" w14:textId="7C8D359A" w:rsidR="00D62864" w:rsidRDefault="00D62864">
    <w:pPr>
      <w:tabs>
        <w:tab w:val="center" w:pos="4320"/>
        <w:tab w:val="right" w:pos="8640"/>
      </w:tabs>
      <w:spacing w:before="720"/>
      <w:jc w:val="center"/>
      <w:rPr>
        <w:sz w:val="20"/>
        <w:szCs w:val="20"/>
      </w:rPr>
    </w:pPr>
    <w:r>
      <w:rPr>
        <w:sz w:val="20"/>
        <w:szCs w:val="20"/>
      </w:rPr>
      <w:t xml:space="preserve">TELUS AND </w:t>
    </w:r>
    <w:proofErr w:type="spellStart"/>
    <w:r w:rsidR="00B53569">
      <w:rPr>
        <w:sz w:val="20"/>
        <w:szCs w:val="20"/>
      </w:rPr>
      <w:t>smth</w:t>
    </w:r>
    <w:proofErr w:type="spellEnd"/>
    <w:r w:rsidR="00B53569" w:rsidRPr="00DF406D">
      <w:rPr>
        <w:sz w:val="20"/>
        <w:szCs w:val="20"/>
      </w:rPr>
      <w:t xml:space="preserve"> </w:t>
    </w:r>
    <w:r>
      <w:rPr>
        <w:sz w:val="20"/>
        <w:szCs w:val="20"/>
      </w:rPr>
      <w:t>(CDA) INC. – CONFIDENTIAL</w:t>
    </w:r>
  </w:p>
  <w:p w14:paraId="2126775D" w14:textId="77777777" w:rsidR="00D62864" w:rsidRDefault="00D62864">
    <w:pPr>
      <w:tabs>
        <w:tab w:val="center" w:pos="4320"/>
        <w:tab w:val="right" w:pos="8640"/>
      </w:tabs>
      <w:jc w:val="left"/>
      <w:rPr>
        <w:rFonts w:ascii="Times" w:eastAsia="Times" w:hAnsi="Times" w:cs="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ED4"/>
    <w:multiLevelType w:val="hybridMultilevel"/>
    <w:tmpl w:val="CD6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45C83"/>
    <w:multiLevelType w:val="hybridMultilevel"/>
    <w:tmpl w:val="D52EDCDC"/>
    <w:lvl w:ilvl="0" w:tplc="10090001">
      <w:start w:val="1"/>
      <w:numFmt w:val="bullet"/>
      <w:lvlText w:val=""/>
      <w:lvlJc w:val="left"/>
      <w:pPr>
        <w:ind w:left="1006" w:hanging="360"/>
      </w:pPr>
      <w:rPr>
        <w:rFonts w:ascii="Symbol" w:hAnsi="Symbol"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2" w15:restartNumberingAfterBreak="0">
    <w:nsid w:val="041000F1"/>
    <w:multiLevelType w:val="multilevel"/>
    <w:tmpl w:val="89A89450"/>
    <w:lvl w:ilvl="0">
      <w:start w:val="1"/>
      <w:numFmt w:val="decimal"/>
      <w:lvlText w:val="%1.0"/>
      <w:lvlJc w:val="left"/>
      <w:pPr>
        <w:ind w:left="840" w:hanging="840"/>
      </w:pPr>
    </w:lvl>
    <w:lvl w:ilvl="1">
      <w:start w:val="1"/>
      <w:numFmt w:val="decimal"/>
      <w:lvlText w:val="%1.%2"/>
      <w:lvlJc w:val="left"/>
      <w:pPr>
        <w:ind w:left="840" w:hanging="840"/>
      </w:pPr>
      <w:rPr>
        <w:b w:val="0"/>
      </w:rPr>
    </w:lvl>
    <w:lvl w:ilvl="2">
      <w:start w:val="1"/>
      <w:numFmt w:val="decimal"/>
      <w:lvlText w:val="%1.%2.%3"/>
      <w:lvlJc w:val="left"/>
      <w:pPr>
        <w:ind w:left="2280" w:hanging="840"/>
      </w:pPr>
      <w:rPr>
        <w:b w:val="0"/>
      </w:r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07BF5E62"/>
    <w:multiLevelType w:val="hybridMultilevel"/>
    <w:tmpl w:val="AE02F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9CA49FD"/>
    <w:multiLevelType w:val="multilevel"/>
    <w:tmpl w:val="41782C98"/>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5" w15:restartNumberingAfterBreak="0">
    <w:nsid w:val="0A0875F1"/>
    <w:multiLevelType w:val="multilevel"/>
    <w:tmpl w:val="04F8DC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F03365"/>
    <w:multiLevelType w:val="multilevel"/>
    <w:tmpl w:val="F1584D16"/>
    <w:lvl w:ilvl="0">
      <w:start w:val="1"/>
      <w:numFmt w:val="lowerLetter"/>
      <w:lvlText w:val="%1)"/>
      <w:lvlJc w:val="left"/>
      <w:pPr>
        <w:ind w:left="1800" w:hanging="360"/>
      </w:pPr>
    </w:lvl>
    <w:lvl w:ilvl="1">
      <w:start w:val="1"/>
      <w:numFmt w:val="lowerRoman"/>
      <w:lvlText w:val="%2."/>
      <w:lvlJc w:val="right"/>
      <w:pPr>
        <w:ind w:left="2520" w:hanging="360"/>
      </w:p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0DC4ADC"/>
    <w:multiLevelType w:val="hybridMultilevel"/>
    <w:tmpl w:val="2EF02E0A"/>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44B93"/>
    <w:multiLevelType w:val="multilevel"/>
    <w:tmpl w:val="3B101E96"/>
    <w:lvl w:ilvl="0">
      <w:start w:val="8"/>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15:restartNumberingAfterBreak="0">
    <w:nsid w:val="25CF421C"/>
    <w:multiLevelType w:val="multilevel"/>
    <w:tmpl w:val="C0AE8E48"/>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10" w15:restartNumberingAfterBreak="0">
    <w:nsid w:val="285B6D48"/>
    <w:multiLevelType w:val="hybridMultilevel"/>
    <w:tmpl w:val="827C4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5D1F90"/>
    <w:multiLevelType w:val="multilevel"/>
    <w:tmpl w:val="1FBCC19A"/>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2BC032F1"/>
    <w:multiLevelType w:val="multilevel"/>
    <w:tmpl w:val="1C487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EDF5EAC"/>
    <w:multiLevelType w:val="multilevel"/>
    <w:tmpl w:val="92008AD2"/>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14" w15:restartNumberingAfterBreak="0">
    <w:nsid w:val="376021ED"/>
    <w:multiLevelType w:val="multilevel"/>
    <w:tmpl w:val="988CCAD4"/>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37F579FA"/>
    <w:multiLevelType w:val="hybridMultilevel"/>
    <w:tmpl w:val="80B41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C36304B"/>
    <w:multiLevelType w:val="hybridMultilevel"/>
    <w:tmpl w:val="F0B85B3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3A6738"/>
    <w:multiLevelType w:val="multilevel"/>
    <w:tmpl w:val="5080B2D4"/>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438C0B90"/>
    <w:multiLevelType w:val="multilevel"/>
    <w:tmpl w:val="6C7A10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55457E6"/>
    <w:multiLevelType w:val="multilevel"/>
    <w:tmpl w:val="B4CEFA58"/>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0" w15:restartNumberingAfterBreak="0">
    <w:nsid w:val="4A986496"/>
    <w:multiLevelType w:val="hybridMultilevel"/>
    <w:tmpl w:val="108C2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412F1"/>
    <w:multiLevelType w:val="multilevel"/>
    <w:tmpl w:val="95AC67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23" w15:restartNumberingAfterBreak="0">
    <w:nsid w:val="50453DF4"/>
    <w:multiLevelType w:val="multilevel"/>
    <w:tmpl w:val="E3863F1A"/>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24" w15:restartNumberingAfterBreak="0">
    <w:nsid w:val="504B1D0C"/>
    <w:multiLevelType w:val="multilevel"/>
    <w:tmpl w:val="2D84A75A"/>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59AA16BE"/>
    <w:multiLevelType w:val="hybridMultilevel"/>
    <w:tmpl w:val="3BE07FB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6" w15:restartNumberingAfterBreak="0">
    <w:nsid w:val="5AA108D7"/>
    <w:multiLevelType w:val="multilevel"/>
    <w:tmpl w:val="993E7346"/>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27" w15:restartNumberingAfterBreak="0">
    <w:nsid w:val="5B406BC6"/>
    <w:multiLevelType w:val="multilevel"/>
    <w:tmpl w:val="C5222D50"/>
    <w:lvl w:ilvl="0">
      <w:start w:val="1"/>
      <w:numFmt w:val="lowerLetter"/>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8"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29" w15:restartNumberingAfterBreak="0">
    <w:nsid w:val="5D507D2D"/>
    <w:multiLevelType w:val="hybridMultilevel"/>
    <w:tmpl w:val="F6E8CB1A"/>
    <w:lvl w:ilvl="0" w:tplc="04090001">
      <w:start w:val="1"/>
      <w:numFmt w:val="bullet"/>
      <w:lvlText w:val=""/>
      <w:lvlJc w:val="left"/>
      <w:pPr>
        <w:ind w:left="963" w:hanging="360"/>
      </w:pPr>
      <w:rPr>
        <w:rFonts w:ascii="Symbol" w:hAnsi="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hint="default"/>
      </w:rPr>
    </w:lvl>
    <w:lvl w:ilvl="6" w:tplc="04090001">
      <w:start w:val="1"/>
      <w:numFmt w:val="bullet"/>
      <w:lvlText w:val=""/>
      <w:lvlJc w:val="left"/>
      <w:pPr>
        <w:ind w:left="5283" w:hanging="360"/>
      </w:pPr>
      <w:rPr>
        <w:rFonts w:ascii="Symbol" w:hAnsi="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hint="default"/>
      </w:rPr>
    </w:lvl>
  </w:abstractNum>
  <w:abstractNum w:abstractNumId="30" w15:restartNumberingAfterBreak="0">
    <w:nsid w:val="5D6D606B"/>
    <w:multiLevelType w:val="multilevel"/>
    <w:tmpl w:val="69542E54"/>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1" w15:restartNumberingAfterBreak="0">
    <w:nsid w:val="5FF17C0A"/>
    <w:multiLevelType w:val="multilevel"/>
    <w:tmpl w:val="D396E3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1733895"/>
    <w:multiLevelType w:val="hybridMultilevel"/>
    <w:tmpl w:val="19EAACB4"/>
    <w:lvl w:ilvl="0" w:tplc="04090001">
      <w:start w:val="1"/>
      <w:numFmt w:val="bullet"/>
      <w:lvlText w:val=""/>
      <w:lvlJc w:val="left"/>
      <w:pPr>
        <w:ind w:left="1560" w:hanging="360"/>
      </w:pPr>
      <w:rPr>
        <w:rFonts w:ascii="Symbol" w:hAnsi="Symbol" w:hint="default"/>
      </w:rPr>
    </w:lvl>
    <w:lvl w:ilvl="1" w:tplc="13D0673A">
      <w:numFmt w:val="bullet"/>
      <w:lvlText w:val="•"/>
      <w:lvlJc w:val="left"/>
      <w:pPr>
        <w:ind w:left="2280" w:hanging="360"/>
      </w:pPr>
      <w:rPr>
        <w:rFonts w:ascii="Arial" w:eastAsia="Arial" w:hAnsi="Arial" w:cs="Arial"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3" w15:restartNumberingAfterBreak="0">
    <w:nsid w:val="621F0B59"/>
    <w:multiLevelType w:val="multilevel"/>
    <w:tmpl w:val="1E8894D6"/>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34" w15:restartNumberingAfterBreak="0">
    <w:nsid w:val="66BB6365"/>
    <w:multiLevelType w:val="multilevel"/>
    <w:tmpl w:val="BB262170"/>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35" w15:restartNumberingAfterBreak="0">
    <w:nsid w:val="6B532FA4"/>
    <w:multiLevelType w:val="multilevel"/>
    <w:tmpl w:val="BCEAFE5A"/>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36" w15:restartNumberingAfterBreak="0">
    <w:nsid w:val="6CFD07CD"/>
    <w:multiLevelType w:val="hybridMultilevel"/>
    <w:tmpl w:val="E208E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D2CC6"/>
    <w:multiLevelType w:val="multilevel"/>
    <w:tmpl w:val="E35CFFCE"/>
    <w:lvl w:ilvl="0">
      <w:start w:val="9"/>
      <w:numFmt w:val="decimal"/>
      <w:lvlText w:val="%1.0"/>
      <w:lvlJc w:val="left"/>
      <w:pPr>
        <w:ind w:left="360" w:hanging="360"/>
      </w:pPr>
    </w:lvl>
    <w:lvl w:ilvl="1">
      <w:start w:val="1"/>
      <w:numFmt w:val="decimal"/>
      <w:lvlText w:val="%1.%2"/>
      <w:lvlJc w:val="left"/>
      <w:pPr>
        <w:ind w:left="644" w:hanging="358"/>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8" w15:restartNumberingAfterBreak="0">
    <w:nsid w:val="6FB006FF"/>
    <w:multiLevelType w:val="hybridMultilevel"/>
    <w:tmpl w:val="3892B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A30CB"/>
    <w:multiLevelType w:val="multilevel"/>
    <w:tmpl w:val="0E0C29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53241B8"/>
    <w:multiLevelType w:val="multilevel"/>
    <w:tmpl w:val="DFF68600"/>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41" w15:restartNumberingAfterBreak="0">
    <w:nsid w:val="77A427C9"/>
    <w:multiLevelType w:val="multilevel"/>
    <w:tmpl w:val="19E611C8"/>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42" w15:restartNumberingAfterBreak="0">
    <w:nsid w:val="7A672509"/>
    <w:multiLevelType w:val="multilevel"/>
    <w:tmpl w:val="ECA2883A"/>
    <w:lvl w:ilvl="0">
      <w:start w:val="9"/>
      <w:numFmt w:val="decimal"/>
      <w:lvlText w:val="%1.0"/>
      <w:lvlJc w:val="left"/>
      <w:pPr>
        <w:ind w:left="360" w:hanging="360"/>
      </w:pPr>
    </w:lvl>
    <w:lvl w:ilvl="1">
      <w:start w:val="1"/>
      <w:numFmt w:val="decimal"/>
      <w:lvlText w:val="%1.%2"/>
      <w:lvlJc w:val="left"/>
      <w:pPr>
        <w:ind w:left="644" w:hanging="359"/>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5"/>
  </w:num>
  <w:num w:numId="2">
    <w:abstractNumId w:val="19"/>
  </w:num>
  <w:num w:numId="3">
    <w:abstractNumId w:val="24"/>
  </w:num>
  <w:num w:numId="4">
    <w:abstractNumId w:val="33"/>
  </w:num>
  <w:num w:numId="5">
    <w:abstractNumId w:val="17"/>
  </w:num>
  <w:num w:numId="6">
    <w:abstractNumId w:val="37"/>
  </w:num>
  <w:num w:numId="7">
    <w:abstractNumId w:val="6"/>
  </w:num>
  <w:num w:numId="8">
    <w:abstractNumId w:val="30"/>
  </w:num>
  <w:num w:numId="9">
    <w:abstractNumId w:val="21"/>
  </w:num>
  <w:num w:numId="10">
    <w:abstractNumId w:val="14"/>
  </w:num>
  <w:num w:numId="11">
    <w:abstractNumId w:val="26"/>
  </w:num>
  <w:num w:numId="12">
    <w:abstractNumId w:val="34"/>
  </w:num>
  <w:num w:numId="13">
    <w:abstractNumId w:val="11"/>
  </w:num>
  <w:num w:numId="14">
    <w:abstractNumId w:val="27"/>
  </w:num>
  <w:num w:numId="15">
    <w:abstractNumId w:val="31"/>
  </w:num>
  <w:num w:numId="16">
    <w:abstractNumId w:val="4"/>
  </w:num>
  <w:num w:numId="17">
    <w:abstractNumId w:val="9"/>
  </w:num>
  <w:num w:numId="18">
    <w:abstractNumId w:val="40"/>
  </w:num>
  <w:num w:numId="19">
    <w:abstractNumId w:val="12"/>
  </w:num>
  <w:num w:numId="20">
    <w:abstractNumId w:val="13"/>
  </w:num>
  <w:num w:numId="21">
    <w:abstractNumId w:val="2"/>
  </w:num>
  <w:num w:numId="22">
    <w:abstractNumId w:val="8"/>
  </w:num>
  <w:num w:numId="23">
    <w:abstractNumId w:val="39"/>
  </w:num>
  <w:num w:numId="24">
    <w:abstractNumId w:val="35"/>
  </w:num>
  <w:num w:numId="25">
    <w:abstractNumId w:val="18"/>
  </w:num>
  <w:num w:numId="26">
    <w:abstractNumId w:val="41"/>
  </w:num>
  <w:num w:numId="27">
    <w:abstractNumId w:val="23"/>
  </w:num>
  <w:num w:numId="28">
    <w:abstractNumId w:val="36"/>
  </w:num>
  <w:num w:numId="29">
    <w:abstractNumId w:val="28"/>
  </w:num>
  <w:num w:numId="30">
    <w:abstractNumId w:val="22"/>
  </w:num>
  <w:num w:numId="31">
    <w:abstractNumId w:val="16"/>
  </w:num>
  <w:num w:numId="32">
    <w:abstractNumId w:val="10"/>
  </w:num>
  <w:num w:numId="33">
    <w:abstractNumId w:val="20"/>
  </w:num>
  <w:num w:numId="34">
    <w:abstractNumId w:val="15"/>
  </w:num>
  <w:num w:numId="35">
    <w:abstractNumId w:val="0"/>
  </w:num>
  <w:num w:numId="36">
    <w:abstractNumId w:val="3"/>
  </w:num>
  <w:num w:numId="37">
    <w:abstractNumId w:val="38"/>
  </w:num>
  <w:num w:numId="38">
    <w:abstractNumId w:val="29"/>
  </w:num>
  <w:num w:numId="39">
    <w:abstractNumId w:val="32"/>
  </w:num>
  <w:num w:numId="40">
    <w:abstractNumId w:val="42"/>
  </w:num>
  <w:num w:numId="41">
    <w:abstractNumId w:val="1"/>
  </w:num>
  <w:num w:numId="42">
    <w:abstractNumId w:val="7"/>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yNjM3MzA0MbU0MDNQ0lEKTi0uzszPAymwrAUAySGYOywAAAA="/>
  </w:docVars>
  <w:rsids>
    <w:rsidRoot w:val="00C952D0"/>
    <w:rsid w:val="00016BBB"/>
    <w:rsid w:val="00034C92"/>
    <w:rsid w:val="000455B4"/>
    <w:rsid w:val="0005298F"/>
    <w:rsid w:val="00082919"/>
    <w:rsid w:val="00096B10"/>
    <w:rsid w:val="000B75FF"/>
    <w:rsid w:val="000C4C03"/>
    <w:rsid w:val="000E004A"/>
    <w:rsid w:val="000E4964"/>
    <w:rsid w:val="000E5611"/>
    <w:rsid w:val="000F7BEF"/>
    <w:rsid w:val="0011218D"/>
    <w:rsid w:val="0018165B"/>
    <w:rsid w:val="001847FD"/>
    <w:rsid w:val="001863E8"/>
    <w:rsid w:val="001B1A1A"/>
    <w:rsid w:val="001C3A76"/>
    <w:rsid w:val="001F3A29"/>
    <w:rsid w:val="001F3E96"/>
    <w:rsid w:val="0020674E"/>
    <w:rsid w:val="00212E1E"/>
    <w:rsid w:val="00234306"/>
    <w:rsid w:val="00250E8C"/>
    <w:rsid w:val="00272DE7"/>
    <w:rsid w:val="00281943"/>
    <w:rsid w:val="002A0271"/>
    <w:rsid w:val="002A7B05"/>
    <w:rsid w:val="002E1C0B"/>
    <w:rsid w:val="002F1DCA"/>
    <w:rsid w:val="00307D7A"/>
    <w:rsid w:val="00331C18"/>
    <w:rsid w:val="003345C0"/>
    <w:rsid w:val="00335567"/>
    <w:rsid w:val="00343D95"/>
    <w:rsid w:val="00356D40"/>
    <w:rsid w:val="00362AE9"/>
    <w:rsid w:val="00372A2F"/>
    <w:rsid w:val="0037445F"/>
    <w:rsid w:val="00397B3D"/>
    <w:rsid w:val="003A0A34"/>
    <w:rsid w:val="003C743E"/>
    <w:rsid w:val="003D31CB"/>
    <w:rsid w:val="004118B1"/>
    <w:rsid w:val="004162A0"/>
    <w:rsid w:val="004304BB"/>
    <w:rsid w:val="00441432"/>
    <w:rsid w:val="004669A6"/>
    <w:rsid w:val="00487C22"/>
    <w:rsid w:val="004C2273"/>
    <w:rsid w:val="004E22DF"/>
    <w:rsid w:val="004F1687"/>
    <w:rsid w:val="004F638B"/>
    <w:rsid w:val="005621AC"/>
    <w:rsid w:val="0058558B"/>
    <w:rsid w:val="00586FD6"/>
    <w:rsid w:val="0059775B"/>
    <w:rsid w:val="00651CE3"/>
    <w:rsid w:val="006675FE"/>
    <w:rsid w:val="0067196D"/>
    <w:rsid w:val="0069459E"/>
    <w:rsid w:val="006B71C5"/>
    <w:rsid w:val="006C6C66"/>
    <w:rsid w:val="006F31AB"/>
    <w:rsid w:val="007031A2"/>
    <w:rsid w:val="007062D6"/>
    <w:rsid w:val="0070758F"/>
    <w:rsid w:val="0071239C"/>
    <w:rsid w:val="00724696"/>
    <w:rsid w:val="007420D5"/>
    <w:rsid w:val="00746BB7"/>
    <w:rsid w:val="00757D46"/>
    <w:rsid w:val="00761323"/>
    <w:rsid w:val="007661AE"/>
    <w:rsid w:val="007E460C"/>
    <w:rsid w:val="0082041F"/>
    <w:rsid w:val="00823C6E"/>
    <w:rsid w:val="00853ADB"/>
    <w:rsid w:val="008630B5"/>
    <w:rsid w:val="00865498"/>
    <w:rsid w:val="008928DA"/>
    <w:rsid w:val="008B0FC8"/>
    <w:rsid w:val="008E18E7"/>
    <w:rsid w:val="008E620D"/>
    <w:rsid w:val="00907926"/>
    <w:rsid w:val="00947062"/>
    <w:rsid w:val="0095282D"/>
    <w:rsid w:val="0096118E"/>
    <w:rsid w:val="009629D7"/>
    <w:rsid w:val="00975DC5"/>
    <w:rsid w:val="00996729"/>
    <w:rsid w:val="009E1458"/>
    <w:rsid w:val="00A04C87"/>
    <w:rsid w:val="00A2773F"/>
    <w:rsid w:val="00A37BED"/>
    <w:rsid w:val="00A75BCC"/>
    <w:rsid w:val="00A77487"/>
    <w:rsid w:val="00A90D59"/>
    <w:rsid w:val="00AA3D6E"/>
    <w:rsid w:val="00AC490D"/>
    <w:rsid w:val="00AD0253"/>
    <w:rsid w:val="00B038E0"/>
    <w:rsid w:val="00B244C3"/>
    <w:rsid w:val="00B2589B"/>
    <w:rsid w:val="00B53569"/>
    <w:rsid w:val="00B5685F"/>
    <w:rsid w:val="00B61FA0"/>
    <w:rsid w:val="00BC79B2"/>
    <w:rsid w:val="00BD3532"/>
    <w:rsid w:val="00BD5AA4"/>
    <w:rsid w:val="00BE3824"/>
    <w:rsid w:val="00BF5A70"/>
    <w:rsid w:val="00C21CF6"/>
    <w:rsid w:val="00C225C5"/>
    <w:rsid w:val="00C26923"/>
    <w:rsid w:val="00C50B50"/>
    <w:rsid w:val="00C66AF3"/>
    <w:rsid w:val="00C72B64"/>
    <w:rsid w:val="00C74361"/>
    <w:rsid w:val="00C77AFF"/>
    <w:rsid w:val="00C90E78"/>
    <w:rsid w:val="00C918FE"/>
    <w:rsid w:val="00C952D0"/>
    <w:rsid w:val="00CD316E"/>
    <w:rsid w:val="00D14FE9"/>
    <w:rsid w:val="00D54773"/>
    <w:rsid w:val="00D62133"/>
    <w:rsid w:val="00D62864"/>
    <w:rsid w:val="00D7549F"/>
    <w:rsid w:val="00D86866"/>
    <w:rsid w:val="00D874A3"/>
    <w:rsid w:val="00D9628C"/>
    <w:rsid w:val="00DB1105"/>
    <w:rsid w:val="00DB38D6"/>
    <w:rsid w:val="00DC3183"/>
    <w:rsid w:val="00DE7771"/>
    <w:rsid w:val="00DF406D"/>
    <w:rsid w:val="00E0154C"/>
    <w:rsid w:val="00E162AE"/>
    <w:rsid w:val="00E32389"/>
    <w:rsid w:val="00E44AA7"/>
    <w:rsid w:val="00E666B9"/>
    <w:rsid w:val="00E75688"/>
    <w:rsid w:val="00E818BE"/>
    <w:rsid w:val="00E9656B"/>
    <w:rsid w:val="00EB1FD5"/>
    <w:rsid w:val="00EB4973"/>
    <w:rsid w:val="00ED34BA"/>
    <w:rsid w:val="00EE4751"/>
    <w:rsid w:val="00F12BB3"/>
    <w:rsid w:val="00F15310"/>
    <w:rsid w:val="00F256BB"/>
    <w:rsid w:val="00F358E5"/>
    <w:rsid w:val="00F555D3"/>
    <w:rsid w:val="00F723B9"/>
    <w:rsid w:val="00F76344"/>
    <w:rsid w:val="00FA205A"/>
    <w:rsid w:val="00FB25BD"/>
    <w:rsid w:val="00FD5886"/>
    <w:rsid w:val="00FE550A"/>
    <w:rsid w:val="00FE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EFE87"/>
  <w15:docId w15:val="{45E4010C-0C29-428C-A669-9116F0BE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28" w:type="dxa"/>
        <w:right w:w="2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0F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F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B38D6"/>
    <w:rPr>
      <w:b/>
      <w:bCs/>
    </w:rPr>
  </w:style>
  <w:style w:type="character" w:customStyle="1" w:styleId="CommentSubjectChar">
    <w:name w:val="Comment Subject Char"/>
    <w:basedOn w:val="CommentTextChar"/>
    <w:link w:val="CommentSubject"/>
    <w:uiPriority w:val="99"/>
    <w:semiHidden/>
    <w:rsid w:val="00DB38D6"/>
    <w:rPr>
      <w:b/>
      <w:bCs/>
      <w:sz w:val="20"/>
      <w:szCs w:val="20"/>
    </w:rPr>
  </w:style>
  <w:style w:type="table" w:customStyle="1" w:styleId="5">
    <w:name w:val="5"/>
    <w:basedOn w:val="TableNormal"/>
    <w:rsid w:val="009629D7"/>
    <w:pPr>
      <w:pBdr>
        <w:top w:val="nil"/>
        <w:left w:val="nil"/>
        <w:bottom w:val="nil"/>
        <w:right w:val="nil"/>
        <w:between w:val="nil"/>
      </w:pBdr>
    </w:pPr>
    <w:rPr>
      <w:color w:val="000000"/>
    </w:rPr>
    <w:tblPr>
      <w:tblStyleRowBandSize w:val="1"/>
      <w:tblStyleColBandSize w:val="1"/>
      <w:tblCellMar>
        <w:left w:w="115" w:type="dxa"/>
        <w:right w:w="115" w:type="dxa"/>
      </w:tblCellMar>
    </w:tblPr>
  </w:style>
  <w:style w:type="table" w:customStyle="1" w:styleId="8">
    <w:name w:val="8"/>
    <w:basedOn w:val="TableNormal"/>
    <w:rsid w:val="00A37BED"/>
    <w:pPr>
      <w:pBdr>
        <w:top w:val="nil"/>
        <w:left w:val="nil"/>
        <w:bottom w:val="nil"/>
        <w:right w:val="nil"/>
        <w:between w:val="nil"/>
      </w:pBdr>
      <w:spacing w:line="260" w:lineRule="auto"/>
    </w:pPr>
    <w:rPr>
      <w:color w:val="000000"/>
    </w:rPr>
    <w:tblPr>
      <w:tblStyleRowBandSize w:val="1"/>
      <w:tblStyleColBandSize w:val="1"/>
      <w:tblCellMar>
        <w:left w:w="115" w:type="dxa"/>
        <w:right w:w="115" w:type="dxa"/>
      </w:tblCellMar>
    </w:tblPr>
  </w:style>
  <w:style w:type="paragraph" w:styleId="ListParagraph">
    <w:name w:val="List Paragraph"/>
    <w:aliases w:val="Equipment,Numbered Indented Text,List Paragraph1,lp1,List Paragraph11,Figure_name,List_TIS,List Paragraph Char Char,b1,Bullet 1,Number_1,new,SGLText List Paragraph,Colorful List - Accent 11,Normal Sentence,b1 + Justified,Bullet 11,bl1,Ref"/>
    <w:basedOn w:val="Normal"/>
    <w:link w:val="ListParagraphChar"/>
    <w:uiPriority w:val="34"/>
    <w:qFormat/>
    <w:rsid w:val="00A37BED"/>
    <w:pPr>
      <w:pBdr>
        <w:top w:val="nil"/>
        <w:left w:val="nil"/>
        <w:bottom w:val="nil"/>
        <w:right w:val="nil"/>
        <w:between w:val="nil"/>
      </w:pBdr>
      <w:ind w:left="720"/>
      <w:contextualSpacing/>
    </w:pPr>
    <w:rPr>
      <w:color w:val="000000"/>
    </w:rPr>
  </w:style>
  <w:style w:type="character" w:customStyle="1" w:styleId="ListParagraphChar">
    <w:name w:val="List Paragraph Char"/>
    <w:aliases w:val="Equipment Char,Numbered Indented Text Char,List Paragraph1 Char,lp1 Char,List Paragraph11 Char,Figure_name Char,List_TIS Char,List Paragraph Char Char Char,b1 Char,Bullet 1 Char,Number_1 Char,new Char,SGLText List Paragraph Char"/>
    <w:basedOn w:val="DefaultParagraphFont"/>
    <w:link w:val="ListParagraph"/>
    <w:uiPriority w:val="34"/>
    <w:locked/>
    <w:rsid w:val="00AC490D"/>
    <w:rPr>
      <w:color w:val="000000"/>
    </w:rPr>
  </w:style>
  <w:style w:type="paragraph" w:styleId="Header">
    <w:name w:val="header"/>
    <w:basedOn w:val="Normal"/>
    <w:link w:val="HeaderChar"/>
    <w:uiPriority w:val="99"/>
    <w:unhideWhenUsed/>
    <w:rsid w:val="00865498"/>
    <w:pPr>
      <w:tabs>
        <w:tab w:val="center" w:pos="4680"/>
        <w:tab w:val="right" w:pos="9360"/>
      </w:tabs>
    </w:pPr>
  </w:style>
  <w:style w:type="character" w:customStyle="1" w:styleId="HeaderChar">
    <w:name w:val="Header Char"/>
    <w:basedOn w:val="DefaultParagraphFont"/>
    <w:link w:val="Header"/>
    <w:uiPriority w:val="99"/>
    <w:rsid w:val="00865498"/>
  </w:style>
  <w:style w:type="paragraph" w:styleId="Footer">
    <w:name w:val="footer"/>
    <w:basedOn w:val="Normal"/>
    <w:link w:val="FooterChar"/>
    <w:uiPriority w:val="99"/>
    <w:unhideWhenUsed/>
    <w:rsid w:val="00865498"/>
    <w:pPr>
      <w:tabs>
        <w:tab w:val="center" w:pos="4680"/>
        <w:tab w:val="right" w:pos="9360"/>
      </w:tabs>
    </w:pPr>
  </w:style>
  <w:style w:type="character" w:customStyle="1" w:styleId="FooterChar">
    <w:name w:val="Footer Char"/>
    <w:basedOn w:val="DefaultParagraphFont"/>
    <w:link w:val="Footer"/>
    <w:uiPriority w:val="99"/>
    <w:rsid w:val="00865498"/>
  </w:style>
  <w:style w:type="table" w:customStyle="1" w:styleId="2">
    <w:name w:val="2"/>
    <w:basedOn w:val="TableNormal"/>
    <w:rsid w:val="002A7B05"/>
    <w:pPr>
      <w:pBdr>
        <w:top w:val="nil"/>
        <w:left w:val="nil"/>
        <w:bottom w:val="nil"/>
        <w:right w:val="nil"/>
        <w:between w:val="nil"/>
      </w:pBdr>
    </w:pPr>
    <w:rPr>
      <w:color w:val="00000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983">
      <w:bodyDiv w:val="1"/>
      <w:marLeft w:val="0"/>
      <w:marRight w:val="0"/>
      <w:marTop w:val="0"/>
      <w:marBottom w:val="0"/>
      <w:divBdr>
        <w:top w:val="none" w:sz="0" w:space="0" w:color="auto"/>
        <w:left w:val="none" w:sz="0" w:space="0" w:color="auto"/>
        <w:bottom w:val="none" w:sz="0" w:space="0" w:color="auto"/>
        <w:right w:val="none" w:sz="0" w:space="0" w:color="auto"/>
      </w:divBdr>
    </w:div>
    <w:div w:id="256209160">
      <w:bodyDiv w:val="1"/>
      <w:marLeft w:val="0"/>
      <w:marRight w:val="0"/>
      <w:marTop w:val="0"/>
      <w:marBottom w:val="0"/>
      <w:divBdr>
        <w:top w:val="none" w:sz="0" w:space="0" w:color="auto"/>
        <w:left w:val="none" w:sz="0" w:space="0" w:color="auto"/>
        <w:bottom w:val="none" w:sz="0" w:space="0" w:color="auto"/>
        <w:right w:val="none" w:sz="0" w:space="0" w:color="auto"/>
      </w:divBdr>
    </w:div>
    <w:div w:id="300155088">
      <w:bodyDiv w:val="1"/>
      <w:marLeft w:val="0"/>
      <w:marRight w:val="0"/>
      <w:marTop w:val="0"/>
      <w:marBottom w:val="0"/>
      <w:divBdr>
        <w:top w:val="none" w:sz="0" w:space="0" w:color="auto"/>
        <w:left w:val="none" w:sz="0" w:space="0" w:color="auto"/>
        <w:bottom w:val="none" w:sz="0" w:space="0" w:color="auto"/>
        <w:right w:val="none" w:sz="0" w:space="0" w:color="auto"/>
      </w:divBdr>
    </w:div>
    <w:div w:id="346062432">
      <w:bodyDiv w:val="1"/>
      <w:marLeft w:val="0"/>
      <w:marRight w:val="0"/>
      <w:marTop w:val="0"/>
      <w:marBottom w:val="0"/>
      <w:divBdr>
        <w:top w:val="none" w:sz="0" w:space="0" w:color="auto"/>
        <w:left w:val="none" w:sz="0" w:space="0" w:color="auto"/>
        <w:bottom w:val="none" w:sz="0" w:space="0" w:color="auto"/>
        <w:right w:val="none" w:sz="0" w:space="0" w:color="auto"/>
      </w:divBdr>
    </w:div>
    <w:div w:id="463547989">
      <w:bodyDiv w:val="1"/>
      <w:marLeft w:val="0"/>
      <w:marRight w:val="0"/>
      <w:marTop w:val="0"/>
      <w:marBottom w:val="0"/>
      <w:divBdr>
        <w:top w:val="none" w:sz="0" w:space="0" w:color="auto"/>
        <w:left w:val="none" w:sz="0" w:space="0" w:color="auto"/>
        <w:bottom w:val="none" w:sz="0" w:space="0" w:color="auto"/>
        <w:right w:val="none" w:sz="0" w:space="0" w:color="auto"/>
      </w:divBdr>
    </w:div>
    <w:div w:id="574897169">
      <w:bodyDiv w:val="1"/>
      <w:marLeft w:val="0"/>
      <w:marRight w:val="0"/>
      <w:marTop w:val="0"/>
      <w:marBottom w:val="0"/>
      <w:divBdr>
        <w:top w:val="none" w:sz="0" w:space="0" w:color="auto"/>
        <w:left w:val="none" w:sz="0" w:space="0" w:color="auto"/>
        <w:bottom w:val="none" w:sz="0" w:space="0" w:color="auto"/>
        <w:right w:val="none" w:sz="0" w:space="0" w:color="auto"/>
      </w:divBdr>
    </w:div>
    <w:div w:id="679236257">
      <w:bodyDiv w:val="1"/>
      <w:marLeft w:val="0"/>
      <w:marRight w:val="0"/>
      <w:marTop w:val="0"/>
      <w:marBottom w:val="0"/>
      <w:divBdr>
        <w:top w:val="none" w:sz="0" w:space="0" w:color="auto"/>
        <w:left w:val="none" w:sz="0" w:space="0" w:color="auto"/>
        <w:bottom w:val="none" w:sz="0" w:space="0" w:color="auto"/>
        <w:right w:val="none" w:sz="0" w:space="0" w:color="auto"/>
      </w:divBdr>
    </w:div>
    <w:div w:id="744110651">
      <w:bodyDiv w:val="1"/>
      <w:marLeft w:val="0"/>
      <w:marRight w:val="0"/>
      <w:marTop w:val="0"/>
      <w:marBottom w:val="0"/>
      <w:divBdr>
        <w:top w:val="none" w:sz="0" w:space="0" w:color="auto"/>
        <w:left w:val="none" w:sz="0" w:space="0" w:color="auto"/>
        <w:bottom w:val="none" w:sz="0" w:space="0" w:color="auto"/>
        <w:right w:val="none" w:sz="0" w:space="0" w:color="auto"/>
      </w:divBdr>
    </w:div>
    <w:div w:id="982736922">
      <w:bodyDiv w:val="1"/>
      <w:marLeft w:val="0"/>
      <w:marRight w:val="0"/>
      <w:marTop w:val="0"/>
      <w:marBottom w:val="0"/>
      <w:divBdr>
        <w:top w:val="none" w:sz="0" w:space="0" w:color="auto"/>
        <w:left w:val="none" w:sz="0" w:space="0" w:color="auto"/>
        <w:bottom w:val="none" w:sz="0" w:space="0" w:color="auto"/>
        <w:right w:val="none" w:sz="0" w:space="0" w:color="auto"/>
      </w:divBdr>
    </w:div>
    <w:div w:id="1185048591">
      <w:bodyDiv w:val="1"/>
      <w:marLeft w:val="0"/>
      <w:marRight w:val="0"/>
      <w:marTop w:val="0"/>
      <w:marBottom w:val="0"/>
      <w:divBdr>
        <w:top w:val="none" w:sz="0" w:space="0" w:color="auto"/>
        <w:left w:val="none" w:sz="0" w:space="0" w:color="auto"/>
        <w:bottom w:val="none" w:sz="0" w:space="0" w:color="auto"/>
        <w:right w:val="none" w:sz="0" w:space="0" w:color="auto"/>
      </w:divBdr>
    </w:div>
    <w:div w:id="1209953216">
      <w:bodyDiv w:val="1"/>
      <w:marLeft w:val="0"/>
      <w:marRight w:val="0"/>
      <w:marTop w:val="0"/>
      <w:marBottom w:val="0"/>
      <w:divBdr>
        <w:top w:val="none" w:sz="0" w:space="0" w:color="auto"/>
        <w:left w:val="none" w:sz="0" w:space="0" w:color="auto"/>
        <w:bottom w:val="none" w:sz="0" w:space="0" w:color="auto"/>
        <w:right w:val="none" w:sz="0" w:space="0" w:color="auto"/>
      </w:divBdr>
    </w:div>
    <w:div w:id="1325088192">
      <w:bodyDiv w:val="1"/>
      <w:marLeft w:val="0"/>
      <w:marRight w:val="0"/>
      <w:marTop w:val="0"/>
      <w:marBottom w:val="0"/>
      <w:divBdr>
        <w:top w:val="none" w:sz="0" w:space="0" w:color="auto"/>
        <w:left w:val="none" w:sz="0" w:space="0" w:color="auto"/>
        <w:bottom w:val="none" w:sz="0" w:space="0" w:color="auto"/>
        <w:right w:val="none" w:sz="0" w:space="0" w:color="auto"/>
      </w:divBdr>
    </w:div>
    <w:div w:id="1374889253">
      <w:bodyDiv w:val="1"/>
      <w:marLeft w:val="0"/>
      <w:marRight w:val="0"/>
      <w:marTop w:val="0"/>
      <w:marBottom w:val="0"/>
      <w:divBdr>
        <w:top w:val="none" w:sz="0" w:space="0" w:color="auto"/>
        <w:left w:val="none" w:sz="0" w:space="0" w:color="auto"/>
        <w:bottom w:val="none" w:sz="0" w:space="0" w:color="auto"/>
        <w:right w:val="none" w:sz="0" w:space="0" w:color="auto"/>
      </w:divBdr>
    </w:div>
    <w:div w:id="1415201592">
      <w:bodyDiv w:val="1"/>
      <w:marLeft w:val="0"/>
      <w:marRight w:val="0"/>
      <w:marTop w:val="0"/>
      <w:marBottom w:val="0"/>
      <w:divBdr>
        <w:top w:val="none" w:sz="0" w:space="0" w:color="auto"/>
        <w:left w:val="none" w:sz="0" w:space="0" w:color="auto"/>
        <w:bottom w:val="none" w:sz="0" w:space="0" w:color="auto"/>
        <w:right w:val="none" w:sz="0" w:space="0" w:color="auto"/>
      </w:divBdr>
    </w:div>
    <w:div w:id="1614434907">
      <w:bodyDiv w:val="1"/>
      <w:marLeft w:val="0"/>
      <w:marRight w:val="0"/>
      <w:marTop w:val="0"/>
      <w:marBottom w:val="0"/>
      <w:divBdr>
        <w:top w:val="none" w:sz="0" w:space="0" w:color="auto"/>
        <w:left w:val="none" w:sz="0" w:space="0" w:color="auto"/>
        <w:bottom w:val="none" w:sz="0" w:space="0" w:color="auto"/>
        <w:right w:val="none" w:sz="0" w:space="0" w:color="auto"/>
      </w:divBdr>
    </w:div>
    <w:div w:id="1656298606">
      <w:bodyDiv w:val="1"/>
      <w:marLeft w:val="0"/>
      <w:marRight w:val="0"/>
      <w:marTop w:val="0"/>
      <w:marBottom w:val="0"/>
      <w:divBdr>
        <w:top w:val="none" w:sz="0" w:space="0" w:color="auto"/>
        <w:left w:val="none" w:sz="0" w:space="0" w:color="auto"/>
        <w:bottom w:val="none" w:sz="0" w:space="0" w:color="auto"/>
        <w:right w:val="none" w:sz="0" w:space="0" w:color="auto"/>
      </w:divBdr>
    </w:div>
    <w:div w:id="1685326288">
      <w:bodyDiv w:val="1"/>
      <w:marLeft w:val="0"/>
      <w:marRight w:val="0"/>
      <w:marTop w:val="0"/>
      <w:marBottom w:val="0"/>
      <w:divBdr>
        <w:top w:val="none" w:sz="0" w:space="0" w:color="auto"/>
        <w:left w:val="none" w:sz="0" w:space="0" w:color="auto"/>
        <w:bottom w:val="none" w:sz="0" w:space="0" w:color="auto"/>
        <w:right w:val="none" w:sz="0" w:space="0" w:color="auto"/>
      </w:divBdr>
    </w:div>
    <w:div w:id="1697731422">
      <w:bodyDiv w:val="1"/>
      <w:marLeft w:val="0"/>
      <w:marRight w:val="0"/>
      <w:marTop w:val="0"/>
      <w:marBottom w:val="0"/>
      <w:divBdr>
        <w:top w:val="none" w:sz="0" w:space="0" w:color="auto"/>
        <w:left w:val="none" w:sz="0" w:space="0" w:color="auto"/>
        <w:bottom w:val="none" w:sz="0" w:space="0" w:color="auto"/>
        <w:right w:val="none" w:sz="0" w:space="0" w:color="auto"/>
      </w:divBdr>
    </w:div>
    <w:div w:id="1758940966">
      <w:bodyDiv w:val="1"/>
      <w:marLeft w:val="0"/>
      <w:marRight w:val="0"/>
      <w:marTop w:val="0"/>
      <w:marBottom w:val="0"/>
      <w:divBdr>
        <w:top w:val="none" w:sz="0" w:space="0" w:color="auto"/>
        <w:left w:val="none" w:sz="0" w:space="0" w:color="auto"/>
        <w:bottom w:val="none" w:sz="0" w:space="0" w:color="auto"/>
        <w:right w:val="none" w:sz="0" w:space="0" w:color="auto"/>
      </w:divBdr>
    </w:div>
    <w:div w:id="1802070623">
      <w:bodyDiv w:val="1"/>
      <w:marLeft w:val="0"/>
      <w:marRight w:val="0"/>
      <w:marTop w:val="0"/>
      <w:marBottom w:val="0"/>
      <w:divBdr>
        <w:top w:val="none" w:sz="0" w:space="0" w:color="auto"/>
        <w:left w:val="none" w:sz="0" w:space="0" w:color="auto"/>
        <w:bottom w:val="none" w:sz="0" w:space="0" w:color="auto"/>
        <w:right w:val="none" w:sz="0" w:space="0" w:color="auto"/>
      </w:divBdr>
    </w:div>
    <w:div w:id="1971091096">
      <w:bodyDiv w:val="1"/>
      <w:marLeft w:val="0"/>
      <w:marRight w:val="0"/>
      <w:marTop w:val="0"/>
      <w:marBottom w:val="0"/>
      <w:divBdr>
        <w:top w:val="none" w:sz="0" w:space="0" w:color="auto"/>
        <w:left w:val="none" w:sz="0" w:space="0" w:color="auto"/>
        <w:bottom w:val="none" w:sz="0" w:space="0" w:color="auto"/>
        <w:right w:val="none" w:sz="0" w:space="0" w:color="auto"/>
      </w:divBdr>
    </w:div>
    <w:div w:id="1998413198">
      <w:bodyDiv w:val="1"/>
      <w:marLeft w:val="0"/>
      <w:marRight w:val="0"/>
      <w:marTop w:val="0"/>
      <w:marBottom w:val="0"/>
      <w:divBdr>
        <w:top w:val="none" w:sz="0" w:space="0" w:color="auto"/>
        <w:left w:val="none" w:sz="0" w:space="0" w:color="auto"/>
        <w:bottom w:val="none" w:sz="0" w:space="0" w:color="auto"/>
        <w:right w:val="none" w:sz="0" w:space="0" w:color="auto"/>
      </w:divBdr>
    </w:div>
    <w:div w:id="2001076730">
      <w:bodyDiv w:val="1"/>
      <w:marLeft w:val="0"/>
      <w:marRight w:val="0"/>
      <w:marTop w:val="0"/>
      <w:marBottom w:val="0"/>
      <w:divBdr>
        <w:top w:val="none" w:sz="0" w:space="0" w:color="auto"/>
        <w:left w:val="none" w:sz="0" w:space="0" w:color="auto"/>
        <w:bottom w:val="none" w:sz="0" w:space="0" w:color="auto"/>
        <w:right w:val="none" w:sz="0" w:space="0" w:color="auto"/>
      </w:divBdr>
    </w:div>
    <w:div w:id="2028482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5611</Words>
  <Characters>31984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4</cp:revision>
  <dcterms:created xsi:type="dcterms:W3CDTF">2020-11-26T14:40:00Z</dcterms:created>
  <dcterms:modified xsi:type="dcterms:W3CDTF">2020-11-26T16:31:00Z</dcterms:modified>
</cp:coreProperties>
</file>