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788796"/>
          <w:sz w:val="19"/>
        </w:rPr>
        <w:t>SRI LANKA INSTITUTE OF INFORMATION TECHNOLOGY (SLIIT)</w:t>
        <w:br/>
        <w:t>FACULTY OF COMPUTING | RESEARCH PROJECT J26-IT-423</w:t>
      </w:r>
    </w:p>
    <w:p>
      <w:pPr>
        <w:spacing w:before="80" w:after="80"/>
      </w:pPr>
      <w:r>
        <w:rPr>
          <w:rFonts w:ascii="Arial" w:hAnsi="Arial"/>
          <w:b/>
          <w:color w:val="0F2C59"/>
          <w:sz w:val="36"/>
        </w:rPr>
        <w:t>COMPONENT M3: FRONTEND UI &amp; XAI EXPLANATION GUIDE</w:t>
      </w:r>
    </w:p>
    <w:p>
      <w:pPr>
        <w:spacing w:after="240"/>
      </w:pPr>
      <w:r>
        <w:rPr>
          <w:rFonts w:ascii="Calibri" w:hAnsi="Calibri"/>
          <w:color w:val="2980B9"/>
          <w:sz w:val="22"/>
        </w:rPr>
        <w:t>Plain-Language Walkthrough, Mathematical SHAP Decomposition, and Viva Oral Defense Script</w:t>
      </w:r>
    </w:p>
    <w:tbl>
      <w:tblPr>
        <w:tblW w:type="auto" w:w="0"/>
        <w:jc w:val="center"/>
        <w:tblLook w:firstColumn="1" w:firstRow="1" w:lastColumn="0" w:lastRow="0" w:noHBand="0" w:noVBand="1" w:val="04A0"/>
      </w:tblPr>
      <w:tblGrid>
        <w:gridCol w:w="9936"/>
      </w:tblGrid>
      <w:tr>
        <w:tc>
          <w:tcPr>
            <w:tcW w:type="dxa" w:w="9936"/>
            <w:tcBorders>
              <w:top w:val="none"/>
              <w:left w:val="single" w:sz="24" w:space="0" w:color="0F2C59"/>
              <w:bottom w:val="none"/>
              <w:right w:val="none"/>
            </w:tcBorders>
            <w:shd w:fill="F4F7F9"/>
            <w:tcMar>
              <w:top w:w="120" w:type="dxa"/>
              <w:bottom w:w="120" w:type="dxa"/>
              <w:left w:w="180" w:type="dxa"/>
              <w:right w:w="150" w:type="dxa"/>
            </w:tcMar>
          </w:tcPr>
          <w:p>
            <w:pPr>
              <w:spacing w:after="60" w:line="276" w:lineRule="auto"/>
            </w:pPr>
            <w:r>
              <w:rPr>
                <w:rFonts w:ascii="Arial" w:hAnsi="Arial"/>
                <w:b/>
                <w:color w:val="0F2C59"/>
                <w:sz w:val="20"/>
              </w:rPr>
              <w:t>PURPOSE OF THIS GUIDE</w:t>
            </w:r>
          </w:p>
          <w:p>
            <w:pPr>
              <w:spacing w:after="40" w:line="276" w:lineRule="auto"/>
            </w:pPr>
            <w:r>
              <w:rPr>
                <w:rFonts w:ascii="Calibri" w:hAnsi="Calibri"/>
                <w:color w:val="2C3E50"/>
                <w:sz w:val="19"/>
              </w:rPr>
              <w:t>This document provides a complete, clear, and academically rigorous walkthrough of the Component M3 web cockpit. It explains what every button, card, formula, and disclosure means in plain English, and provides exact mathematical proofs demonstrating how the SHAP TreeExplainer reconciles with the hybrid forecaster.</w:t>
            </w:r>
          </w:p>
        </w:tc>
      </w:tr>
    </w:tbl>
    <w:p>
      <w:pPr>
        <w:spacing w:before="0" w:after="120"/>
      </w:pPr>
    </w:p>
    <w:p>
      <w:pPr>
        <w:keepNext/>
        <w:spacing w:before="320" w:after="120"/>
      </w:pPr>
      <w:r>
        <w:rPr>
          <w:rFonts w:ascii="Arial" w:hAnsi="Arial"/>
          <w:b/>
          <w:color w:val="0F2C59"/>
          <w:sz w:val="28"/>
        </w:rPr>
        <w:t>1. Top Navigation Bar &amp; Action Buttons</w:t>
      </w:r>
    </w:p>
    <w:p>
      <w:pPr>
        <w:spacing w:after="120" w:line="276" w:lineRule="auto"/>
        <w:jc w:val="left"/>
      </w:pPr>
      <w:r>
        <w:rPr>
          <w:rFonts w:ascii="Calibri" w:hAnsi="Calibri"/>
          <w:color w:val="2C3E50"/>
          <w:sz w:val="20"/>
        </w:rPr>
        <w:t>When an examiner or trade director looks at the top of the screen, they see four key components:</w:t>
      </w:r>
    </w:p>
    <w:tbl>
      <w:tblPr>
        <w:tblW w:type="auto" w:w="0"/>
        <w:jc w:val="center"/>
        <w:tblLook w:firstColumn="1" w:firstRow="1" w:lastColumn="0" w:lastRow="0" w:noHBand="0" w:noVBand="1" w:val="04A0"/>
      </w:tblPr>
      <w:tblGrid>
        <w:gridCol w:w="3312"/>
        <w:gridCol w:w="3312"/>
        <w:gridCol w:w="3312"/>
      </w:tblGrid>
      <w:tr>
        <w:tc>
          <w:tcPr>
            <w:tcW w:type="dxa" w:w="2592"/>
            <w:shd w:fill="0F2C59"/>
            <w:tcMar>
              <w:top w:w="120" w:type="dxa"/>
              <w:bottom w:w="120" w:type="dxa"/>
              <w:left w:w="140" w:type="dxa"/>
              <w:right w:w="140" w:type="dxa"/>
            </w:tcMar>
          </w:tcPr>
          <w:p>
            <w:pPr>
              <w:spacing w:after="40"/>
            </w:pPr>
            <w:r>
              <w:rPr>
                <w:rFonts w:ascii="Arial" w:hAnsi="Arial"/>
                <w:b/>
                <w:color w:val="FFFFFF"/>
                <w:sz w:val="17"/>
              </w:rPr>
              <w:t>UI Element</w:t>
            </w:r>
          </w:p>
        </w:tc>
        <w:tc>
          <w:tcPr>
            <w:tcW w:type="dxa" w:w="2592"/>
            <w:shd w:fill="0F2C59"/>
            <w:tcMar>
              <w:top w:w="120" w:type="dxa"/>
              <w:bottom w:w="120" w:type="dxa"/>
              <w:left w:w="140" w:type="dxa"/>
              <w:right w:w="140" w:type="dxa"/>
            </w:tcMar>
          </w:tcPr>
          <w:p>
            <w:pPr>
              <w:spacing w:after="40"/>
            </w:pPr>
            <w:r>
              <w:rPr>
                <w:rFonts w:ascii="Arial" w:hAnsi="Arial"/>
                <w:b/>
                <w:color w:val="FFFFFF"/>
                <w:sz w:val="17"/>
              </w:rPr>
              <w:t>Purpose in the System</w:t>
            </w:r>
          </w:p>
        </w:tc>
        <w:tc>
          <w:tcPr>
            <w:tcW w:type="dxa" w:w="4752"/>
            <w:shd w:fill="0F2C59"/>
            <w:tcMar>
              <w:top w:w="120" w:type="dxa"/>
              <w:bottom w:w="120" w:type="dxa"/>
              <w:left w:w="140" w:type="dxa"/>
              <w:right w:w="140" w:type="dxa"/>
            </w:tcMar>
          </w:tcPr>
          <w:p>
            <w:pPr>
              <w:spacing w:after="40"/>
            </w:pPr>
            <w:r>
              <w:rPr>
                <w:rFonts w:ascii="Arial" w:hAnsi="Arial"/>
                <w:b/>
                <w:color w:val="FFFFFF"/>
                <w:sz w:val="17"/>
              </w:rPr>
              <w:t>How to Explain it to an Examiner / Non-Technical Person</w:t>
            </w:r>
          </w:p>
        </w:tc>
      </w:tr>
      <w:tr>
        <w:tc>
          <w:tcPr>
            <w:tcW w:type="dxa" w:w="2592"/>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Operational Decision Advisory</w:t>
            </w:r>
          </w:p>
        </w:tc>
        <w:tc>
          <w:tcPr>
            <w:tcW w:type="dxa" w:w="2592"/>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Main System Title &amp; Core Philosophy</w:t>
            </w:r>
          </w:p>
        </w:tc>
        <w:tc>
          <w:tcPr>
            <w:tcW w:type="dxa" w:w="4752"/>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Explains that the system is an advisory decision-support tool, not an automated order engine. It guides human export managers rather than replacing them.</w:t>
            </w:r>
          </w:p>
        </w:tc>
      </w:tr>
      <w:tr>
        <w:tc>
          <w:tcPr>
            <w:tcW w:type="dxa" w:w="2592"/>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Ingest Verified Month</w:t>
            </w:r>
          </w:p>
        </w:tc>
        <w:tc>
          <w:tcPr>
            <w:tcW w:type="dxa" w:w="2592"/>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Continuous Forward Ingestion Action</w:t>
            </w:r>
          </w:p>
        </w:tc>
        <w:tc>
          <w:tcPr>
            <w:tcW w:type="dxa" w:w="4752"/>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Enables entering real monthly actuals for 2025+ onward (e.g. May 2025). The system checks continuity, updates feature history, and forecasts the next forward month.</w:t>
            </w:r>
          </w:p>
        </w:tc>
      </w:tr>
      <w:tr>
        <w:tc>
          <w:tcPr>
            <w:tcW w:type="dxa" w:w="2592"/>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Decision Rules &amp; Review (15)</w:t>
            </w:r>
          </w:p>
        </w:tc>
        <w:tc>
          <w:tcPr>
            <w:tcW w:type="dxa" w:w="2592"/>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Rules Catalogue &amp; Consensus Modal</w:t>
            </w:r>
          </w:p>
        </w:tc>
        <w:tc>
          <w:tcPr>
            <w:tcW w:type="dxa" w:w="4752"/>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Opens the modal listing all 15 operational rules. Allows certified Colombo tea brokers to vote Agree/Disagree, moving rules from DRAFT to REVIEWED status.</w:t>
            </w:r>
          </w:p>
        </w:tc>
      </w:tr>
      <w:tr>
        <w:tc>
          <w:tcPr>
            <w:tcW w:type="dxa" w:w="2592"/>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Out-of-Sample Track Record</w:t>
            </w:r>
          </w:p>
        </w:tc>
        <w:tc>
          <w:tcPr>
            <w:tcW w:type="dxa" w:w="2592"/>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Forward Evidence &amp; Accuracy Audit</w:t>
            </w:r>
          </w:p>
        </w:tc>
        <w:tc>
          <w:tcPr>
            <w:tcW w:type="dxa" w:w="4752"/>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Tracks forward out-of-sample forecasts against subsequently published actual exports, proving genuine forecasting ability with no lookahead bias.</w:t>
            </w:r>
          </w:p>
        </w:tc>
      </w:tr>
    </w:tbl>
    <w:p>
      <w:pPr>
        <w:spacing w:before="0" w:after="120"/>
      </w:pPr>
    </w:p>
    <w:p>
      <w:pPr>
        <w:keepNext/>
        <w:spacing w:before="320" w:after="120"/>
      </w:pPr>
      <w:r>
        <w:rPr>
          <w:rFonts w:ascii="Arial" w:hAnsi="Arial"/>
          <w:b/>
          <w:color w:val="0F2C59"/>
          <w:sz w:val="28"/>
        </w:rPr>
        <w:t>2. 'What Moved the Forecast' (The Mathematical Core)</w:t>
      </w:r>
    </w:p>
    <w:p>
      <w:pPr>
        <w:spacing w:after="120" w:line="276" w:lineRule="auto"/>
        <w:jc w:val="left"/>
      </w:pPr>
      <w:r>
        <w:rPr>
          <w:rFonts w:ascii="Calibri" w:hAnsi="Calibri"/>
          <w:color w:val="2C3E50"/>
          <w:sz w:val="20"/>
        </w:rPr>
        <w:t>On the screen, the user is presented with the exact mathematical reconciliation of the forecast:</w:t>
      </w:r>
    </w:p>
    <w:p>
      <w:pPr>
        <w:spacing w:after="120" w:line="276" w:lineRule="auto"/>
        <w:jc w:val="center"/>
      </w:pPr>
      <w:r>
        <w:rPr>
          <w:rFonts w:ascii="Calibri" w:hAnsi="Calibri"/>
          <w:color w:val="2C3E50"/>
          <w:sz w:val="20"/>
        </w:rPr>
        <w:t>Baseline 7.33 + Temporal Component 16.15 + Drivers -0.31 = 23.16 million kg</w:t>
      </w:r>
    </w:p>
    <w:p>
      <w:pPr>
        <w:spacing w:after="120" w:line="276" w:lineRule="auto"/>
        <w:jc w:val="left"/>
      </w:pPr>
      <w:r>
        <w:rPr>
          <w:rFonts w:ascii="Calibri" w:hAnsi="Calibri"/>
          <w:color w:val="2C3E50"/>
          <w:sz w:val="20"/>
        </w:rPr>
        <w:t>This is not a rounded estimate; it is an exact mathematical reconciliation resulting from the fixed-blend architecture:</w:t>
      </w:r>
    </w:p>
    <w:p>
      <w:pPr>
        <w:spacing w:after="120" w:line="276" w:lineRule="auto"/>
        <w:jc w:val="center"/>
      </w:pPr>
      <w:r>
        <w:rPr>
          <w:rFonts w:ascii="Calibri" w:hAnsi="Calibri"/>
          <w:color w:val="2C3E50"/>
          <w:sz w:val="20"/>
        </w:rPr>
        <w:t>Forecast = (1 - w) * y_hat_xgb + w * y_hat_temporal</w:t>
      </w:r>
    </w:p>
    <w:p>
      <w:pPr>
        <w:spacing w:after="120" w:line="276" w:lineRule="auto"/>
        <w:jc w:val="left"/>
      </w:pPr>
      <w:r>
        <w:rPr>
          <w:rFonts w:ascii="Calibri" w:hAnsi="Calibri"/>
          <w:color w:val="2C3E50"/>
          <w:sz w:val="20"/>
        </w:rPr>
        <w:t>where the temporal weight w is fixed at w = 0.70 based on walk-forward validation. Because w is constant, the equation decomposes additively as:</w:t>
      </w:r>
    </w:p>
    <w:p>
      <w:pPr>
        <w:spacing w:after="120" w:line="276" w:lineRule="auto"/>
        <w:jc w:val="center"/>
      </w:pPr>
      <w:r>
        <w:rPr>
          <w:rFonts w:ascii="Calibri" w:hAnsi="Calibri"/>
          <w:color w:val="2C3E50"/>
          <w:sz w:val="20"/>
        </w:rPr>
        <w:t>Forecast = (1 - w) * base_xgb + sum((1 - w) * phi_i) + w * y_hat_temporal</w:t>
      </w:r>
    </w:p>
    <w:p>
      <w:pPr>
        <w:keepNext/>
        <w:spacing w:before="240" w:after="80"/>
      </w:pPr>
      <w:r>
        <w:rPr>
          <w:rFonts w:ascii="Arial" w:hAnsi="Arial"/>
          <w:b/>
          <w:color w:val="1A365D"/>
          <w:sz w:val="23"/>
        </w:rPr>
        <w:t>2.1 Breakdown of the Three Core Terms</w:t>
      </w:r>
    </w:p>
    <w:tbl>
      <w:tblPr>
        <w:tblW w:type="auto" w:w="0"/>
        <w:jc w:val="center"/>
        <w:tblLook w:firstColumn="1" w:firstRow="1" w:lastColumn="0" w:lastRow="0" w:noHBand="0" w:noVBand="1" w:val="04A0"/>
      </w:tblPr>
      <w:tblGrid>
        <w:gridCol w:w="3312"/>
        <w:gridCol w:w="3312"/>
        <w:gridCol w:w="3312"/>
      </w:tblGrid>
      <w:tr>
        <w:tc>
          <w:tcPr>
            <w:tcW w:type="dxa" w:w="2880"/>
            <w:shd w:fill="0F2C59"/>
            <w:tcMar>
              <w:top w:w="120" w:type="dxa"/>
              <w:bottom w:w="120" w:type="dxa"/>
              <w:left w:w="140" w:type="dxa"/>
              <w:right w:w="140" w:type="dxa"/>
            </w:tcMar>
          </w:tcPr>
          <w:p>
            <w:pPr>
              <w:spacing w:after="40"/>
            </w:pPr>
            <w:r>
              <w:rPr>
                <w:rFonts w:ascii="Arial" w:hAnsi="Arial"/>
                <w:b/>
                <w:color w:val="FFFFFF"/>
                <w:sz w:val="17"/>
              </w:rPr>
              <w:t>Mathematical Term</w:t>
            </w:r>
          </w:p>
        </w:tc>
        <w:tc>
          <w:tcPr>
            <w:tcW w:type="dxa" w:w="1584"/>
            <w:shd w:fill="0F2C59"/>
            <w:tcMar>
              <w:top w:w="120" w:type="dxa"/>
              <w:bottom w:w="120" w:type="dxa"/>
              <w:left w:w="140" w:type="dxa"/>
              <w:right w:w="140" w:type="dxa"/>
            </w:tcMar>
          </w:tcPr>
          <w:p>
            <w:pPr>
              <w:spacing w:after="40"/>
            </w:pPr>
            <w:r>
              <w:rPr>
                <w:rFonts w:ascii="Arial" w:hAnsi="Arial"/>
                <w:b/>
                <w:color w:val="FFFFFF"/>
                <w:sz w:val="17"/>
              </w:rPr>
              <w:t>Value on Screen</w:t>
            </w:r>
          </w:p>
        </w:tc>
        <w:tc>
          <w:tcPr>
            <w:tcW w:type="dxa" w:w="5472"/>
            <w:shd w:fill="0F2C59"/>
            <w:tcMar>
              <w:top w:w="120" w:type="dxa"/>
              <w:bottom w:w="120" w:type="dxa"/>
              <w:left w:w="140" w:type="dxa"/>
              <w:right w:w="140" w:type="dxa"/>
            </w:tcMar>
          </w:tcPr>
          <w:p>
            <w:pPr>
              <w:spacing w:after="40"/>
            </w:pPr>
            <w:r>
              <w:rPr>
                <w:rFonts w:ascii="Arial" w:hAnsi="Arial"/>
                <w:b/>
                <w:color w:val="FFFFFF"/>
                <w:sz w:val="17"/>
              </w:rPr>
              <w:t>Underlying Machine Learning Operation &amp; Meaning</w:t>
            </w:r>
          </w:p>
        </w:tc>
      </w:tr>
      <w:tr>
        <w:tc>
          <w:tcPr>
            <w:tcW w:type="dxa" w:w="2880"/>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Baseline (1 - w)*base_xgb</w:t>
            </w:r>
          </w:p>
        </w:tc>
        <w:tc>
          <w:tcPr>
            <w:tcW w:type="dxa" w:w="1584"/>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7.33 mkg</w:t>
            </w:r>
          </w:p>
        </w:tc>
        <w:tc>
          <w:tcPr>
            <w:tcW w:type="dxa" w:w="5472"/>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0.30 x 24.43 mkg. The expected baseline prediction of the 100-tree XGBoost model over the 2000-2018 training distribution.</w:t>
            </w:r>
          </w:p>
        </w:tc>
      </w:tr>
      <w:tr>
        <w:tc>
          <w:tcPr>
            <w:tcW w:type="dxa" w:w="2880"/>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Temporal Component (w*y_temporal)</w:t>
            </w:r>
          </w:p>
        </w:tc>
        <w:tc>
          <w:tcPr>
            <w:tcW w:type="dxa" w:w="1584"/>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16.15 mkg</w:t>
            </w:r>
          </w:p>
        </w:tc>
        <w:tc>
          <w:tcPr>
            <w:tcW w:type="dxa" w:w="5472"/>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0.70 x 23.07 mkg. The Ridge autoregressive baseline. Reflects biological inertia: bushes plucked last month carry strong persistence into this month.</w:t>
            </w:r>
          </w:p>
        </w:tc>
      </w:tr>
      <w:tr>
        <w:tc>
          <w:tcPr>
            <w:tcW w:type="dxa" w:w="2880"/>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Net Driver Effect sum((1-w)*phi_i)</w:t>
            </w:r>
          </w:p>
        </w:tc>
        <w:tc>
          <w:tcPr>
            <w:tcW w:type="dxa" w:w="1584"/>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-0.31 mkg</w:t>
            </w:r>
          </w:p>
        </w:tc>
        <w:tc>
          <w:tcPr>
            <w:tcW w:type="dxa" w:w="5472"/>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0.30 x sum of raw SHAP values. The sum of all marginal adjustments made by the 7 business driver groups.</w:t>
            </w:r>
          </w:p>
        </w:tc>
      </w:tr>
      <w:tr>
        <w:tc>
          <w:tcPr>
            <w:tcW w:type="dxa" w:w="2880"/>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Blended National Forecast</w:t>
            </w:r>
          </w:p>
        </w:tc>
        <w:tc>
          <w:tcPr>
            <w:tcW w:type="dxa" w:w="1584"/>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23.16 mkg</w:t>
            </w:r>
          </w:p>
        </w:tc>
        <w:tc>
          <w:tcPr>
            <w:tcW w:type="dxa" w:w="5472"/>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7.33 + 16.15 - 0.31 = 23.16 million kg. Reconciles with measured error &lt; 10^-6 mkg.</w:t>
            </w:r>
          </w:p>
        </w:tc>
      </w:tr>
    </w:tbl>
    <w:p>
      <w:pPr>
        <w:spacing w:before="0" w:after="120"/>
      </w:pPr>
    </w:p>
    <w:p>
      <w:pPr>
        <w:keepNext/>
        <w:spacing w:before="240" w:after="80"/>
      </w:pPr>
      <w:r>
        <w:rPr>
          <w:rFonts w:ascii="Arial" w:hAnsi="Arial"/>
          <w:b/>
          <w:color w:val="1A365D"/>
          <w:sz w:val="23"/>
        </w:rPr>
        <w:t>2.2 Individual Business Driver Attributions for May 2025</w:t>
      </w:r>
    </w:p>
    <w:tbl>
      <w:tblPr>
        <w:tblW w:type="auto" w:w="0"/>
        <w:jc w:val="center"/>
        <w:tblLook w:firstColumn="1" w:firstRow="1" w:lastColumn="0" w:lastRow="0" w:noHBand="0" w:noVBand="1" w:val="04A0"/>
      </w:tblPr>
      <w:tblGrid>
        <w:gridCol w:w="3312"/>
        <w:gridCol w:w="3312"/>
        <w:gridCol w:w="3312"/>
      </w:tblGrid>
      <w:tr>
        <w:tc>
          <w:tcPr>
            <w:tcW w:type="dxa" w:w="2592"/>
            <w:shd w:fill="0F2C59"/>
            <w:tcMar>
              <w:top w:w="120" w:type="dxa"/>
              <w:bottom w:w="120" w:type="dxa"/>
              <w:left w:w="140" w:type="dxa"/>
              <w:right w:w="140" w:type="dxa"/>
            </w:tcMar>
          </w:tcPr>
          <w:p>
            <w:pPr>
              <w:spacing w:after="40"/>
            </w:pPr>
            <w:r>
              <w:rPr>
                <w:rFonts w:ascii="Arial" w:hAnsi="Arial"/>
                <w:b/>
                <w:color w:val="FFFFFF"/>
                <w:sz w:val="17"/>
              </w:rPr>
              <w:t>Business Driver Group</w:t>
            </w:r>
          </w:p>
        </w:tc>
        <w:tc>
          <w:tcPr>
            <w:tcW w:type="dxa" w:w="1728"/>
            <w:shd w:fill="0F2C59"/>
            <w:tcMar>
              <w:top w:w="120" w:type="dxa"/>
              <w:bottom w:w="120" w:type="dxa"/>
              <w:left w:w="140" w:type="dxa"/>
              <w:right w:w="140" w:type="dxa"/>
            </w:tcMar>
          </w:tcPr>
          <w:p>
            <w:pPr>
              <w:spacing w:after="40"/>
            </w:pPr>
            <w:r>
              <w:rPr>
                <w:rFonts w:ascii="Arial" w:hAnsi="Arial"/>
                <w:b/>
                <w:color w:val="FFFFFF"/>
                <w:sz w:val="17"/>
              </w:rPr>
              <w:t>Direction &amp; Value</w:t>
            </w:r>
          </w:p>
        </w:tc>
        <w:tc>
          <w:tcPr>
            <w:tcW w:type="dxa" w:w="5616"/>
            <w:shd w:fill="0F2C59"/>
            <w:tcMar>
              <w:top w:w="120" w:type="dxa"/>
              <w:bottom w:w="120" w:type="dxa"/>
              <w:left w:w="140" w:type="dxa"/>
              <w:right w:w="140" w:type="dxa"/>
            </w:tcMar>
          </w:tcPr>
          <w:p>
            <w:pPr>
              <w:spacing w:after="40"/>
            </w:pPr>
            <w:r>
              <w:rPr>
                <w:rFonts w:ascii="Arial" w:hAnsi="Arial"/>
                <w:b/>
                <w:color w:val="FFFFFF"/>
                <w:sz w:val="17"/>
              </w:rPr>
              <w:t>Domain Interpretation &amp; Physical Context</w:t>
            </w:r>
          </w:p>
        </w:tc>
      </w:tr>
      <w:tr>
        <w:tc>
          <w:tcPr>
            <w:tcW w:type="dxa" w:w="2592"/>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Export Momentum</w:t>
            </w:r>
          </w:p>
        </w:tc>
        <w:tc>
          <w:tcPr>
            <w:tcW w:type="dxa" w:w="1728"/>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 -0.36 mkg</w:t>
            </w:r>
          </w:p>
        </w:tc>
        <w:tc>
          <w:tcPr>
            <w:tcW w:type="dxa" w:w="5616"/>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Trailing 3-month plucking and shipment momentum was slower than usual, pulling the forecast down by 0.36 million kg.</w:t>
            </w:r>
          </w:p>
        </w:tc>
      </w:tr>
      <w:tr>
        <w:tc>
          <w:tcPr>
            <w:tcW w:type="dxa" w:w="2592"/>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Seasonality</w:t>
            </w:r>
          </w:p>
        </w:tc>
        <w:tc>
          <w:tcPr>
            <w:tcW w:type="dxa" w:w="1728"/>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 +0.08 mkg</w:t>
            </w:r>
          </w:p>
        </w:tc>
        <w:tc>
          <w:tcPr>
            <w:tcW w:type="dxa" w:w="5616"/>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May is historically a high-yielding vegetative flush month across Sri Lankan tea estates, adding +0.08 mkg.</w:t>
            </w:r>
          </w:p>
        </w:tc>
      </w:tr>
      <w:tr>
        <w:tc>
          <w:tcPr>
            <w:tcW w:type="dxa" w:w="2592"/>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Rainfall Dynamics</w:t>
            </w:r>
          </w:p>
        </w:tc>
        <w:tc>
          <w:tcPr>
            <w:tcW w:type="dxa" w:w="1728"/>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 +0.08 mkg</w:t>
            </w:r>
          </w:p>
        </w:tc>
        <w:tc>
          <w:tcPr>
            <w:tcW w:type="dxa" w:w="5616"/>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Favorable precipitation across Nuwara Eliya, Badulla, and Ratnapura supported leaf flushing, adding +0.08 mkg.</w:t>
            </w:r>
          </w:p>
        </w:tc>
      </w:tr>
      <w:tr>
        <w:tc>
          <w:tcPr>
            <w:tcW w:type="dxa" w:w="2592"/>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Auction Prices</w:t>
            </w:r>
          </w:p>
        </w:tc>
        <w:tc>
          <w:tcPr>
            <w:tcW w:type="dxa" w:w="1728"/>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 -0.07 mkg</w:t>
            </w:r>
          </w:p>
        </w:tc>
        <w:tc>
          <w:tcPr>
            <w:tcW w:type="dxa" w:w="5616"/>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Elevated Colombo Tea Auction prices slightly dampened foreign importer order volumes, subtracting -0.07 mkg.</w:t>
            </w:r>
          </w:p>
        </w:tc>
      </w:tr>
      <w:tr>
        <w:tc>
          <w:tcPr>
            <w:tcW w:type="dxa" w:w="2592"/>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Exchange Rate</w:t>
            </w:r>
          </w:p>
        </w:tc>
        <w:tc>
          <w:tcPr>
            <w:tcW w:type="dxa" w:w="1728"/>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 -0.07 mkg</w:t>
            </w:r>
          </w:p>
        </w:tc>
        <w:tc>
          <w:tcPr>
            <w:tcW w:type="dxa" w:w="5616"/>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Currency stability/appreciation created minor export margin friction, pulling the forecast down by -0.07 mkg.</w:t>
            </w:r>
          </w:p>
        </w:tc>
      </w:tr>
      <w:tr>
        <w:tc>
          <w:tcPr>
            <w:tcW w:type="dxa" w:w="2592"/>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Buyer Demand (BDI)</w:t>
            </w:r>
          </w:p>
        </w:tc>
        <w:tc>
          <w:tcPr>
            <w:tcW w:type="dxa" w:w="1728"/>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 +0.04 mkg</w:t>
            </w:r>
          </w:p>
        </w:tc>
        <w:tc>
          <w:tcPr>
            <w:tcW w:type="dxa" w:w="5616"/>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Positive economic purchasing power among key export partners (Middle East/CIS) added +0.04 mkg.</w:t>
            </w:r>
          </w:p>
        </w:tc>
      </w:tr>
      <w:tr>
        <w:tc>
          <w:tcPr>
            <w:tcW w:type="dxa" w:w="2592"/>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ENSO Climate Cycle</w:t>
            </w:r>
          </w:p>
        </w:tc>
        <w:tc>
          <w:tcPr>
            <w:tcW w:type="dxa" w:w="1728"/>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 -0.01 mkg</w:t>
            </w:r>
          </w:p>
        </w:tc>
        <w:tc>
          <w:tcPr>
            <w:tcW w:type="dxa" w:w="5616"/>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Oceanic Niño Index (ONI) sea surface temperature anomaly had a negligible -0.01 mkg effect.</w:t>
            </w:r>
          </w:p>
        </w:tc>
      </w:tr>
    </w:tbl>
    <w:p>
      <w:pPr>
        <w:spacing w:before="0" w:after="120"/>
      </w:pPr>
    </w:p>
    <w:p>
      <w:pPr>
        <w:keepNext/>
        <w:spacing w:before="320" w:after="120"/>
      </w:pPr>
      <w:r>
        <w:rPr>
          <w:rFonts w:ascii="Arial" w:hAnsi="Arial"/>
          <w:b/>
          <w:color w:val="0F2C59"/>
          <w:sz w:val="28"/>
        </w:rPr>
        <w:t>3. 'Why This Forecast?' (Natural Language Rationale)</w:t>
      </w:r>
    </w:p>
    <w:p>
      <w:pPr>
        <w:spacing w:after="120" w:line="276" w:lineRule="auto"/>
        <w:jc w:val="left"/>
      </w:pPr>
      <w:r>
        <w:rPr>
          <w:rFonts w:ascii="Calibri" w:hAnsi="Calibri"/>
          <w:color w:val="2C3E50"/>
          <w:sz w:val="20"/>
        </w:rPr>
        <w:t>Below the waterfall cards, the UI presents a structured, human-readable narrative. This text is generated by a deterministic Jinja2 business template rather than an unconstrained Large Language Model (LLM).</w:t>
      </w:r>
    </w:p>
    <w:tbl>
      <w:tblPr>
        <w:tblW w:type="auto" w:w="0"/>
        <w:jc w:val="center"/>
        <w:tblLook w:firstColumn="1" w:firstRow="1" w:lastColumn="0" w:lastRow="0" w:noHBand="0" w:noVBand="1" w:val="04A0"/>
      </w:tblPr>
      <w:tblGrid>
        <w:gridCol w:w="9936"/>
      </w:tblGrid>
      <w:tr>
        <w:tc>
          <w:tcPr>
            <w:tcW w:type="dxa" w:w="9936"/>
            <w:tcBorders>
              <w:top w:val="none"/>
              <w:left w:val="single" w:sz="24" w:space="0" w:color="C0392B"/>
              <w:bottom w:val="none"/>
              <w:right w:val="none"/>
            </w:tcBorders>
            <w:shd w:fill="FDEDEC"/>
            <w:tcMar>
              <w:top w:w="120" w:type="dxa"/>
              <w:bottom w:w="120" w:type="dxa"/>
              <w:left w:w="180" w:type="dxa"/>
              <w:right w:w="150" w:type="dxa"/>
            </w:tcMar>
          </w:tcPr>
          <w:p>
            <w:pPr>
              <w:spacing w:after="60" w:line="276" w:lineRule="auto"/>
            </w:pPr>
            <w:r>
              <w:rPr>
                <w:rFonts w:ascii="Arial" w:hAnsi="Arial"/>
                <w:b/>
                <w:color w:val="0F2C59"/>
                <w:sz w:val="20"/>
              </w:rPr>
              <w:t>WHY JINJA2 TEMPLATES INSTEAD OF CHATGPT / LLMs?</w:t>
            </w:r>
          </w:p>
          <w:p>
            <w:pPr>
              <w:spacing w:after="40" w:line="276" w:lineRule="auto"/>
            </w:pPr>
            <w:r>
              <w:rPr>
                <w:rFonts w:ascii="Calibri" w:hAnsi="Calibri"/>
                <w:color w:val="2C3E50"/>
                <w:sz w:val="19"/>
              </w:rPr>
              <w:t>In enterprise financial and commodity operations, generative LLMs create unacceptable risks: they can hallucinate numbers, drift over time, or alter wording unpredictably. Jinja2 templates pull the exact verified numbers from the SHAP engine, verify the sign of each driver, and construct grammatically flawless, audit-compliant English in under 1 millisecond.</w:t>
            </w:r>
          </w:p>
        </w:tc>
      </w:tr>
    </w:tbl>
    <w:p>
      <w:pPr>
        <w:spacing w:before="0" w:after="120"/>
      </w:pPr>
    </w:p>
    <w:p>
      <w:pPr>
        <w:spacing w:after="120" w:line="276" w:lineRule="auto"/>
        <w:jc w:val="left"/>
      </w:pPr>
      <w:r>
        <w:rPr>
          <w:rFonts w:ascii="Calibri" w:hAnsi="Calibri"/>
          <w:color w:val="2C3E50"/>
          <w:sz w:val="20"/>
        </w:rPr>
        <w:t>Key Elements Explained in the Narrative:</w:t>
        <w:br/>
        <w:t>• Baseline Comparison: Compares May 2025 (23.2 mkg) against the trailing 3-month average (25.4 mkg; a 9% fall) and against May 2024 (20.7 mkg; 2.4 mkg higher).</w:t>
        <w:br/>
        <w:t>• 80% Prediction Interval: Discloses the range [20.8 to 25.9 mkg]. This warns the exporter that shipments could realistically vary within a 5.1 mkg window, preventing over-commitment.</w:t>
      </w:r>
    </w:p>
    <w:p>
      <w:pPr>
        <w:keepNext/>
        <w:spacing w:before="320" w:after="120"/>
      </w:pPr>
      <w:r>
        <w:rPr>
          <w:rFonts w:ascii="Arial" w:hAnsi="Arial"/>
          <w:b/>
          <w:color w:val="0F2C59"/>
          <w:sz w:val="28"/>
        </w:rPr>
        <w:t>4. 'What the Model Relies on Overall' (Global SHAP Ranking)</w:t>
      </w:r>
    </w:p>
    <w:p>
      <w:pPr>
        <w:spacing w:after="120" w:line="276" w:lineRule="auto"/>
        <w:jc w:val="left"/>
      </w:pPr>
      <w:r>
        <w:rPr>
          <w:rFonts w:ascii="Calibri" w:hAnsi="Calibri"/>
          <w:color w:val="2C3E50"/>
          <w:sz w:val="20"/>
        </w:rPr>
        <w:t>While Section 2 describes the local forecast for May 2025, this card displays Global Feature Importance (the mean absolute contribution E[|phi|] across all 36 evaluation months from 2022 to 2024):</w:t>
      </w:r>
    </w:p>
    <w:tbl>
      <w:tblPr>
        <w:tblW w:type="auto" w:w="0"/>
        <w:jc w:val="center"/>
        <w:tblLook w:firstColumn="1" w:firstRow="1" w:lastColumn="0" w:lastRow="0" w:noHBand="0" w:noVBand="1" w:val="04A0"/>
      </w:tblPr>
      <w:tblGrid>
        <w:gridCol w:w="3312"/>
        <w:gridCol w:w="3312"/>
        <w:gridCol w:w="3312"/>
      </w:tblGrid>
      <w:tr>
        <w:tc>
          <w:tcPr>
            <w:tcW w:type="dxa" w:w="2592"/>
            <w:shd w:fill="0F2C59"/>
            <w:tcMar>
              <w:top w:w="120" w:type="dxa"/>
              <w:bottom w:w="120" w:type="dxa"/>
              <w:left w:w="140" w:type="dxa"/>
              <w:right w:w="140" w:type="dxa"/>
            </w:tcMar>
          </w:tcPr>
          <w:p>
            <w:pPr>
              <w:spacing w:after="40"/>
            </w:pPr>
            <w:r>
              <w:rPr>
                <w:rFonts w:ascii="Arial" w:hAnsi="Arial"/>
                <w:b/>
                <w:color w:val="FFFFFF"/>
                <w:sz w:val="17"/>
              </w:rPr>
              <w:t>Driver Group</w:t>
            </w:r>
          </w:p>
        </w:tc>
        <w:tc>
          <w:tcPr>
            <w:tcW w:type="dxa" w:w="2160"/>
            <w:shd w:fill="0F2C59"/>
            <w:tcMar>
              <w:top w:w="120" w:type="dxa"/>
              <w:bottom w:w="120" w:type="dxa"/>
              <w:left w:w="140" w:type="dxa"/>
              <w:right w:w="140" w:type="dxa"/>
            </w:tcMar>
          </w:tcPr>
          <w:p>
            <w:pPr>
              <w:spacing w:after="40"/>
            </w:pPr>
            <w:r>
              <w:rPr>
                <w:rFonts w:ascii="Arial" w:hAnsi="Arial"/>
                <w:b/>
                <w:color w:val="FFFFFF"/>
                <w:sz w:val="17"/>
              </w:rPr>
              <w:t>Global Attribution Size (mkg)</w:t>
            </w:r>
          </w:p>
        </w:tc>
        <w:tc>
          <w:tcPr>
            <w:tcW w:type="dxa" w:w="5184"/>
            <w:shd w:fill="0F2C59"/>
            <w:tcMar>
              <w:top w:w="120" w:type="dxa"/>
              <w:bottom w:w="120" w:type="dxa"/>
              <w:left w:w="140" w:type="dxa"/>
              <w:right w:w="140" w:type="dxa"/>
            </w:tcMar>
          </w:tcPr>
          <w:p>
            <w:pPr>
              <w:spacing w:after="40"/>
            </w:pPr>
            <w:r>
              <w:rPr>
                <w:rFonts w:ascii="Arial" w:hAnsi="Arial"/>
                <w:b/>
                <w:color w:val="FFFFFF"/>
                <w:sz w:val="17"/>
              </w:rPr>
              <w:t>Biological &amp; Economic Significance</w:t>
            </w:r>
          </w:p>
        </w:tc>
      </w:tr>
      <w:tr>
        <w:tc>
          <w:tcPr>
            <w:tcW w:type="dxa" w:w="2592"/>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Export Momentum</w:t>
            </w:r>
          </w:p>
        </w:tc>
        <w:tc>
          <w:tcPr>
            <w:tcW w:type="dxa" w:w="2160"/>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0.95 mkg</w:t>
            </w:r>
          </w:p>
        </w:tc>
        <w:tc>
          <w:tcPr>
            <w:tcW w:type="dxa" w:w="5184"/>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Dwarfs all other drivers. Proves that recent plucking and shipping volume carries massive biological inertia.</w:t>
            </w:r>
          </w:p>
        </w:tc>
      </w:tr>
      <w:tr>
        <w:tc>
          <w:tcPr>
            <w:tcW w:type="dxa" w:w="2592"/>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Seasonality</w:t>
            </w:r>
          </w:p>
        </w:tc>
        <w:tc>
          <w:tcPr>
            <w:tcW w:type="dxa" w:w="2160"/>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0.10 mkg</w:t>
            </w:r>
          </w:p>
        </w:tc>
        <w:tc>
          <w:tcPr>
            <w:tcW w:type="dxa" w:w="5184"/>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Monsoonal flushing peaks (Western and Uva quality seasons) provide the primary cyclical swing.</w:t>
            </w:r>
          </w:p>
        </w:tc>
      </w:tr>
      <w:tr>
        <w:tc>
          <w:tcPr>
            <w:tcW w:type="dxa" w:w="2592"/>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Auction Prices</w:t>
            </w:r>
          </w:p>
        </w:tc>
        <w:tc>
          <w:tcPr>
            <w:tcW w:type="dxa" w:w="2160"/>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0.07 mkg</w:t>
            </w:r>
          </w:p>
        </w:tc>
        <w:tc>
          <w:tcPr>
            <w:tcW w:type="dxa" w:w="5184"/>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High/Medium/Low auction price levels dictate buyer bidding enthusiasm.</w:t>
            </w:r>
          </w:p>
        </w:tc>
      </w:tr>
      <w:tr>
        <w:tc>
          <w:tcPr>
            <w:tcW w:type="dxa" w:w="2592"/>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Rainfall</w:t>
            </w:r>
          </w:p>
        </w:tc>
        <w:tc>
          <w:tcPr>
            <w:tcW w:type="dxa" w:w="2160"/>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0.06 mkg</w:t>
            </w:r>
          </w:p>
        </w:tc>
        <w:tc>
          <w:tcPr>
            <w:tcW w:type="dxa" w:w="5184"/>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Precipitation in Nuwara Eliya and Ratnapura acts as a secondary biological growth modulator.</w:t>
            </w:r>
          </w:p>
        </w:tc>
      </w:tr>
      <w:tr>
        <w:tc>
          <w:tcPr>
            <w:tcW w:type="dxa" w:w="2592"/>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Buyer Demand</w:t>
            </w:r>
          </w:p>
        </w:tc>
        <w:tc>
          <w:tcPr>
            <w:tcW w:type="dxa" w:w="2160"/>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0.05 mkg</w:t>
            </w:r>
          </w:p>
        </w:tc>
        <w:tc>
          <w:tcPr>
            <w:tcW w:type="dxa" w:w="5184"/>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Macroeconomic GDP growth in destination nations sets import demand limits.</w:t>
            </w:r>
          </w:p>
        </w:tc>
      </w:tr>
      <w:tr>
        <w:tc>
          <w:tcPr>
            <w:tcW w:type="dxa" w:w="2592"/>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ENSO Cycle</w:t>
            </w:r>
          </w:p>
        </w:tc>
        <w:tc>
          <w:tcPr>
            <w:tcW w:type="dxa" w:w="2160"/>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0.04 mkg</w:t>
            </w:r>
          </w:p>
        </w:tc>
        <w:tc>
          <w:tcPr>
            <w:tcW w:type="dxa" w:w="5184"/>
            <w:shd w:fill="F8F9FA"/>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El Niño / La Niña sea surface temperature shifts provide long-term teleconnections.</w:t>
            </w:r>
          </w:p>
        </w:tc>
      </w:tr>
      <w:tr>
        <w:tc>
          <w:tcPr>
            <w:tcW w:type="dxa" w:w="2592"/>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Exchange Rate</w:t>
            </w:r>
          </w:p>
        </w:tc>
        <w:tc>
          <w:tcPr>
            <w:tcW w:type="dxa" w:w="2160"/>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0.03 mkg</w:t>
            </w:r>
          </w:p>
        </w:tc>
        <w:tc>
          <w:tcPr>
            <w:tcW w:type="dxa" w:w="5184"/>
            <w:shd w:fill="FFFFFF"/>
            <w:tcBorders>
              <w:top w:val="single" w:sz="4" w:space="0" w:color="E5E7E9"/>
              <w:bottom w:val="single" w:sz="4" w:space="0" w:color="E5E7E9"/>
              <w:left w:val="single" w:sz="4" w:space="0" w:color="E5E7E9"/>
              <w:right w:val="single" w:sz="4" w:space="0" w:color="E5E7E9"/>
            </w:tcBorders>
            <w:tcMar>
              <w:top w:w="90" w:type="dxa"/>
              <w:bottom w:w="90" w:type="dxa"/>
              <w:left w:w="130" w:type="dxa"/>
              <w:right w:w="130" w:type="dxa"/>
            </w:tcMar>
          </w:tcPr>
          <w:p>
            <w:pPr>
              <w:spacing w:after="40" w:line="252" w:lineRule="auto"/>
            </w:pPr>
            <w:r>
              <w:rPr>
                <w:rFonts w:ascii="Calibri" w:hAnsi="Calibri"/>
                <w:color w:val="2C3E50"/>
                <w:sz w:val="17"/>
              </w:rPr>
              <w:t>USD/LKR exchange rate shifts provide marginal price competitiveness adjustments.</w:t>
            </w:r>
          </w:p>
        </w:tc>
      </w:tr>
    </w:tbl>
    <w:p>
      <w:pPr>
        <w:spacing w:before="0" w:after="120"/>
      </w:pPr>
    </w:p>
    <w:p>
      <w:pPr>
        <w:keepNext/>
        <w:spacing w:before="320" w:after="120"/>
      </w:pPr>
      <w:r>
        <w:rPr>
          <w:rFonts w:ascii="Arial" w:hAnsi="Arial"/>
          <w:b/>
          <w:color w:val="0F2C59"/>
          <w:sz w:val="28"/>
        </w:rPr>
        <w:t>5. Methodological Scope &amp; Operational Governance Disclosures</w:t>
      </w:r>
    </w:p>
    <w:p>
      <w:pPr>
        <w:spacing w:after="120" w:line="276" w:lineRule="auto"/>
        <w:jc w:val="left"/>
      </w:pPr>
      <w:r>
        <w:rPr>
          <w:rFonts w:ascii="Calibri" w:hAnsi="Calibri"/>
          <w:color w:val="2C3E50"/>
          <w:sz w:val="20"/>
        </w:rPr>
        <w:t>The 7 disclosure points at the bottom of the screen ensure complete academic and intellectual honesty:</w:t>
      </w:r>
    </w:p>
    <w:p>
      <w:pPr>
        <w:spacing w:after="60" w:line="276" w:lineRule="auto"/>
      </w:pPr>
      <w:r>
        <w:rPr>
          <w:rFonts w:ascii="Arial" w:hAnsi="Arial"/>
          <w:b/>
          <w:color w:val="0F2C59"/>
          <w:sz w:val="19"/>
        </w:rPr>
        <w:t xml:space="preserve">1. Forecasting Architecture: </w:t>
      </w:r>
      <w:r>
        <w:rPr>
          <w:rFonts w:ascii="Calibri" w:hAnsi="Calibri"/>
          <w:color w:val="2C3E50"/>
          <w:sz w:val="19"/>
        </w:rPr>
        <w:t>Honestly discloses that M1-lite is an interim stand-in combining shallow trees and autoregression behind a fixed interface while M1 completes development.</w:t>
      </w:r>
    </w:p>
    <w:p>
      <w:pPr>
        <w:spacing w:after="60" w:line="276" w:lineRule="auto"/>
      </w:pPr>
      <w:r>
        <w:rPr>
          <w:rFonts w:ascii="Arial" w:hAnsi="Arial"/>
          <w:b/>
          <w:color w:val="0F2C59"/>
          <w:sz w:val="19"/>
        </w:rPr>
        <w:t xml:space="preserve">2. Attribution vs. Causality: </w:t>
      </w:r>
      <w:r>
        <w:rPr>
          <w:rFonts w:ascii="Calibri" w:hAnsi="Calibri"/>
          <w:color w:val="2C3E50"/>
          <w:sz w:val="19"/>
        </w:rPr>
        <w:t>Clarifies that SHAP measures model feature sensitivity, not physical or causal real-world proof.</w:t>
      </w:r>
    </w:p>
    <w:p>
      <w:pPr>
        <w:spacing w:after="60" w:line="276" w:lineRule="auto"/>
      </w:pPr>
      <w:r>
        <w:rPr>
          <w:rFonts w:ascii="Arial" w:hAnsi="Arial"/>
          <w:b/>
          <w:color w:val="0F2C59"/>
          <w:sz w:val="19"/>
        </w:rPr>
        <w:t xml:space="preserve">3. Econometric Sensitivity: </w:t>
      </w:r>
      <w:r>
        <w:rPr>
          <w:rFonts w:ascii="Calibri" w:hAnsi="Calibri"/>
          <w:color w:val="2C3E50"/>
          <w:sz w:val="19"/>
        </w:rPr>
        <w:t>Explains that what-if sliders explore historical model response (p5-p95), not macroeconomic policy interventions.</w:t>
      </w:r>
    </w:p>
    <w:p>
      <w:pPr>
        <w:spacing w:after="60" w:line="276" w:lineRule="auto"/>
      </w:pPr>
      <w:r>
        <w:rPr>
          <w:rFonts w:ascii="Arial" w:hAnsi="Arial"/>
          <w:b/>
          <w:color w:val="0F2C59"/>
          <w:sz w:val="19"/>
        </w:rPr>
        <w:t xml:space="preserve">4. Driver Effect Magnitudes: </w:t>
      </w:r>
      <w:r>
        <w:rPr>
          <w:rFonts w:ascii="Calibri" w:hAnsi="Calibri"/>
          <w:color w:val="2C3E50"/>
          <w:sz w:val="19"/>
        </w:rPr>
        <w:t>Openly tells the user that external drivers produce small, step-like shifts (0.1 to 0.3 mkg) because exports are dominated by momentum.</w:t>
      </w:r>
    </w:p>
    <w:p>
      <w:pPr>
        <w:spacing w:after="60" w:line="276" w:lineRule="auto"/>
      </w:pPr>
      <w:r>
        <w:rPr>
          <w:rFonts w:ascii="Arial" w:hAnsi="Arial"/>
          <w:b/>
          <w:color w:val="0F2C59"/>
          <w:sz w:val="19"/>
        </w:rPr>
        <w:t xml:space="preserve">5. Prediction Intervals: </w:t>
      </w:r>
      <w:r>
        <w:rPr>
          <w:rFonts w:ascii="Calibri" w:hAnsi="Calibri"/>
          <w:color w:val="2C3E50"/>
          <w:sz w:val="19"/>
        </w:rPr>
        <w:t>Honestly discloses that the 80% interval covered 74% of test months (rather than nominal 80%) due to 2022 currency collapse and fertilizer ban shocks.</w:t>
      </w:r>
    </w:p>
    <w:p>
      <w:pPr>
        <w:spacing w:after="60" w:line="276" w:lineRule="auto"/>
      </w:pPr>
      <w:r>
        <w:rPr>
          <w:rFonts w:ascii="Arial" w:hAnsi="Arial"/>
          <w:b/>
          <w:color w:val="0F2C59"/>
          <w:sz w:val="19"/>
        </w:rPr>
        <w:t xml:space="preserve">6. Data Provenance: </w:t>
      </w:r>
      <w:r>
        <w:rPr>
          <w:rFonts w:ascii="Calibri" w:hAnsi="Calibri"/>
          <w:color w:val="2C3E50"/>
          <w:sz w:val="19"/>
        </w:rPr>
        <w:t>Acknowledges that exchange rates before 2014 use the Central Bank synthetic series and BDI is an annual trade proxy.</w:t>
      </w:r>
    </w:p>
    <w:p>
      <w:pPr>
        <w:spacing w:after="60" w:line="276" w:lineRule="auto"/>
      </w:pPr>
      <w:r>
        <w:rPr>
          <w:rFonts w:ascii="Arial" w:hAnsi="Arial"/>
          <w:b/>
          <w:color w:val="0F2C59"/>
          <w:sz w:val="19"/>
        </w:rPr>
        <w:t xml:space="preserve">7. Operational Governance: </w:t>
      </w:r>
      <w:r>
        <w:rPr>
          <w:rFonts w:ascii="Calibri" w:hAnsi="Calibri"/>
          <w:color w:val="2C3E50"/>
          <w:sz w:val="19"/>
        </w:rPr>
        <w:t>Notes that decision prompt rules are in DRAFT status pending formal consensus review with Colombo tea brokers.</w:t>
      </w:r>
    </w:p>
    <w:p>
      <w:pPr>
        <w:keepNext/>
        <w:spacing w:before="320" w:after="120"/>
      </w:pPr>
      <w:r>
        <w:rPr>
          <w:rFonts w:ascii="Arial" w:hAnsi="Arial"/>
          <w:b/>
          <w:color w:val="0F2C59"/>
          <w:sz w:val="28"/>
        </w:rPr>
        <w:t>6. 3-Minute Viva Presentation Script</w:t>
      </w:r>
    </w:p>
    <w:p>
      <w:pPr>
        <w:spacing w:after="120" w:line="276" w:lineRule="auto"/>
        <w:jc w:val="left"/>
      </w:pPr>
      <w:r>
        <w:rPr>
          <w:rFonts w:ascii="Calibri" w:hAnsi="Calibri"/>
          <w:color w:val="2C3E50"/>
          <w:sz w:val="20"/>
        </w:rPr>
        <w:t>Here is a word-for-word presentation script you can read or memorize to explain this screen in 3 minutes during your oral exam:</w:t>
      </w:r>
    </w:p>
    <w:tbl>
      <w:tblPr>
        <w:tblW w:type="auto" w:w="0"/>
        <w:jc w:val="center"/>
        <w:tblLook w:firstColumn="1" w:firstRow="1" w:lastColumn="0" w:lastRow="0" w:noHBand="0" w:noVBand="1" w:val="04A0"/>
      </w:tblPr>
      <w:tblGrid>
        <w:gridCol w:w="9936"/>
      </w:tblGrid>
      <w:tr>
        <w:tc>
          <w:tcPr>
            <w:tcW w:type="dxa" w:w="9936"/>
            <w:tcBorders>
              <w:top w:val="none"/>
              <w:left w:val="single" w:sz="24" w:space="0" w:color="27AE60"/>
              <w:bottom w:val="none"/>
              <w:right w:val="none"/>
            </w:tcBorders>
            <w:shd w:fill="EAFAF1"/>
            <w:tcMar>
              <w:top w:w="120" w:type="dxa"/>
              <w:bottom w:w="120" w:type="dxa"/>
              <w:left w:w="180" w:type="dxa"/>
              <w:right w:w="150" w:type="dxa"/>
            </w:tcMar>
          </w:tcPr>
          <w:p>
            <w:pPr>
              <w:spacing w:after="60" w:line="276" w:lineRule="auto"/>
            </w:pPr>
            <w:r>
              <w:rPr>
                <w:rFonts w:ascii="Arial" w:hAnsi="Arial"/>
                <w:b/>
                <w:color w:val="27AE60"/>
                <w:sz w:val="20"/>
              </w:rPr>
              <w:t>ORAL DEFENSE PRESENTATION SCRIPT</w:t>
            </w:r>
          </w:p>
          <w:p>
            <w:pPr>
              <w:spacing w:after="40" w:line="276" w:lineRule="auto"/>
            </w:pPr>
            <w:r>
              <w:rPr>
                <w:rFonts w:ascii="Calibri" w:hAnsi="Calibri"/>
                <w:color w:val="2C3E50"/>
                <w:sz w:val="19"/>
              </w:rPr>
              <w:t>"Good morning / afternoon examiners. This screen represents the Component M3 Operational Decision Advisory cockpit.</w:t>
              <w:br/>
              <w:br/>
              <w:t>At the top right, the 'Ingest Verified Month' button allows tea exporters to enter real-world monthly actuals for 2025 and beyond. Right now, the system has taken April 2025 data and is forecasting May 2025 at 23.16 million kilograms.</w:t>
              <w:br/>
              <w:br/>
              <w:t>What makes Component M3 scientifically novel is the card labeled 'What moved the forecast'. Rather than presenting an opaque black box, we decompose the prediction using exact SHAP TreeExplainer mathematics across a two-branch hybrid architecture. Our model combines a 100-tree XGBoost regressor with a linear autoregressive temporal branch using a fixed blend weight of w = 0.70.</w:t>
              <w:br/>
              <w:br/>
              <w:t>Because the blend weight is fixed, the forecast reconciles with zero mathematical error: Baseline 7.33 mkg plus Temporal 16.15 mkg minus Net Drivers 0.31 mkg exactly equals our forecast of 23.16 million kg. We can see that while favorable May Seasonality and good Rainfall added +0.08 mkg each, slower trailing export plucking pulled the forecast down by -0.36 mkg.</w:t>
              <w:br/>
              <w:br/>
              <w:t>To make this understandable for non-technical trade executives, our Jinja2 rationale engine translates these SHAP drivers into a fluent, hallucination-free English narrative, highlighting the calibrated 80% error range of 20.8 to 25.9 million kg.</w:t>
              <w:br/>
              <w:br/>
              <w:t>Finally, all 15 operational decision rules are badged as DRAFT, allowing certified Colombo tea brokers to vote and review them in our review console, ensuring full compliance with human-in-the-loop ethical AI governance."</w:t>
            </w:r>
          </w:p>
        </w:tc>
      </w:tr>
    </w:tbl>
    <w:p>
      <w:pPr>
        <w:spacing w:before="0" w:after="12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788796"/>
        <w:sz w:val="17"/>
      </w:rPr>
      <w:t>Component M3 Executive Guide  |  SLIIT Computing</w:t>
      <w:tab/>
      <w:tab/>
      <w:t xml:space="preserve">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8796"/>
        <w:sz w:val="17"/>
      </w:rPr>
      <w:t>J26-IT-423 | Component M3: Frontend Walkthrough &amp; XAI Explanation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