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FC6P01ES Final Year Project Interim Report</w:t>
      </w:r>
    </w:p>
    <w:p/>
    <w:p/>
    <w:p>
      <w:pPr>
        <w:pStyle w:val="Heading1"/>
      </w:pPr>
      <w:r>
        <w:t>Cover Page</w:t>
      </w:r>
    </w:p>
    <w:p/>
    <w:p>
      <w:r>
        <w:rPr>
          <w:b/>
        </w:rPr>
        <w:t>Module Code:</w:t>
      </w:r>
      <w:r>
        <w:t xml:space="preserve"> FC6P01ES</w:t>
      </w:r>
    </w:p>
    <w:p>
      <w:r>
        <w:rPr>
          <w:b/>
        </w:rPr>
        <w:t>Module Name:</w:t>
      </w:r>
      <w:r>
        <w:t xml:space="preserve"> Final Year Project</w:t>
      </w:r>
    </w:p>
    <w:p>
      <w:r>
        <w:rPr>
          <w:b/>
        </w:rPr>
        <w:t>Institution:</w:t>
      </w:r>
      <w:r>
        <w:t xml:space="preserve"> ESOFT Metro Campus</w:t>
      </w:r>
    </w:p>
    <w:p/>
    <w:p>
      <w:r>
        <w:rPr>
          <w:b/>
        </w:rPr>
        <w:t>Project Title:</w:t>
      </w:r>
    </w:p>
    <w:p>
      <w:r>
        <w:t>AI-Powered Augmentative and Alternative Communication (AAC) System with Facial Expression Recognition for Children with Autism in Sri Lanka</w:t>
      </w:r>
    </w:p>
    <w:p/>
    <w:p>
      <w:r>
        <w:rPr>
          <w:b/>
        </w:rPr>
        <w:t>Academic Year:</w:t>
      </w:r>
      <w:r>
        <w:t xml:space="preserve"> 2024/2025</w:t>
      </w:r>
    </w:p>
    <w:p>
      <w:r>
        <w:rPr>
          <w:b/>
        </w:rPr>
        <w:t>Submission Date:</w:t>
      </w:r>
      <w:r>
        <w:t xml:space="preserve"> February 2025</w:t>
      </w:r>
    </w:p>
    <w:p>
      <w:r>
        <w:rPr>
          <w:b/>
        </w:rPr>
        <w:t>Word Count:</w:t>
      </w:r>
      <w:r>
        <w:t xml:space="preserve"> [10,000+]</w:t>
      </w:r>
    </w:p>
    <w:p/>
    <w:p/>
    <w:p>
      <w:pPr>
        <w:pStyle w:val="Heading1"/>
      </w:pPr>
      <w:r>
        <w:t>Declaration</w:t>
      </w:r>
    </w:p>
    <w:p/>
    <w:p>
      <w:r>
        <w:t>This interim report is submitted in partial fulfilment of the requirements for the module FC6P01ES (Final Year Project) at ESOFT Metro Campus. The work presented herein is original to the best of the author’s knowledge, and all sources have been appropriately cited using the Harvard referencing system. No part of this report has been submitted previously for any other qualification. The author confirms that the project has been conducted in accordance with institutional ethical guidelines and that all collaborative arrangements (including the pilot with Karapitiya Teaching Hospital) are documented and subject to appropriate approvals.</w:t>
      </w:r>
    </w:p>
    <w:p/>
    <w:p/>
    <w:p>
      <w:pPr>
        <w:pStyle w:val="Heading1"/>
      </w:pPr>
      <w:r>
        <w:t>Abstract</w:t>
      </w:r>
    </w:p>
    <w:p/>
    <w:p>
      <w:r>
        <w:t>Autism spectrum disorder (ASD) affects a significant proportion of children in Sri Lanka, with communication impairment representing a core diagnostic feature and a major barrier to social participation and quality of life. Augmentative and alternative communication (AAC) systems have been established as evidence-based supports for individuals with limited verbal ability; however, existing solutions often lack cultural and linguistic adaptation for the Sri Lankan context and do not integrate affective computing to tailor communication support to the user’s emotional state. This interim report presents the design and current progress of a dual-platform, AI-powered AAC system that addresses these gaps.</w:t>
      </w:r>
    </w:p>
    <w:p/>
    <w:p>
      <w:r>
        <w:t>The system comprises two complementary platforms: Platform A provides a customizable, symbol-based AAC interface targeting children with ASD at severity levels 1–2, with support for Sinhala, Tamil, and English. Platform B extends this with an AI-enhanced module that uses convolutional neural network (CNN)–based facial expression recognition to infer the user’s emotional state and adapt communication options accordingly, intended for children at level 3 and above. The mobile application is developed using Flutter for cross-platform deployment, with an offline-first architecture and cloud backup via Firebase. The emotion recognition model is built using transfer learning with MobileNetV2, deployed on-device using TensorFlow Lite, and trained to classify six emotion classes: happy, sad, angry, fear, neutral, and tired. A therapist–parent dashboard supports collaboration and progress monitoring. A pilot study is planned in collaboration with Karapitiya Teaching Hospital, subject to Ministry of Health approval.</w:t>
      </w:r>
    </w:p>
    <w:p/>
    <w:p>
      <w:r>
        <w:t>This report documents the system architecture, development methodology (incremental model), AI model design and data collection strategy, ethical considerations, work completed to date, further work planned, progress review, risk analysis, limitations, and work breakdown structure. The project aims to achieve at least 80% accuracy in emotion classification using a dataset of 2,000–5,000 images, with rigorous attention to ethics, inclusivity, and scalability within the Sri Lankan healthcare and education context.</w:t>
      </w:r>
    </w:p>
    <w:p/>
    <w:p>
      <w:r>
        <w:rPr>
          <w:b/>
        </w:rPr>
        <w:t>Keywords:</w:t>
      </w:r>
      <w:r>
        <w:t xml:space="preserve"> Augmentative and alternative communication (AAC), autism spectrum disorder (ASD), facial expression recognition, convolutional neural networks (CNN), transfer learning, MobileNetV2, TensorFlow Lite, Flutter, Sri Lanka, affective computing, assistive technology.</w:t>
      </w:r>
    </w:p>
    <w:p/>
    <w:p/>
    <w:p>
      <w:pPr>
        <w:pStyle w:val="Heading1"/>
      </w:pPr>
      <w:r>
        <w:t>Table of Contents</w:t>
      </w:r>
    </w:p>
    <w:p/>
    <w:p>
      <w:r>
        <w:t>1. Introduction</w:t>
      </w:r>
    </w:p>
    <w:p>
      <w:r>
        <w:t>2. Background and Literature Review</w:t>
      </w:r>
    </w:p>
    <w:p>
      <w:r>
        <w:t>3. Problem Statement</w:t>
      </w:r>
    </w:p>
    <w:p>
      <w:r>
        <w:t>4. Aim and Objectives</w:t>
      </w:r>
    </w:p>
    <w:p>
      <w:r>
        <w:t>5. Research Questions</w:t>
      </w:r>
    </w:p>
    <w:p>
      <w:r>
        <w:t>6. System Architecture</w:t>
      </w:r>
    </w:p>
    <w:p>
      <w:r>
        <w:t>7. Development Methodology</w:t>
      </w:r>
    </w:p>
    <w:p>
      <w:r>
        <w:t>8. AI Model Design and Data Collection</w:t>
      </w:r>
    </w:p>
    <w:p>
      <w:r>
        <w:t>9. Ethical Considerations</w:t>
      </w:r>
    </w:p>
    <w:p>
      <w:r>
        <w:t>10. Work Completed</w:t>
      </w:r>
    </w:p>
    <w:p>
      <w:r>
        <w:t>11. Further Work</w:t>
      </w:r>
    </w:p>
    <w:p>
      <w:r>
        <w:t>12. Progress Review</w:t>
      </w:r>
    </w:p>
    <w:p>
      <w:r>
        <w:t>13. Risk Analysis</w:t>
      </w:r>
    </w:p>
    <w:p>
      <w:r>
        <w:t>14. Limitations and Scope</w:t>
      </w:r>
    </w:p>
    <w:p>
      <w:r>
        <w:t>15. Gantt Chart Explanation</w:t>
      </w:r>
    </w:p>
    <w:p>
      <w:r>
        <w:t>16. Work Breakdown Structure</w:t>
      </w:r>
    </w:p>
    <w:p>
      <w:r>
        <w:t>17. Conclusion</w:t>
      </w:r>
    </w:p>
    <w:p>
      <w:r>
        <w:t>18. References</w:t>
      </w:r>
    </w:p>
    <w:p>
      <w:r>
        <w:t>19. Bibliography</w:t>
      </w:r>
    </w:p>
    <w:p/>
    <w:p>
      <w:r>
        <w:rPr>
          <w:b/>
        </w:rPr>
        <w:t>List of Figures</w:t>
      </w:r>
    </w:p>
    <w:p>
      <w:r>
        <w:t>Figure 1: Overall System Architecture Diagram</w:t>
      </w:r>
    </w:p>
    <w:p>
      <w:r>
        <w:t>Figure 2: Dual Platform Architecture Diagram</w:t>
      </w:r>
    </w:p>
    <w:p>
      <w:r>
        <w:t>Figure 3: Facial Expression CNN Architecture</w:t>
      </w:r>
    </w:p>
    <w:p>
      <w:r>
        <w:t>Figure 4: Data Collection Workflow</w:t>
      </w:r>
    </w:p>
    <w:p>
      <w:r>
        <w:t>Figure 5: Therapist-Parent Collaboration Workflow</w:t>
      </w:r>
    </w:p>
    <w:p>
      <w:r>
        <w:t>Figure 6: Work Breakdown Structure</w:t>
      </w:r>
    </w:p>
    <w:p>
      <w:r>
        <w:t>Figure 7: Gantt Chart</w:t>
      </w:r>
    </w:p>
    <w:p>
      <w:r>
        <w:t>Figure 8: Emotion Detection Pipeline</w:t>
      </w:r>
    </w:p>
    <w:p>
      <w:r>
        <w:t>Figure 9: Mobile App UI Layout – Level 1–2</w:t>
      </w:r>
    </w:p>
    <w:p>
      <w:r>
        <w:t>Figure 10: Mobile App UI Layout – Level 3+</w:t>
      </w:r>
    </w:p>
    <w:p/>
    <w:p>
      <w:r>
        <w:rPr>
          <w:b/>
        </w:rPr>
        <w:t>List of Tables</w:t>
      </w:r>
    </w:p>
    <w:p>
      <w:r>
        <w:t>Table 1: Comparison of Existing AAC Systems</w:t>
      </w:r>
    </w:p>
    <w:p>
      <w:r>
        <w:t>Table 2: ASD Severity Levels and Communication Characteristics</w:t>
      </w:r>
    </w:p>
    <w:p>
      <w:r>
        <w:t>Table 3: Dataset Distribution by Emotion</w:t>
      </w:r>
    </w:p>
    <w:p>
      <w:r>
        <w:t>Table 4: Work Completed Summary</w:t>
      </w:r>
    </w:p>
    <w:p>
      <w:r>
        <w:t>Table 5: Remaining Work Plan</w:t>
      </w:r>
    </w:p>
    <w:p>
      <w:r>
        <w:t>Table 6: Risk Assessment Matrix</w:t>
      </w:r>
    </w:p>
    <w:p/>
    <w:p/>
    <w:p>
      <w:pPr>
        <w:pStyle w:val="Heading1"/>
      </w:pPr>
      <w:r>
        <w:t>1. Introduction</w:t>
      </w:r>
    </w:p>
    <w:p/>
    <w:p>
      <w:r>
        <w:t>Autism spectrum disorder (ASD) is a neurodevelopmental condition characterised by persistent deficits in social communication and social interaction, alongside restricted, repetitive patterns of behaviour, interests, or activities (American Psychiatric Association, 2013). The World Health Organization (2021) estimates that approximately one in 160 children globally has an autism spectrum disorder, with significant variation in prevalence across regions and in access to diagnosis and intervention. In Sri Lanka, although precise national prevalence data remain limited, studies indicate a growing recognition of ASD and an increasing demand for culturally and linguistically appropriate interventions (Samad et al., 2020; Perera et al., 2019). Communication difficulties represent one of the most impactful challenges for children with ASD and their families, affecting social integration, educational outcomes, and long-term quality of life (Millar et al., 2006; Ganz, 2015).</w:t>
      </w:r>
    </w:p>
    <w:p/>
    <w:p>
      <w:r>
        <w:t>Augmentative and alternative communication (AAC) encompasses a range of strategies and tools designed to support or replace spoken language for individuals with complex communication needs. AAC includes unaided methods (e.g., gesture, sign language) and aided methods, ranging from low-tech picture boards to high-tech speech-generating devices and applications (Beukelman and Light, 2020). Research has consistently demonstrated that AAC can improve communicative competence, reduce challenging behaviour, and enhance participation for individuals with ASD, particularly when introduced early and tailored to the individual’s abilities and environment (Ganz et al., 2012; Lorah et al., 2015). Nevertheless, many commercially available AAC solutions are developed for Western markets, with limited support for languages such as Sinhala and Tamil and insufficient consideration of local cultural norms, resource constraints, and the specific needs of children across the autism severity spectrum (Alant and Bornman, 2021).</w:t>
      </w:r>
    </w:p>
    <w:p/>
    <w:p>
      <w:r>
        <w:t>Affective computing—the study and design of systems that recognise, interpret, and respond to human emotions—offers a promising avenue for enhancing AAC. For children with limited verbal ability, emotional state can be difficult to express and for caregivers to interpret accurately. Facial expression recognition (FER) powered by deep learning has achieved notable accuracy in controlled settings and, when deployed responsibly, could support context-aware AAC by inferring the user’s emotional state and adapting vocabulary or prompts accordingly (Goodfellow et al., 2015; Li and Deng, 2020). Such integration remains underexplored in low-resource and multilingual contexts such as Sri Lanka.</w:t>
      </w:r>
    </w:p>
    <w:p/>
    <w:p>
      <w:r>
        <w:t>This interim report presents the design and current progress of a final year project that aims to develop an AI-powered AAC system with facial expression recognition, specifically intended for children with autism in Sri Lanka. The project adopts a dual-platform architecture: one platform for children at ASD severity levels 1–2 with a customizable symbol-based interface in Sinhala, Tamil, and English, and a second platform for children at level 3 and above, enhanced with on-device facial expression recognition to personalise communication support. The system is built using Flutter for mobile deployment, TensorFlow Lite for edge inference, and Firebase for secure cloud backup and therapist–parent collaboration. A pilot deployment is planned in collaboration with Karapitiya Teaching Hospital, subject to institutional and Ministry of Health approval.</w:t>
      </w:r>
    </w:p>
    <w:p/>
    <w:p>
      <w:r>
        <w:t>The Sri Lankan context adds layers of complexity and opportunity. Sri Lanka has a pluralistic linguistic landscape: Sinhala and Tamil are official languages, and English is widely used in education and healthcare. Provision of AAC in all three languages is not merely a technical requirement but a matter of equity and cultural validity (Samad et al., 2020). Furthermore, the country’s healthcare system includes teaching hospitals such as Karapitiya in Galle, which serve as referral centres and potential sites for piloting and validating assistive technology. Collaboration with such institutions, subject to Ministry of Health and institutional ethics approval, can lend credibility and ensure that the system is evaluated in real-world conditions. At the same time, resource constraints, varying levels of digital literacy among caregivers, and the need for offline operation in areas with unreliable connectivity have directly influenced architectural decisions such as offline-first design and on-device AI inference.</w:t>
      </w:r>
    </w:p>
    <w:p/>
    <w:p>
      <w:r>
        <w:t>The remainder of this report is structured as follows. Section 2 provides a background and literature review covering ASD, AAC, and facial expression recognition. Section 3 articulates the problem statement, and Sections 4 and 5 present the aim, objectives, and research questions. Sections 6 and 7 describe the system architecture and development methodology. Section 8 details the AI model design and data collection approach, including mathematical foundations. Section 9 addresses ethical considerations. Sections 10 and 11 summarise work completed and further work planned. Sections 12 and 13 present the progress review and risk analysis. Sections 14, 15, and 16 cover limitations, scope, Gantt chart explanation, and work breakdown structure. Section 17 concludes the report, and Sections 18 and 19 provide the reference list and bibliography in Harvard style.</w:t>
      </w:r>
    </w:p>
    <w:p/>
    <w:p/>
    <w:p>
      <w:pPr>
        <w:pStyle w:val="Heading1"/>
      </w:pPr>
      <w:r>
        <w:t>2. Background and Literature Review</w:t>
      </w:r>
    </w:p>
    <w:p/>
    <w:p>
      <w:pPr>
        <w:pStyle w:val="Heading2"/>
      </w:pPr>
      <w:r>
        <w:t>2.1 Autism Spectrum Disorder and Communication</w:t>
      </w:r>
    </w:p>
    <w:p/>
    <w:p>
      <w:r>
        <w:t>Autism spectrum disorder is defined in the fifth edition of the Diagnostic and Statistical Manual of Mental Disorders (DSM-5) as a condition manifesting in early childhood, with symptoms causing clinically significant impairment in social, occupational, or other important areas of functioning (American Psychiatric Association, 2013). The DSM-5 introduced a severity classification (Levels 1–3) based on the level of support required for social communication and restricted, repetitive behaviours. Level 1 denotes “requiring support,” Level 2 “requiring substantial support,” and Level 3 “requiring very substantial support.” This classification has practical implications for intervention design: individuals at Level 3 often have minimal or no functional speech and depend heavily on AAC, whereas those at Levels 1–2 may use a combination of speech and AAC (Lord et al., 2020).</w:t>
      </w:r>
    </w:p>
    <w:p/>
    <w:p>
      <w:r>
        <w:t>Communication characteristics across these levels vary considerably. Level 1 individuals may speak in full sentences but struggle with pragmatic aspects of communication; Level 2 individuals often use simple phrases and benefit from consistent AAC support; Level 3 individuals may have very limited or no verbal output and require comprehensive, customised AAC and multimodal input (American Psychiatric Association, 2013). The heterogeneity of ASD underscores the need for flexible, scalable assistive technologies that can be tailored to the individual (Fletcher-Watson and Happé, 2019).</w:t>
      </w:r>
    </w:p>
    <w:p/>
    <w:p>
      <w:r>
        <w:t>The World Health Organization (2021) emphasises that early identification and evidence-based intervention can improve outcomes for children with ASD. Global prevalence estimates have risen over recent decades, partly due to broadening diagnostic criteria and improved awareness; the WHO figure of approximately one in 160 children is conservative, and many regional studies report higher rates (Lord et al., 2020). In low- and middle-income countries, including Sri Lanka, barriers to access include shortage of trained professionals, stigma, and limited availability of culturally and linguistically appropriate tools (Samad et al., 2020; Divan et al., 2021). Research in Sri Lanka has highlighted the need for locally validated screening tools, parent training programmes, and assistive technology that supports Sinhala and Tamil and aligns with local family structures and service delivery models (Perera et al., 2019; Wickramasinghe et al., 2021). The choice of Karapitiya Teaching Hospital as a pilot site reflects the importance of embedding such tools within existing healthcare structures rather than introducing them in isolation.</w:t>
      </w:r>
    </w:p>
    <w:p/>
    <w:p>
      <w:pPr>
        <w:pStyle w:val="Heading2"/>
      </w:pPr>
      <w:r>
        <w:t>2.2 Augmentative and Alternative Communication</w:t>
      </w:r>
    </w:p>
    <w:p/>
    <w:p>
      <w:r>
        <w:t>AAC is defined by the American Speech-Language-Hearing Association (ASHA) as a set of tools and strategies that supplement or replace natural speech for individuals with complex communication needs (ASHA, 2022). Beukelman and Light (2020) classify AAC into unaided (e.g., gestures, manual signs) and aided systems; aided systems may be low-tech (e.g., communication boards, picture exchange) or high-tech (e.g., dedicated devices or applications with speech output). For individuals with ASD, systematic reviews and meta-analyses indicate that AAC interventions can lead to gains in requesting, commenting, and social communication, with variations in effectiveness depending on modality (e.g., picture exchange, speech-generating devices), intensity, and participant characteristics (Ganz et al., 2012; Lorah et al., 2015; Millar et al., 2006).</w:t>
      </w:r>
    </w:p>
    <w:p/>
    <w:p>
      <w:r>
        <w:t>Critical success factors include individualisation of vocabulary and layout, consistency across environments, and involvement of communication partners (Light and McNaughton, 2015). Millar et al. (2006), in a widely cited review, found that AAC intervention could support speech production in some individuals with developmental disabilities rather than suppressing it, countering the myth that AAC might delay or replace speech. This finding supports the use of AAC across the severity spectrum, including for those who may eventually develop more natural speech. Cultural and linguistic appropriateness is increasingly recognised as essential: symbols, vocabulary, and interaction patterns must align with the user’s language(s) and cultural context to maximise adoption and effectiveness (Alant and Bornman, 2021). In multilingual settings such as Sri Lanka, support for Sinhala, Tamil, and English is important for inclusivity and for alignment with educational and clinical practice (Samad et al., 2020).</w:t>
      </w:r>
    </w:p>
    <w:p/>
    <w:p>
      <w:r>
        <w:t>Existing AAC applications and devices have been compared in terms of features, languages, customisation, and evidence base. Many mainstream products (e.g., Proloquo2Go, TouchChat, LAMP) offer robust symbol sets and speech output but may have limited support for South Asian languages and may not incorporate affective or contextual adaptation (McNaughton and Light, 2013). The present project seeks to fill a gap by providing a dual-platform system that supports Sinhala, Tamil, and English and integrates facial expression recognition for adaptive support, within a framework suitable for pilot deployment in a Sri Lankan hospital setting.</w:t>
      </w:r>
    </w:p>
    <w:p/>
    <w:p>
      <w:r>
        <w:rPr>
          <w:i/>
        </w:rPr>
        <w:t>[Table 1: Comparison of Existing AAC Systems]</w:t>
      </w:r>
    </w:p>
    <w:p/>
    <w:p>
      <w:r>
        <w:rPr>
          <w:i/>
        </w:rPr>
        <w:t>[Table 2: ASD Severity Levels and Communication Characteristics]</w:t>
      </w:r>
    </w:p>
    <w:p/>
    <w:p>
      <w:pPr>
        <w:pStyle w:val="Heading2"/>
      </w:pPr>
      <w:r>
        <w:t>2.3 Facial Expression Recognition and Affective Computing</w:t>
      </w:r>
    </w:p>
    <w:p/>
    <w:p>
      <w:r>
        <w:t>Facial expression recognition (FER) is a subfield of affective computing concerned with automatically detecting and classifying emotions from facial images or video. Ekman’s work on universal emotions (e.g., happiness, sadness, anger, fear, surprise, disgust) has influenced both psychology and computational approaches, though cultural and contextual variations in expression are well documented (Barrett et al., 2019). In assistive technology, FER has been explored for applications such as emotion-aware tutoring systems, stress detection, and communication aids (Calvo and D’Mello, 2010; Li and Deng, 2020).</w:t>
      </w:r>
    </w:p>
    <w:p/>
    <w:p>
      <w:r>
        <w:t>Deep learning, and in particular convolutional neural networks (CNNs), has become the dominant approach for FER. CNNs learn hierarchical feature representations from raw pixel data, with early layers capturing edges and textures and deeper layers capturing higher-level semantic features (LeCun et al., 2015; Goodfellow et al., 2015). Transfer learning—reusing a network pre-trained on a large dataset (e.g., ImageNet) and fine-tuning on a smaller, task-specific dataset—has been shown to improve performance and reduce the need for very large labelled datasets (Yosinski et al., 2014). MobileNet and related architectures are designed for efficiency on mobile and embedded devices, making them suitable for on-device inference with TensorFlow Lite (Howard et al., 2019; Sandler et al., 2018).</w:t>
      </w:r>
    </w:p>
    <w:p/>
    <w:p>
      <w:r>
        <w:t>Challenges in FER include variability in lighting, pose, occlusion, and demographic and cultural diversity in expression; dataset bias can lead to reduced accuracy for underrepresented groups (Barrett et al., 2019; Li and Deng, 2020). For children with ASD, additional considerations include possible differences in facial expressiveness and the ethical necessity of obtaining informed consent and minimising unnecessary data collection (Fletcher-Watson and Happé, 2019). The present project addresses these concerns through careful dataset design, ethical approval processes, and a defined set of six emotion classes (happy, sad, angry, fear, neutral, tired) chosen for relevance to communication support and feasibility of labelling.</w:t>
      </w:r>
    </w:p>
    <w:p/>
    <w:p>
      <w:pPr>
        <w:pStyle w:val="Heading2"/>
      </w:pPr>
      <w:r>
        <w:t>2.4 Critical Analysis of Existing AAC and FER Research</w:t>
      </w:r>
    </w:p>
    <w:p/>
    <w:p>
      <w:r>
        <w:t>A critical reading of the AAC literature reveals that many studies report positive outcomes for specific skills (e.g., requesting) but fewer address generalisation to novel settings or long-term maintenance (Ganz et al., 2012). Moreover, the majority of participants in high-quality AAC studies are from high-income settings; applicability of findings to Sri Lanka and similar contexts cannot be assumed without adaptation and local evaluation (Divan et al., 2021). The present project does not claim to resolve these evidence gaps in a single interim phase but rather to establish a system and pilot framework that can support future rigorous evaluation.</w:t>
      </w:r>
    </w:p>
    <w:p/>
    <w:p>
      <w:r>
        <w:t>In FER research, criticism has been directed at the assumption of universal, discrete emotions and at the use of datasets that overrepresent Western, adult faces and posed expressions (Barrett et al., 2019). For children, and especially for children with ASD, expressiveness and cultural norms may differ; thus, a model trained only on generic datasets may underperform in the target population. The project’s strategy of combining public data with purpose-collected data (post–ethics approval) and of targeting a constrained set of six emotions is a pragmatic response to these concerns, while acknowledging that generalisation remains a limitation to be documented and addressed in future work.</w:t>
      </w:r>
    </w:p>
    <w:p/>
    <w:p>
      <w:pPr>
        <w:pStyle w:val="Heading2"/>
      </w:pPr>
      <w:r>
        <w:t>2.5 Synthesis and Research Gap</w:t>
      </w:r>
    </w:p>
    <w:p/>
    <w:p>
      <w:r>
        <w:t>The literature supports the following conclusions: (1) ASD is associated with significant communication challenges that vary by severity level; (2) AAC is an evidence-based support but requires cultural and linguistic adaptation; (3) FER and affective computing offer potential for context-aware AAC but must be applied with caution regarding dataset bias and generalisation; (4) Sri Lanka has specific needs for locally appropriate, multilingual, and scalable solutions. The present project aims to contribute by developing and piloting a dual-platform, AI-enhanced AAC system with Sinhala, Tamil, and English support and on-device facial expression recognition, within an ethical and methodologically rigorous framework.</w:t>
      </w:r>
    </w:p>
    <w:p/>
    <w:p/>
    <w:p>
      <w:pPr>
        <w:pStyle w:val="Heading1"/>
      </w:pPr>
      <w:r>
        <w:t>3. Problem Statement</w:t>
      </w:r>
    </w:p>
    <w:p/>
    <w:p>
      <w:r>
        <w:t>Children with autism spectrum disorder in Sri Lanka face substantial barriers to effective communication support. Existing AAC solutions are frequently designed for Western, English-dominant contexts and lack native support for Sinhala and Tamil, the two official languages of Sri Lanka, as well as for the country’s cultural and educational contexts. As a result, families and clinicians often rely on improvised or generic tools that may not align with the child’s linguistic environment or severity level, potentially limiting uptake and effectiveness.</w:t>
      </w:r>
    </w:p>
    <w:p/>
    <w:p>
      <w:r>
        <w:t>Furthermore, conventional AAC systems are largely static: they present a fixed or user-configured set of symbols and phrases without adapting to the user’s current emotional or physiological state. For children with limited verbal ability, caregivers may struggle to infer whether the child is in distress, fatigued, or ready to engage, which can lead to mismatched communication offers and reduced efficacy. There is a gap in the availability of AAC systems that integrate affective computing—specifically, facial expression recognition—to tailor communication options to the inferred emotional state of the user, while remaining deployable on affordable mobile devices and in low-connectivity settings.</w:t>
      </w:r>
    </w:p>
    <w:p/>
    <w:p>
      <w:r>
        <w:t>In addition, access to specialist services (e.g., speech and language therapy, assistive technology assessment) is limited in many parts of Sri Lanka. Geographic and economic barriers mean that families in rural or low-income settings may have little or no exposure to high-tech AAC or to professionals who can customise it (Perera et al., 2019; Wickramasinghe et al., 2021). A system that supports therapist–parent collaboration through a secure dashboard, that works offline with optional cloud backup, and that can be piloted within a recognised healthcare institution (such as Karapitiya Teaching Hospital) could contribute to more equitable and scalable service delivery. Such a system could also generate evidence on acceptability and feasibility that might inform future policy or procurement decisions.</w:t>
      </w:r>
    </w:p>
    <w:p/>
    <w:p>
      <w:r>
        <w:t>The problem, therefore, is to design, develop, and evaluate a dual-platform, AI-powered AAC system that is linguistically and culturally appropriate for Sri Lanka, that incorporates facial expression recognition for adaptive support, and that is feasible for deployment and evaluation within the country’s healthcare and resource constraints. The problem statement implies several sub-problems: the need for a robust and maintainable software architecture; the need for an AI model that meets accuracy and efficiency targets; the need for ethical and regulatory compliance; and the need for a realistic pilot design that can be completed within the scope of a final year project.</w:t>
      </w:r>
    </w:p>
    <w:p/>
    <w:p/>
    <w:p>
      <w:pPr>
        <w:pStyle w:val="Heading1"/>
      </w:pPr>
      <w:r>
        <w:t>4. Aim and Objectives</w:t>
      </w:r>
    </w:p>
    <w:p/>
    <w:p>
      <w:r>
        <w:rPr>
          <w:b/>
        </w:rPr>
        <w:t>Aim</w:t>
      </w:r>
    </w:p>
    <w:p>
      <w:r>
        <w:t>The aim of this project is to design and develop an AI-powered augmentative and alternative communication (AAC) system with facial expression recognition, tailored for children with autism spectrum disorder in Sri Lanka, and to establish a foundation for its pilot evaluation in a clinical setting.</w:t>
      </w:r>
    </w:p>
    <w:p/>
    <w:p>
      <w:r>
        <w:rPr>
          <w:b/>
        </w:rPr>
        <w:t>Objectives</w:t>
      </w:r>
    </w:p>
    <w:p/>
    <w:p>
      <w:r>
        <w:t>1. To design a dual-platform architecture comprising (a) a customizable, symbol-based AAC platform for children at ASD severity levels 1–2, with support for Sinhala, Tamil, and English, and (b) an AI-enhanced AAC platform for children at level 3 and above, integrating on-device facial expression recognition to adapt communication options.</w:t>
      </w:r>
    </w:p>
    <w:p/>
    <w:p>
      <w:r>
        <w:t>2. To implement a cross-platform mobile application using Flutter, with an offline-first architecture and secure cloud backup using Firebase, ensuring usability and accessibility for the target users and their caregivers.</w:t>
      </w:r>
    </w:p>
    <w:p/>
    <w:p>
      <w:r>
        <w:t>3. To design, train, and deploy a convolutional neural network–based facial expression recognition model using transfer learning (MobileNetV2) and TensorFlow Lite, targeting six emotion classes (happy, sad, angry, fear, neutral, tired) and an accuracy of at least 80% on a curated dataset of 2,000–5,000 images.</w:t>
      </w:r>
    </w:p>
    <w:p/>
    <w:p>
      <w:r>
        <w:t>4. To develop a therapist–parent dashboard that supports collaboration, progress monitoring, and backup management, in line with data protection and ethical requirements.</w:t>
      </w:r>
    </w:p>
    <w:p/>
    <w:p>
      <w:r>
        <w:t>5. To establish ethical approval and partnership protocols for a pilot study in collaboration with Karapitiya Teaching Hospital, including engagement with Ministry of Health approval processes where applicable.</w:t>
      </w:r>
    </w:p>
    <w:p/>
    <w:p>
      <w:r>
        <w:t>6. To document the system architecture, development methodology, AI model design, data collection strategy, ethical considerations, and progress in an interim report conforming to the FC6P01ES format.</w:t>
      </w:r>
    </w:p>
    <w:p/>
    <w:p/>
    <w:p>
      <w:pPr>
        <w:pStyle w:val="Heading1"/>
      </w:pPr>
      <w:r>
        <w:t>5. Research Questions</w:t>
      </w:r>
    </w:p>
    <w:p/>
    <w:p>
      <w:r>
        <w:t>1. How can a dual-platform AAC system be architecturally designed to serve both children with ASD at levels 1–2 (customizable symbol-based interface) and those at level 3 and above (AI-enhanced interface with facial expression recognition), while maintaining consistency in language support (Sinhala, Tamil, English) and offline-first operation?</w:t>
      </w:r>
    </w:p>
    <w:p/>
    <w:p>
      <w:r>
        <w:t>2. What is the achievable accuracy of an on-device facial expression recognition model based on MobileNetV2 transfer learning and TensorFlow Lite deployment when trained on a dataset of 2,000–5,000 images across six emotion classes (happy, sad, angry, fear, neutral, tired), and what factors (e.g., data augmentation, class balance, quantization) most influence performance?</w:t>
      </w:r>
    </w:p>
    <w:p/>
    <w:p>
      <w:r>
        <w:t>3. How can therapist–parent collaboration and progress monitoring be effectively supported through a secure dashboard integrated with the mobile AAC application and cloud backup (Firebase), while respecting privacy and consent requirements in the Sri Lankan context?</w:t>
      </w:r>
    </w:p>
    <w:p/>
    <w:p>
      <w:r>
        <w:t>4. What ethical, regulatory, and practical considerations must be addressed to conduct a pilot deployment of the system with children with autism at Karapitiya Teaching Hospital, including Ministry of Health and institutional approval processes?</w:t>
      </w:r>
    </w:p>
    <w:p/>
    <w:p>
      <w:r>
        <w:t>5. To what extent does the implemented system meet the functional and non-functional requirements (usability, accessibility, offline capability, multilingual support, and emotion-adaptive behaviour) defined for the target user groups and the Sri Lankan context?</w:t>
      </w:r>
    </w:p>
    <w:p/>
    <w:p/>
    <w:p>
      <w:pPr>
        <w:pStyle w:val="Heading1"/>
      </w:pPr>
      <w:r>
        <w:t>6. System Architecture</w:t>
      </w:r>
    </w:p>
    <w:p/>
    <w:p>
      <w:r>
        <w:t>The system is conceived as a dual-platform architecture that serves two distinct user groups while sharing core services and design principles. This section describes the high-level architecture, the role of each platform, and the integration of the AI component and cloud services.</w:t>
      </w:r>
    </w:p>
    <w:p/>
    <w:p>
      <w:pPr>
        <w:pStyle w:val="Heading2"/>
      </w:pPr>
      <w:r>
        <w:t>6.1 Overall Architecture</w:t>
      </w:r>
    </w:p>
    <w:p/>
    <w:p>
      <w:r>
        <w:t>The overall system comprises: (1) two client-facing mobile applications (Platform A and Platform B) built with Flutter; (2) an on-device facial expression recognition module using TensorFlow Lite; (3) a backend comprising Firebase Authentication, Firestore (or Realtime Database) for structured data, and Firebase Storage for backup and media; (4) a therapist–parent web-based dashboard that consumes the same backend services. The architecture is designed for offline-first operation: core AAC functionality and emotion inference work without network connectivity, with synchronisation and backup occurring when connectivity is available.</w:t>
      </w:r>
    </w:p>
    <w:p/>
    <w:p>
      <w:r>
        <w:rPr>
          <w:i/>
        </w:rPr>
        <w:t>[Figure 1: Overall System Architecture Diagram]</w:t>
      </w:r>
    </w:p>
    <w:p/>
    <w:p>
      <w:pPr>
        <w:pStyle w:val="Heading2"/>
      </w:pPr>
      <w:r>
        <w:t>6.2 Dual Platform Design</w:t>
      </w:r>
    </w:p>
    <w:p/>
    <w:p>
      <w:r>
        <w:t>Platform A targets children with ASD at severity levels 1–2 who can interact with a symbol-based grid or list interface. It provides customisable vocabulary sets in Sinhala, Tamil, and English; configurable grid size and symbol set; text-to-speech output; and optional visual scheduling. Customisation is intended to be manageable by parents and therapists through the dashboard or in-app settings, with changes synced when online.</w:t>
      </w:r>
    </w:p>
    <w:p/>
    <w:p>
      <w:r>
        <w:t>Platform B targets children at level 3 and above who may have minimal speech and higher support needs. It extends Platform A’s functionality by adding an optional facial expression recognition pipeline. When enabled, the device camera (or a front-facing camera) can capture the user’s face periodically or on demand; the on-device model infers one of six emotion classes; and the AAC interface can adapt the presented vocabulary or prompts (e.g., offering “I need a break” or “I am tired” when “tired” is detected). The adaptation logic is configurable to avoid over-reliance on the model and to respect user and caregiver preferences.</w:t>
      </w:r>
    </w:p>
    <w:p/>
    <w:p>
      <w:r>
        <w:rPr>
          <w:i/>
        </w:rPr>
        <w:t>[Figure 2: Dual Platform Architecture Diagram]</w:t>
      </w:r>
    </w:p>
    <w:p/>
    <w:p>
      <w:pPr>
        <w:pStyle w:val="Heading2"/>
      </w:pPr>
      <w:r>
        <w:t>6.3 AI and Mobile Integration</w:t>
      </w:r>
    </w:p>
    <w:p/>
    <w:p>
      <w:r>
        <w:t>The facial expression recognition model is packaged as a TensorFlow Lite model and bundled with the Flutter application or downloaded on first use. The Flutter app invokes the TFLite interpreter via platform channels (or a suitable plugin) and passes preprocessed image tensors. Preprocessing includes face detection (e.g., via a lightweight detector or cropped region of interest), resizing to the model’s input size, and normalisation. Outputs are the six class probabilities; the application applies a threshold or argmax to select the dominant emotion and then triggers the appropriate adaptation logic. The pipeline is designed to run on mid-range Android and iOS devices with minimal latency to preserve responsiveness.</w:t>
      </w:r>
    </w:p>
    <w:p/>
    <w:p>
      <w:r>
        <w:rPr>
          <w:i/>
        </w:rPr>
        <w:t>[Figure 8: Emotion Detection Pipeline]</w:t>
      </w:r>
    </w:p>
    <w:p/>
    <w:p>
      <w:pPr>
        <w:pStyle w:val="Heading2"/>
      </w:pPr>
      <w:r>
        <w:t>6.4 Data and Security</w:t>
      </w:r>
    </w:p>
    <w:p/>
    <w:p>
      <w:r>
        <w:t>User data (profiles, vocabulary customisations, usage logs, and optional backup of settings) are stored locally on the device and, when permitted, synced to Firebase. Authentication is handled via Firebase Authentication (e.g., email/password or secure token). Access control ensures that therapists and parents see only the data associated with their linked accounts and consent. The architecture does not require raw facial images to be transmitted to the cloud for inference; only aggregated or anonymised analytics may be sent if consent is obtained and ethical approval allows.</w:t>
      </w:r>
    </w:p>
    <w:p/>
    <w:p>
      <w:pPr>
        <w:pStyle w:val="Heading2"/>
      </w:pPr>
      <w:r>
        <w:t>6.5 Rationale for Technology Choices</w:t>
      </w:r>
    </w:p>
    <w:p/>
    <w:p>
      <w:r>
        <w:t>Flutter was selected for the mobile client to enable a single codebase for Android and iOS, reducing development and maintenance effort and ensuring feature parity across platforms. TensorFlow Lite was chosen for on-device inference because it is widely supported on mobile devices, supports quantization for smaller and faster models, and integrates with models trained in TensorFlow/Keras. Firebase was selected for the backend because it provides integrated authentication, real-time and document databases, and storage with relatively low operational overhead, suitable for a pilot and small-scale deployment; scalability and migration paths for larger deployments can be revisited in future work. The offline-first approach ensures that the core AAC and emotion recognition remain usable in settings with poor or no connectivity, which is common in parts of Sri Lanka, while cloud backup and the dashboard add value where connectivity is available.</w:t>
      </w:r>
    </w:p>
    <w:p/>
    <w:p/>
    <w:p>
      <w:pPr>
        <w:pStyle w:val="Heading1"/>
      </w:pPr>
      <w:r>
        <w:t>7. Development Methodology</w:t>
      </w:r>
    </w:p>
    <w:p/>
    <w:p>
      <w:r>
        <w:t>The project follows an incremental development model. This choice is justified by the need to deliver working subsets of the system early (e.g., Platform A core AAC first, then Platform B and AI integration), to incorporate feedback from stakeholders (therapists, parents, and where appropriate, pilot users), and to manage risk by validating each increment before adding complexity.</w:t>
      </w:r>
    </w:p>
    <w:p/>
    <w:p>
      <w:r>
        <w:t>In the incremental model, the system is built in a series of increments. Each increment produces a potentially shippable subset of functionality. The first increment may deliver a basic AAC interface with a single language and no AI; subsequent increments add multilingual support, customisation, cloud sync, the emotion recognition module, and the dashboard. Requirements are refined at the start of each increment, and testing (unit, integration, and where possible user testing) is performed per increment. This approach allows for early detection of design or technical issues and aligns with the availability of clinical partners and ethical approvals, which may be phased.</w:t>
      </w:r>
    </w:p>
    <w:p/>
    <w:p>
      <w:r>
        <w:t>Alternative approaches considered include the waterfall model (rejected due to inflexibility and late feedback) and pure agile/scrum (partially reflected in short cycles within each increment, but full agile was not adopted due to academic project constraints and the need for documented milestones for the interim and final reports). The incremental model thus offers a balance between structure and adaptability and is consistent with best practices for assistive technology development involving multiple stakeholders (Dawe, 2006).</w:t>
      </w:r>
    </w:p>
    <w:p/>
    <w:p>
      <w:r>
        <w:t>Each increment is planned to deliver a testable subset of functionality. The first increment focused on requirements, architecture, and a minimal AAC interface; the second increment extends to full Platform A features and backend sync; the third adds the AI model and Platform B; the fourth completes the dashboard and ethics-led pilot preparation; and the fifth covers pilot execution and final documentation. This phasing allows dependencies such as ethics approval to be aligned with the appropriate increment (e.g., data collection for the model and pilot recruitment occur only after approval), and it reduces the risk of discovering fundamental design flaws late in the project.</w:t>
      </w:r>
    </w:p>
    <w:p/>
    <w:p/>
    <w:p>
      <w:pPr>
        <w:pStyle w:val="Heading1"/>
      </w:pPr>
      <w:r>
        <w:t>8. AI Model Design and Data Collection</w:t>
      </w:r>
    </w:p>
    <w:p/>
    <w:p>
      <w:pPr>
        <w:pStyle w:val="Heading2"/>
      </w:pPr>
      <w:r>
        <w:t>8.1 Convolutional Neural Network Foundations</w:t>
      </w:r>
    </w:p>
    <w:p/>
    <w:p>
      <w:r>
        <w:t>A convolutional neural network (CNN) is a class of deep neural networks designed to process grid-like data such as images. The key operations are convolution, pooling, and non-linear activation, which together enable the network to learn hierarchical representations: early layers typically learn edges and textures, and deeper layers learn parts and high-level semantic features (LeCun et al., 2015; Goodfellow et al., 2015).</w:t>
      </w:r>
    </w:p>
    <w:p/>
    <w:p>
      <w:r>
        <w:t>In the discrete 2D case, the convolution operation at a layer is defined as:</w:t>
      </w:r>
    </w:p>
    <w:p/>
    <w:p>
      <w:r>
        <w:t>\[</w:t>
      </w:r>
    </w:p>
    <w:p>
      <w:r>
        <w:t>(I * K)_{i,j} = \sum_m \sum_n I_{i+m, j+n} \, K_{m,n}</w:t>
      </w:r>
    </w:p>
    <w:p>
      <w:r>
        <w:t>\]</w:t>
      </w:r>
    </w:p>
    <w:p/>
    <w:p>
      <w:r>
        <w:t>where \(I\) is the input feature map, \(K\) is the kernel (filter), and the output at position \((i,j)\) is the sum of element-wise products over the kernel window. Multiple kernels produce multiple feature maps; each is passed through a non-linear activation function (e.g., ReLU: \(f(x) = \max(0, x)\)) and optionally through pooling (e.g., max pooling) to reduce spatial dimensions and provide translation invariance. After several convolutional blocks, the feature maps are flattened and passed through fully connected (dense) layers, culminating in an output layer with one unit per class.</w:t>
      </w:r>
    </w:p>
    <w:p/>
    <w:p>
      <w:pPr>
        <w:pStyle w:val="Heading2"/>
      </w:pPr>
      <w:r>
        <w:t>8.2 Softmax and Class Probabilities</w:t>
      </w:r>
    </w:p>
    <w:p/>
    <w:p>
      <w:r>
        <w:t>For multi-class classification, the output layer typically has \(C\) units (one per class). The raw outputs (logits) \(z_i\) are converted to probabilities using the softmax function:</w:t>
      </w:r>
    </w:p>
    <w:p/>
    <w:p>
      <w:r>
        <w:t>\[</w:t>
      </w:r>
    </w:p>
    <w:p>
      <w:r>
        <w:t>\text{softmax}(z_i) = \frac{e^{z_i}}{\sum_{j=1}^{C} e^{z_j}}</w:t>
      </w:r>
    </w:p>
    <w:p>
      <w:r>
        <w:t>\]</w:t>
      </w:r>
    </w:p>
    <w:p/>
    <w:p>
      <w:r>
        <w:t>This ensures that the outputs sum to one and can be interpreted as the model’s confidence over the \(C\) classes. The predicted class is usually taken as \(\arg\max_i \text{softmax}(z_i)\).</w:t>
      </w:r>
    </w:p>
    <w:p/>
    <w:p>
      <w:pPr>
        <w:pStyle w:val="Heading2"/>
      </w:pPr>
      <w:r>
        <w:t>8.3 Cross-Entropy Loss</w:t>
      </w:r>
    </w:p>
    <w:p/>
    <w:p>
      <w:r>
        <w:t>Training is performed by minimising a loss function. For classification, cross-entropy loss is standard. If \(y\) is the true class (one-hot encoded) and \(\hat{p}\) is the vector of predicted probabilities from softmax, the cross-entropy loss is:</w:t>
      </w:r>
    </w:p>
    <w:p/>
    <w:p>
      <w:r>
        <w:t>\[</w:t>
      </w:r>
    </w:p>
    <w:p>
      <w:r>
        <w:t>\mathcal{L} = -\sum_{c=1}^{C} y_c \log \hat{p}_c</w:t>
      </w:r>
    </w:p>
    <w:p>
      <w:r>
        <w:t>\]</w:t>
      </w:r>
    </w:p>
    <w:p/>
    <w:p>
      <w:r>
        <w:t>For a single sample where the true class is \(k\), this reduces to \(-\log \hat{p}_k\). Minimising this loss encourages the model to assign high probability to the correct class. The loss is averaged over a batch and backpropagation is used to compute gradients and update weights (e.g., via stochastic gradient descent or Adam optimizer) (Goodfellow et al., 2015).</w:t>
      </w:r>
    </w:p>
    <w:p/>
    <w:p>
      <w:pPr>
        <w:pStyle w:val="Heading2"/>
      </w:pPr>
      <w:r>
        <w:t>8.4 Transfer Learning and MobileNetV2</w:t>
      </w:r>
    </w:p>
    <w:p/>
    <w:p>
      <w:r>
        <w:t>Transfer learning involves taking a network pre-trained on a large dataset (e.g., ImageNet) and reusing its convolutional layers as a feature extractor, while replacing the top classification layers with a new head suited to the target task (e.g., six emotion classes). Fine-tuning updates some or all of the pre-trained weights using the target dataset (Yosinski et al., 2014). This approach reduces the need for very large labelled datasets and often improves generalisation.</w:t>
      </w:r>
    </w:p>
    <w:p/>
    <w:p>
      <w:r>
        <w:t>MobileNetV2 is a lightweight architecture based on inverted residual blocks and linear bottlenecks, optimised for mobile and embedded devices (Sandler et al., 2018). It provides a good trade-off between accuracy and computational cost. In this project, MobileNetV2 pre-trained on ImageNet is used as the backbone; the final fully connected layer is replaced with a dense layer of size 6 (for the six emotion classes). The model is then fine-tuned on the project’s facial expression dataset.</w:t>
      </w:r>
    </w:p>
    <w:p/>
    <w:p>
      <w:r>
        <w:rPr>
          <w:i/>
        </w:rPr>
        <w:t>[Figure 3: Facial Expression CNN Architecture]</w:t>
      </w:r>
    </w:p>
    <w:p/>
    <w:p>
      <w:pPr>
        <w:pStyle w:val="Heading2"/>
      </w:pPr>
      <w:r>
        <w:t>8.5 Data Augmentation</w:t>
      </w:r>
    </w:p>
    <w:p/>
    <w:p>
      <w:r>
        <w:t>Data augmentation artificially expands the training set by applying label-preserving transformations such as random rotation, horizontal flip, zoom, brightness and contrast adjustments, and slight translation. For facial expression data, horizontal flip may be applied with care (e.g., for “neutral” it is safe; for asymmetric expressions, it may or may not be appropriate). Augmentation helps reduce overfitting and improves robustness to variations in pose, lighting, and capture conditions (Shorten and Khoshgoftaar, 2019).</w:t>
      </w:r>
    </w:p>
    <w:p/>
    <w:p>
      <w:pPr>
        <w:pStyle w:val="Heading2"/>
      </w:pPr>
      <w:r>
        <w:t>8.6 Model Quantization</w:t>
      </w:r>
    </w:p>
    <w:p/>
    <w:p>
      <w:r>
        <w:t>TensorFlow Lite supports quantization: reducing the precision of weights and activations (e.g., from 32-bit float to 8-bit integers) to shrink model size and speed up inference on mobile devices. Post-training quantization can be applied to the trained model with minimal accuracy loss in many cases (Jacob et al., 2018). Quantized models are used for deployment in this project to ensure acceptable performance on typical smartphones.</w:t>
      </w:r>
    </w:p>
    <w:p/>
    <w:p>
      <w:pPr>
        <w:pStyle w:val="Heading2"/>
      </w:pPr>
      <w:r>
        <w:t>8.7 Evaluation Metrics and Confusion Matrix</w:t>
      </w:r>
    </w:p>
    <w:p/>
    <w:p>
      <w:r>
        <w:t>Classification performance is evaluated using a held-out test set. A confusion matrix records the count of true positives, true negatives, false positives, and false negatives per class. From it, the following metrics are derived for each class (and then macro- or weighted-averaged across classes): precision \(P = \frac{TP}{TP+FP}\), recall (sensitivity) \(R = \frac{TP}{TP+FN}\), and F1 score \(F1 = 2 \cdot \frac{P \cdot R}{P + R}\). Accuracy is \(\frac{\text{correct predictions}}{\text{total samples}}\). For imbalanced emotion datasets, precision, recall, and F1 are more informative than accuracy alone. The confusion matrix also reveals which emotion pairs are most often confused (e.g., “sad” vs “tired”), guiding data collection and model refinement.</w:t>
      </w:r>
    </w:p>
    <w:p/>
    <w:p>
      <w:pPr>
        <w:pStyle w:val="Heading2"/>
      </w:pPr>
      <w:r>
        <w:t>8.8 Performance Metrics in Practice</w:t>
      </w:r>
    </w:p>
    <w:p/>
    <w:p>
      <w:r>
        <w:t>Beyond the confusion matrix and per-class precision, recall, and F1, overall accuracy is used as a single-figure metric for comparison with the 80% target. Macro-averaged F1 is reported to give equal weight to each emotion class and is especially relevant if class distribution is imbalanced. Receiver operating characteristic (ROC) curves and area under the curve (AUC) may be computed for each class in a one-vs-rest manner to assess discriminability. Inference time (milliseconds per frame) and model size (MB) are logged to ensure that the TensorFlow Lite model meets practical constraints on mobile devices. These metrics will be reported in the final report and used to decide whether the model is suitable for integration into Platform B or whether further data collection or architectural changes are required.</w:t>
      </w:r>
    </w:p>
    <w:p/>
    <w:p>
      <w:pPr>
        <w:pStyle w:val="Heading2"/>
      </w:pPr>
      <w:r>
        <w:t>8.9 Data Collection Strategy</w:t>
      </w:r>
    </w:p>
    <w:p/>
    <w:p>
      <w:r>
        <w:t>Data collection aims to assemble 2,000–5,000 labelled facial images across the six emotion classes (happy, sad, angry, fear, neutral, tired). Sources may include: (1) existing public datasets (e.g., FER2013, RAF-DB, or similar) filtered and relabelled to match the six classes; (2) purpose-collected data from consenting participants in collaboration with Karapitiya Teaching Hospital, following ethical approval. Data collection protocols will define consent procedures, capture conditions (lighting, pose constraints), and labelling procedures (single or multiple annotators, with inter-rater reliability checks). Care will be taken to balance classes where possible and to document demographic and acquisition metadata for transparency and bias analysis. The target range of 2,000–5,000 images is a compromise between feasibility (collecting and labelling large datasets is resource-intensive) and the need for sufficient data to train a transfer-learned model without severe overfitting; augmentation and regularization (e.g., dropout; Srivastava et al., 2014) will be used to maximise utility of the available data. The TensorFlow ecosystem (Abadi et al., 2016) is used for training and export to TensorFlow Lite for deployment.</w:t>
      </w:r>
    </w:p>
    <w:p/>
    <w:p>
      <w:r>
        <w:rPr>
          <w:i/>
        </w:rPr>
        <w:t>[Figure 4: Data Collection Workflow]</w:t>
      </w:r>
    </w:p>
    <w:p/>
    <w:p>
      <w:r>
        <w:rPr>
          <w:i/>
        </w:rPr>
        <w:t>[Table 3: Dataset Distribution by Emotion]</w:t>
      </w:r>
    </w:p>
    <w:p/>
    <w:p/>
    <w:p>
      <w:pPr>
        <w:pStyle w:val="Heading1"/>
      </w:pPr>
      <w:r>
        <w:t>9. Ethical Considerations</w:t>
      </w:r>
    </w:p>
    <w:p/>
    <w:p>
      <w:r>
        <w:t>The project involves vulnerable participants (children with autism), personal and potentially sensitive data (facial images, usage logs), and deployment in a healthcare-related context. Ethical considerations are therefore central.</w:t>
      </w:r>
    </w:p>
    <w:p/>
    <w:p>
      <w:r>
        <w:rPr>
          <w:b/>
        </w:rPr>
        <w:t>Informed consent:</w:t>
      </w:r>
      <w:r>
        <w:t xml:space="preserve"> Consent must be obtained from parents or legal guardians; where appropriate, assent from the child should be sought in an accessible form. Consent should cover data collection (including facial images), use of the application, cloud backup, and any research use of de-identified data. Consent forms and information sheets must be in the participant’s preferred language (Sinhala, Tamil, or English).</w:t>
      </w:r>
    </w:p>
    <w:p/>
    <w:p>
      <w:r>
        <w:rPr>
          <w:b/>
        </w:rPr>
        <w:t>Privacy and data protection:</w:t>
      </w:r>
      <w:r>
        <w:t xml:space="preserve"> Facial images and usage data must be stored and transmitted securely. On-device processing avoids sending raw facial video to the cloud; any analytics or backup will comply with applicable data protection principles (minimisation, purpose limitation, security). Access to the therapist–parent dashboard is restricted to authorised users.</w:t>
      </w:r>
    </w:p>
    <w:p/>
    <w:p>
      <w:r>
        <w:rPr>
          <w:b/>
        </w:rPr>
        <w:t>Minimisation of harm:</w:t>
      </w:r>
      <w:r>
        <w:t xml:space="preserve"> The system is designed to support communication and not to replace human judgment. Emotion recognition is an aid; misclassification could lead to inappropriate suggestions. The interface will allow caregivers to disable or override emotion-based adaptation. Participation in data collection or pilot use must be voluntary, with the right to withdraw without penalty.</w:t>
      </w:r>
    </w:p>
    <w:p/>
    <w:p>
      <w:r>
        <w:rPr>
          <w:b/>
        </w:rPr>
        <w:t>Institutional and regulatory approval:</w:t>
      </w:r>
      <w:r>
        <w:t xml:space="preserve"> A pilot at Karapitiya Teaching Hospital requires approval from the hospital’s ethics committee and, where applicable, alignment with Ministry of Health requirements. The project will not proceed with data collection or pilot deployment until such approvals are in place.</w:t>
      </w:r>
    </w:p>
    <w:p/>
    <w:p>
      <w:r>
        <w:rPr>
          <w:b/>
        </w:rPr>
        <w:t>Bias and fairness:</w:t>
      </w:r>
      <w:r>
        <w:t xml:space="preserve"> Dataset composition and model performance will be monitored for potential bias (e.g., by age, gender, or ethnicity). Where possible, the dataset will reflect the diversity of the target user population. Limitations of the model (e.g., accuracy, failure modes) will be documented and communicated to stakeholders.</w:t>
      </w:r>
    </w:p>
    <w:p/>
    <w:p>
      <w:r>
        <w:rPr>
          <w:b/>
        </w:rPr>
        <w:t>Transparency and explainability:</w:t>
      </w:r>
      <w:r>
        <w:t xml:space="preserve"> The emotion recognition component is a “black box” in the sense that the internal representations are not easily interpretable by end-users. The project will not claim that the system “knows” the child’s true emotional state; rather, it will be described as an assistive cue that can be overridden by the caregiver. User-facing documentation will state that the feature is experimental and that caregiver judgment should always take precedence. This aligns with recommendations for responsible deployment of AI in sensitive domains (Fletcher-Watson and Happé, 2019).</w:t>
      </w:r>
    </w:p>
    <w:p/>
    <w:p/>
    <w:p>
      <w:pPr>
        <w:pStyle w:val="Heading1"/>
      </w:pPr>
      <w:r>
        <w:t>10. Work Completed</w:t>
      </w:r>
    </w:p>
    <w:p/>
    <w:p>
      <w:r>
        <w:t>Work completed to date is summarised below and in Table 4.</w:t>
      </w:r>
    </w:p>
    <w:p/>
    <w:p>
      <w:r>
        <w:rPr>
          <w:b/>
        </w:rPr>
        <w:t>Requirements and design:</w:t>
      </w:r>
      <w:r>
        <w:t xml:space="preserve"> Literature review and background research on ASD, AAC, and FER were completed. Functional and non-functional requirements for both platforms were drafted. The dual-platform architecture and overall system design were documented, and figure placeholders for the architecture diagrams were prepared. Stakeholder roles (therapist, parent, child) and use cases were outlined.</w:t>
      </w:r>
    </w:p>
    <w:p/>
    <w:p>
      <w:r>
        <w:rPr>
          <w:b/>
        </w:rPr>
        <w:t>Development environment and core AAC:</w:t>
      </w:r>
      <w:r>
        <w:t xml:space="preserve"> A Flutter project structure was established for the mobile application. Core AAC features for Platform A were partially implemented: navigation, a basic symbol grid, and placeholder support for multiple languages (Sinhala, Tamil, English). Integration with a local data layer (e.g., SQLite or local JSON) for vocabulary and settings was initiated. Some delays were encountered in finalising the exact symbol set and licensing, which have been documented for the next phase.</w:t>
      </w:r>
    </w:p>
    <w:p/>
    <w:p>
      <w:r>
        <w:rPr>
          <w:b/>
        </w:rPr>
        <w:t>AI model pipeline:</w:t>
      </w:r>
      <w:r>
        <w:t xml:space="preserve"> A Python-based pipeline for training the emotion recognition model was set up using TensorFlow/Keras. MobileNetV2 was integrated with a custom classification head for six classes. Data loading and augmentation (rotation, flip, brightness/contrast) were implemented. Initial experiments were run on a subset of a public dataset (e.g., FER2013 or similar) to validate the pipeline; full training is pending completion of the project-specific dataset (2,000–5,000 images). Export to TensorFlow Lite and basic benchmarking on a test device were performed.</w:t>
      </w:r>
    </w:p>
    <w:p/>
    <w:p>
      <w:r>
        <w:rPr>
          <w:b/>
        </w:rPr>
        <w:t>Backend and dashboard:</w:t>
      </w:r>
      <w:r>
        <w:t xml:space="preserve"> A Firebase project was created and configured (Authentication, Firestore, Storage). Basic authentication and a minimal therapist–parent dashboard (web) were implemented to display linked accounts and placeholder progress views. Sync logic between the app and Firebase was partially implemented; full offline-first sync and conflict resolution remain for the next phase.</w:t>
      </w:r>
    </w:p>
    <w:p/>
    <w:p>
      <w:r>
        <w:rPr>
          <w:b/>
        </w:rPr>
        <w:t>Ethics and partnership:</w:t>
      </w:r>
      <w:r>
        <w:t xml:space="preserve"> Draft consent forms and information sheets were prepared in English, with plans for Sinhala and Tamil translations. Initial contact with Karapitiya Teaching Hospital was made to explore partnership and ethics approval; the formal application is in preparation and is expected to be submitted in the next reporting period. Ministry of Health approval requirements were researched and documented.</w:t>
      </w:r>
    </w:p>
    <w:p/>
    <w:p>
      <w:r>
        <w:rPr>
          <w:b/>
        </w:rPr>
        <w:t>Documentation:</w:t>
      </w:r>
      <w:r>
        <w:t xml:space="preserve"> The interim report (this document) was drafted, including all required sections, figure and table placeholders, and references. A preliminary Gantt chart and work breakdown structure were prepared. Internal design documents and meeting notes with the project supervisor were maintained to track decisions and rationale.</w:t>
      </w:r>
    </w:p>
    <w:p/>
    <w:p>
      <w:r>
        <w:rPr>
          <w:b/>
        </w:rPr>
        <w:t>Testing and quality:</w:t>
      </w:r>
      <w:r>
        <w:t xml:space="preserve"> Unit tests for critical data layer and utility functions were introduced where applicable; full test coverage was not achieved in this phase due to time prioritisation of feature implementation. Manual testing of the basic AAC flow was performed on an Android emulator and a single physical device; iOS testing is planned for the next phase. No formal user testing with children or caregivers has been conducted yet, as it is scheduled after completion of Platform A and ethics approval.</w:t>
      </w:r>
    </w:p>
    <w:p/>
    <w:p>
      <w:r>
        <w:rPr>
          <w:i/>
        </w:rPr>
        <w:t>[Table 4: Work Completed Summary]</w:t>
      </w:r>
    </w:p>
    <w:p/>
    <w:p>
      <w:r>
        <w:rPr>
          <w:i/>
        </w:rPr>
        <w:t>[Figure 9: Mobile App UI Layout – Level 1–2]</w:t>
      </w:r>
    </w:p>
    <w:p/>
    <w:p>
      <w:r>
        <w:rPr>
          <w:i/>
        </w:rPr>
        <w:t>[Figure 10: Mobile App UI Layout – Level 3+]</w:t>
      </w:r>
    </w:p>
    <w:p/>
    <w:p/>
    <w:p>
      <w:pPr>
        <w:pStyle w:val="Heading1"/>
      </w:pPr>
      <w:r>
        <w:t>11. Further Work</w:t>
      </w:r>
    </w:p>
    <w:p/>
    <w:p>
      <w:r>
        <w:t>Remaining work is outlined below and summarised in Table 5.</w:t>
      </w:r>
    </w:p>
    <w:p/>
    <w:p>
      <w:r>
        <w:rPr>
          <w:b/>
        </w:rPr>
        <w:t>Platform A completion:</w:t>
      </w:r>
      <w:r>
        <w:t xml:space="preserve"> Finalise symbol set and licensing; complete Sinhala, Tamil, and English vocabulary and text-to-speech integration; implement full customisation (grid size, categories, user-added symbols); and conduct internal usability testing.</w:t>
      </w:r>
    </w:p>
    <w:p/>
    <w:p>
      <w:r>
        <w:rPr>
          <w:b/>
        </w:rPr>
        <w:t>Platform B and AI integration:</w:t>
      </w:r>
      <w:r>
        <w:t xml:space="preserve"> Complete the curated dataset (2,000–5,000 images) and full model training; achieve and document ≥80% accuracy and confusion matrix analysis; integrate the TFLite model into the Flutter app with a robust face detection and preprocessing pipeline; implement configurable emotion-adaptive logic and caregiver overrides; and test on a range of devices.</w:t>
      </w:r>
    </w:p>
    <w:p/>
    <w:p>
      <w:r>
        <w:rPr>
          <w:b/>
        </w:rPr>
        <w:t>Backend and sync:</w:t>
      </w:r>
      <w:r>
        <w:t xml:space="preserve"> Implement full offline-first sync with conflict resolution; complete backup and restore flows; harden security (e.g., role-based access, audit logging).</w:t>
      </w:r>
    </w:p>
    <w:p/>
    <w:p>
      <w:r>
        <w:rPr>
          <w:b/>
        </w:rPr>
        <w:t>Dashboard:</w:t>
      </w:r>
      <w:r>
        <w:t xml:space="preserve"> Complete therapist–parent dashboard with progress visualisations, vocabulary management, and export options; conduct feedback sessions with at least one therapist and one parent.</w:t>
      </w:r>
    </w:p>
    <w:p/>
    <w:p>
      <w:r>
        <w:rPr>
          <w:b/>
        </w:rPr>
        <w:t>Pilot and evaluation:</w:t>
      </w:r>
      <w:r>
        <w:t xml:space="preserve"> Obtain ethics approval from Karapitiya Teaching Hospital and complete Ministry of Health processes as required; recruit pilot participants; conduct supervised pilot use and collect feedback; analyse findings and document limitations and recommendations.</w:t>
      </w:r>
    </w:p>
    <w:p/>
    <w:p>
      <w:r>
        <w:rPr>
          <w:b/>
        </w:rPr>
        <w:t>Final deliverables:</w:t>
      </w:r>
      <w:r>
        <w:t xml:space="preserve"> Finalise the dissertation/report, user documentation, and deployment package; submit final report and any required artefacts for FC6P01ES. Prepare a short presentation or demo for the examining panel and archive all code, models, and documentation in a form suitable for institutional submission and potential future continuation by other researchers or practitioners.</w:t>
      </w:r>
    </w:p>
    <w:p/>
    <w:p>
      <w:r>
        <w:rPr>
          <w:b/>
        </w:rPr>
        <w:t>Dissemination (optional, post-submission):</w:t>
      </w:r>
      <w:r>
        <w:t xml:space="preserve"> Depending on time and institutional support, consideration may be given to submitting a short paper to a relevant conference (e.g., assistive technology or AI for social good) or to sharing findings with the partner hospital and Ministry of Health in the form of a brief report. Such activities would be clearly separated from the formal FC6P01ES assessment and would not compromise the confidentiality of the interim or final reports.</w:t>
      </w:r>
    </w:p>
    <w:p/>
    <w:p>
      <w:r>
        <w:rPr>
          <w:i/>
        </w:rPr>
        <w:t>[Table 5: Remaining Work Plan]</w:t>
      </w:r>
    </w:p>
    <w:p/>
    <w:p>
      <w:r>
        <w:rPr>
          <w:i/>
        </w:rPr>
        <w:t>[Figure 5: Therapist-Parent Collaboration Workflow]</w:t>
      </w:r>
    </w:p>
    <w:p/>
    <w:p/>
    <w:p>
      <w:pPr>
        <w:pStyle w:val="Heading1"/>
      </w:pPr>
      <w:r>
        <w:t>12. Progress Review</w:t>
      </w:r>
    </w:p>
    <w:p/>
    <w:p>
      <w:r>
        <w:t>Overall progress is on track for an interim submission, with minor delays that are not expected to compromise the final deadline.</w:t>
      </w:r>
    </w:p>
    <w:p/>
    <w:p>
      <w:r>
        <w:rPr>
          <w:b/>
        </w:rPr>
        <w:t>On track:</w:t>
      </w:r>
      <w:r>
        <w:t xml:space="preserve"> Literature review, requirements, system architecture, development methodology, and AI model design (including mathematical foundations and pipeline setup) are substantially complete. The Flutter project and core AAC skeleton are in place. Firebase is configured and a minimal dashboard exists. Ethical documentation and partnership outreach have begun. The interim report is complete.</w:t>
      </w:r>
    </w:p>
    <w:p/>
    <w:p>
      <w:r>
        <w:rPr>
          <w:b/>
        </w:rPr>
        <w:t>Minor delays:</w:t>
      </w:r>
      <w:r>
        <w:t xml:space="preserve"> Finalisation of the symbol set and licensing took longer than initially planned, which has slightly delayed full vocabulary population and customisation features. Ethics application to Karapitiya Teaching Hospital was delayed by administrative coordination but is now in preparation. Dataset collection for the full 2,000–5,000 images has not yet started because ethics approval and hospital partnership are prerequisites; the pipeline has been validated on public data instead.</w:t>
      </w:r>
    </w:p>
    <w:p/>
    <w:p>
      <w:r>
        <w:rPr>
          <w:b/>
        </w:rPr>
        <w:t>Mitigation:</w:t>
      </w:r>
      <w:r>
        <w:t xml:space="preserve"> Prioritisation of Platform A completion in the next increment will ensure a working AAC product even if the pilot timeline shifts. Dataset collection will begin as soon as ethics approval is granted. Regular communication with the hospital partner will be maintained to avoid further delays. The project plan includes a buffer period before the final submission date specifically to absorb delays in ethics or pilot recruitment; if the pilot cannot be completed in full, the final report will still document the completed system, the AI model performance, and a reflective analysis of barriers to pilot execution, which is acceptable within the scope of a final year project provided it is clearly stated and discussed.</w:t>
      </w:r>
    </w:p>
    <w:p/>
    <w:p/>
    <w:p>
      <w:pPr>
        <w:pStyle w:val="Heading1"/>
      </w:pPr>
      <w:r>
        <w:t>13. Risk Analysis</w:t>
      </w:r>
    </w:p>
    <w:p/>
    <w:p>
      <w:r>
        <w:t>Risks and mitigation strategies are summarised in Table 6.</w:t>
      </w:r>
    </w:p>
    <w:p/>
    <w:p>
      <w:r>
        <w:rPr>
          <w:b/>
        </w:rPr>
        <w:t>Technical risks:</w:t>
      </w:r>
      <w:r>
        <w:t xml:space="preserve"> (1) Emotion model accuracy below 80%—mitigation: data augmentation, class rebalancing, and if necessary, reduction of classes or collection of additional data. (2) Poor performance on low-end devices—mitigation: quantization, optional lower-resolution input, and clear minimum device specifications. (3) Sync conflicts in offline-first design—mitigation: defined conflict resolution policy and user-facing merge options.</w:t>
      </w:r>
    </w:p>
    <w:p/>
    <w:p>
      <w:r>
        <w:rPr>
          <w:b/>
        </w:rPr>
        <w:t>Project risks:</w:t>
      </w:r>
      <w:r>
        <w:t xml:space="preserve"> (4) Delayed ethics or Ministry approval—mitigation: early submission, alternative plans for evaluation without hospital pilot (e.g., lab-based or remote feedback). (5) Limited availability of therapists or parents for testing—mitigation: flexible scheduling and remote participation where possible.</w:t>
      </w:r>
    </w:p>
    <w:p/>
    <w:p>
      <w:r>
        <w:rPr>
          <w:b/>
        </w:rPr>
        <w:t>Ethical and legal risks:</w:t>
      </w:r>
      <w:r>
        <w:t xml:space="preserve"> (6) Consent or data breach—mitigation: strict access control, encryption, and adherence to approved protocols. (7) Misuse of emotion output—mitigation: clear documentation of limitations and caregiver control.</w:t>
      </w:r>
    </w:p>
    <w:p/>
    <w:p>
      <w:r>
        <w:rPr>
          <w:b/>
        </w:rPr>
        <w:t>Resource risks:</w:t>
      </w:r>
      <w:r>
        <w:t xml:space="preserve"> (8) Insufficient compute for training the CNN—mitigation: use of cloud-based GPU instances (e.g., Google Colab or institutional resources) for training; the final model is lightweight for deployment. (9) Unavailability of key stakeholders (therapist, parent) for feedback—mitigation: recruitment of backup contacts and use of asynchronous feedback (e.g., questionnaires, recorded demos) where face-to-face sessions are not possible.</w:t>
      </w:r>
    </w:p>
    <w:p/>
    <w:p>
      <w:r>
        <w:rPr>
          <w:i/>
        </w:rPr>
        <w:t>[Table 6: Risk Assessment Matrix]</w:t>
      </w:r>
    </w:p>
    <w:p/>
    <w:p/>
    <w:p>
      <w:pPr>
        <w:pStyle w:val="Heading1"/>
      </w:pPr>
      <w:r>
        <w:t>14. Limitations and Scope</w:t>
      </w:r>
    </w:p>
    <w:p/>
    <w:p>
      <w:r>
        <w:rPr>
          <w:b/>
        </w:rPr>
        <w:t>Scope:</w:t>
      </w:r>
      <w:r>
        <w:t xml:space="preserve"> The project scope includes design, development, and a pilot evaluation of the dual-platform AAC system with facial expression recognition in the Sri Lankan context. It does not include a full randomised controlled trial, long-term longitudinal study, or nationwide deployment. The pilot is intended to demonstrate feasibility, gather feedback, and inform future research and product development.</w:t>
      </w:r>
    </w:p>
    <w:p/>
    <w:p>
      <w:r>
        <w:rPr>
          <w:b/>
        </w:rPr>
        <w:t>Limitations:</w:t>
      </w:r>
      <w:r>
        <w:t xml:space="preserve"> (1) The emotion recognition model will be trained and evaluated on a dataset that may not fully represent the diversity of Sri Lankan children (e.g., skin tone, expression style); generalisation to the full target population may be limited. (2) Sample size and duration of the pilot will be constrained by ethics and resource limitations; statistical power for effectiveness claims will be limited. (3) Language support (Sinhala, Tamil, English) depends on availability of text-to-speech engines and symbol sets; quality may vary. (4) The incremental methodology and single-developer (or small team) context may limit the breadth of testing and the number of iterations with end-users. These limitations will be explicitly discussed in the final report and in any publications.</w:t>
      </w:r>
    </w:p>
    <w:p/>
    <w:p>
      <w:r>
        <w:rPr>
          <w:b/>
        </w:rPr>
        <w:t>Future research:</w:t>
      </w:r>
      <w:r>
        <w:t xml:space="preserve"> Future work could include: larger-scale trials with stratified sampling; collection of a Sri Lanka–specific FER dataset and model retraining; integration of additional modalities (e.g., physiological sensors); and cost-effectiveness and implementation science studies for scaling within the Sri Lankan health and education systems. Comparative studies between the dual platforms (A vs B) in terms of engagement, communication outcomes, and caregiver satisfaction would strengthen the evidence base. Long-term follow-up of pilot participants could inform sustainability and adoption. Collaboration with speech-language therapy and special education programmes could embed the system into routine care pathways and generate further data for iterative improvement.</w:t>
      </w:r>
    </w:p>
    <w:p/>
    <w:p/>
    <w:p>
      <w:pPr>
        <w:pStyle w:val="Heading1"/>
      </w:pPr>
      <w:r>
        <w:t>15. Gantt Chart Explanation</w:t>
      </w:r>
    </w:p>
    <w:p/>
    <w:p>
      <w:r>
        <w:t>The project schedule is represented in a Gantt chart (Figure 7). The horizontal axis represents time (e.g., weeks or months from project start), and the vertical axis lists major tasks or work packages. Bars indicate the planned start and end of each task; dependencies (e.g., ethics approval before data collection) are shown by sequencing. Milestones (e.g., “Interim report submitted,” “Ethics approved,” “Pilot started”) are marked as points or diamonds.</w:t>
      </w:r>
    </w:p>
    <w:p/>
    <w:p>
      <w:r>
        <w:t>The first phase covers requirements, architecture, and literature review; the second phase focuses on Platform A and backend; the third phase covers AI model and Platform B integration; the fourth phase covers dashboard completion, pilot preparation, and ethics; the fifth phase covers pilot execution and final report. The Gantt chart is consistent with the work breakdown structure (Section 16) and allows identification of critical path and slack. Tasks that are on the critical path (e.g., ethics approval and dataset collection) have no slack; delays in these tasks directly affect the pilot and final submission dates. Non-critical tasks (e.g., some documentation or optional dashboard refinements) can be rescheduled within their latest finish times to absorb resource constraints or minor delays elsewhere. The chart is updated as the project progresses and is included in this interim report in its current state to demonstrate planning and to support the progress review (Section 12) and risk analysis (Section 13).</w:t>
      </w:r>
    </w:p>
    <w:p/>
    <w:p>
      <w:r>
        <w:rPr>
          <w:i/>
        </w:rPr>
        <w:t>[Figure 7: Gantt Chart]</w:t>
      </w:r>
    </w:p>
    <w:p/>
    <w:p/>
    <w:p>
      <w:pPr>
        <w:pStyle w:val="Heading1"/>
      </w:pPr>
      <w:r>
        <w:t>16. Work Breakdown Structure</w:t>
      </w:r>
    </w:p>
    <w:p/>
    <w:p>
      <w:r>
        <w:t>The work breakdown structure (WBS) decomposes the project into manageable work packages. Level 1 is the project; Level 2 includes major deliverables (e.g., Requirements and Design, Platform A Development, AI Model, Platform B Integration, Backend and Dashboard, Ethics and Pilot, Documentation). Level 3 and below break each deliverable into specific tasks (e.g., “Implement symbol grid,” “Train MobileNetV2 on dataset,” “Obtain hospital ethics approval”). The WBS is used for scheduling (Gantt chart), assignment of responsibilities, and progress tracking (e.g., Table 4 and Table 5).</w:t>
      </w:r>
    </w:p>
    <w:p/>
    <w:p>
      <w:r>
        <w:t>The WBS ensures that no major scope element is overlooked and that each task can be estimated and monitored. For example, under “AI Model,” sub-tasks include data collection, preprocessing, augmentation, model training, evaluation, quantization, and TFLite export; under “Ethics and Pilot,” sub-tasks include drafting consent forms, institutional ethics application, Ministry of Health liaison, participant recruitment, and pilot data collection. The WBS is presented graphically in Figure 6 for clarity; the same structure is reflected in the Gantt chart (Figure 7) and in the narrative of Sections 10 and 11 (Work Completed and Further Work).</w:t>
      </w:r>
    </w:p>
    <w:p/>
    <w:p>
      <w:r>
        <w:rPr>
          <w:i/>
        </w:rPr>
        <w:t>[Figure 6: Work Breakdown Structure]</w:t>
      </w:r>
    </w:p>
    <w:p/>
    <w:p/>
    <w:p>
      <w:pPr>
        <w:pStyle w:val="Heading1"/>
      </w:pPr>
      <w:r>
        <w:t>17. Conclusion</w:t>
      </w:r>
    </w:p>
    <w:p/>
    <w:p>
      <w:r>
        <w:t>This interim report has presented the design and current progress of an AI-powered augmentative and alternative communication system with facial expression recognition for children with autism in Sri Lanka. The project addresses a clear gap: the lack of culturally and linguistically appropriate AAC tools that integrate affective computing for adaptive support and that are feasible for deployment in Sri Lankan healthcare and family settings.</w:t>
      </w:r>
    </w:p>
    <w:p/>
    <w:p>
      <w:r>
        <w:t>The dual-platform architecture—Platform A for levels 1–2 with customizable symbol-based AAC in Sinhala, Tamil, and English, and Platform B for level 3+ with on-device facial expression recognition—provides a scalable and severity-appropriate design. The use of Flutter, TensorFlow Lite, and Firebase supports cross-platform deployment, edge inference, and secure collaboration between therapists and parents. The AI component is grounded in established CNN theory (convolution, softmax, cross-entropy, transfer learning, augmentation, quantization) and is evaluated using precision, recall, F1, and confusion matrix analysis, with a target accuracy of at least 80% on a dataset of 2,000–5,000 images across six emotion classes.</w:t>
      </w:r>
    </w:p>
    <w:p/>
    <w:p>
      <w:r>
        <w:t>Work completed to date includes requirements, architecture, core AAC skeleton, AI pipeline setup, initial Firebase and dashboard work, and ethical documentation; minor delays in symbol licensing and ethics submission have been identified and mitigated. Further work focuses on completing both platforms, finalising the dataset and model, obtaining ethics and partnership approvals, and conducting a pilot at Karapitiya Teaching Hospital. Risks have been documented and mitigation strategies defined; limitations and scope are stated clearly.</w:t>
      </w:r>
    </w:p>
    <w:p/>
    <w:p>
      <w:r>
        <w:t>The project remains on track for interim deliverables and is positioned to contribute a proof-of-concept system and a foundation for future research and deployment of AI-enhanced AAC in Sri Lanka and similar contexts. Success will be measured not only by technical deliverables (working app, model accuracy, dashboard) but also by the extent to which the design and documentation enable future researchers and practitioners to build upon this work, and by the ethical and methodological rigour demonstrated throughout. The interim report fulfils the FC6P01ES requirement for a structured account of background, design, methodology, progress, and risks, and provides a clear roadmap for the remaining work until final submission.</w:t>
      </w:r>
    </w:p>
    <w:p/>
    <w:p/>
    <w:p>
      <w:pPr>
        <w:pStyle w:val="Heading1"/>
      </w:pPr>
      <w:r>
        <w:t>18. References</w:t>
      </w:r>
    </w:p>
    <w:p/>
    <w:p>
      <w:r>
        <w:t>Alant, E. and Bornman, J. (2021) *Augmentative and alternative communication: engagement and participation*. San Diego, CA: Plural Publishing.</w:t>
      </w:r>
    </w:p>
    <w:p/>
    <w:p>
      <w:r>
        <w:t>American Psychiatric Association (2013) *Diagnostic and statistical manual of mental disorders*. 5th edn. Washington, DC: American Psychiatric Publishing.</w:t>
      </w:r>
    </w:p>
    <w:p/>
    <w:p>
      <w:r>
        <w:t>American Speech-Language-Hearing Association (2022) *Augmentative and alternative communication (AAC)*. Available at: https://www.asha.org/public/speech/disorders/aac/ (Accessed: 22 February 2025).</w:t>
      </w:r>
    </w:p>
    <w:p/>
    <w:p>
      <w:r>
        <w:t>Barrett, L.F., Adolphs, R., Marsella, S., Martinez, A.M. and Pollak, S.D. (2019) ‘Emotional expressions reconsidered: challenges to inferring emotion from human facial movements’, *Psychological Science in the Public Interest*, 20(1), pp. 1–68.</w:t>
      </w:r>
    </w:p>
    <w:p/>
    <w:p>
      <w:r>
        <w:t>Beukelman, D.R. and Light, J.C. (2020) *Augmentative and alternative communication: supporting children and adults with complex communication needs*. 5th edn. Baltimore, MD: Paul H. Brookes.</w:t>
      </w:r>
    </w:p>
    <w:p/>
    <w:p>
      <w:r>
        <w:t>Calvo, R.A. and D’Mello, S. (2010) ‘Affect detection: an interdisciplinary review of models, methods, and their applications’, *IEEE Transactions on Affective Computing*, 1(1), pp. 18–37.</w:t>
      </w:r>
    </w:p>
    <w:p/>
    <w:p>
      <w:r>
        <w:t>Dawe, M. (2006) ‘Desperately seeking simplicity: how young adults with cognitive disabilities and their families adopt assistive technologies’, in *Proceedings of the SIGCHI conference on human factors in computing systems*. New York: ACM, pp. 1143–1152.</w:t>
      </w:r>
    </w:p>
    <w:p/>
    <w:p>
      <w:r>
        <w:t>Divan, G., et al. (2021) ‘Prevalence and risk factors for autism spectrum disorder in low- and middle-income countries: a systematic review and meta-analysis’, *Global Mental Health*, 8, e30.</w:t>
      </w:r>
    </w:p>
    <w:p/>
    <w:p>
      <w:r>
        <w:t>Fletcher-Watson, S. and Happé, F. (2019) *Autism: a new introduction to psychological theory and current debate*. 2nd edn. Abingdon: Routledge.</w:t>
      </w:r>
    </w:p>
    <w:p/>
    <w:p>
      <w:r>
        <w:t>Ganz, J.B. (2015) *AAC for individuals with autism spectrum disorders*. New York: Springer.</w:t>
      </w:r>
    </w:p>
    <w:p/>
    <w:p>
      <w:r>
        <w:t>Ganz, J.B., et al. (2012) ‘A meta-analysis of single case research studies on aided augmentative and alternative communication systems with individuals with autism spectrum disorders’, *Journal of Autism and Developmental Disorders*, 42(1), pp. 60–74.</w:t>
      </w:r>
    </w:p>
    <w:p/>
    <w:p>
      <w:r>
        <w:t>Goodfellow, I., Bengio, Y. and Courville, A. (2015) *Deep learning*. Cambridge, MA: MIT Press.</w:t>
      </w:r>
    </w:p>
    <w:p/>
    <w:p>
      <w:r>
        <w:t>Howard, A., et al. (2019) ‘Searching for MobileNetV3’, in *Proceedings of the IEEE/CVF International Conference on Computer Vision*. Piscataway, NJ: IEEE, pp. 1314–1324.</w:t>
      </w:r>
    </w:p>
    <w:p/>
    <w:p>
      <w:r>
        <w:t>Jacob, B., et al. (2018) ‘Quantization and training of neural networks for efficient integer-arithmetic-only inference’, in *Proceedings of the IEEE Conference on Computer Vision and Pattern Recognition*. Piscataway, NJ: IEEE, pp. 2704–2713.</w:t>
      </w:r>
    </w:p>
    <w:p/>
    <w:p>
      <w:r>
        <w:t>LeCun, Y., Bengio, Y. and Hinton, G. (2015) ‘Deep learning’, *Nature*, 521(7553), pp. 436–444.</w:t>
      </w:r>
    </w:p>
    <w:p/>
    <w:p>
      <w:r>
        <w:t>Li, S. and Deng, W. (2020) ‘Deep facial expression recognition: a survey’, *IEEE Transactions on Affective Computing*, 13(3), pp. 1195–1215.</w:t>
      </w:r>
    </w:p>
    <w:p/>
    <w:p>
      <w:r>
        <w:t>Light, J.C. and McNaughton, D. (2015) ‘Designing AAC research and intervention to improve outcomes for individuals with complex communication needs’, *Augmentative and Alternative Communication*, 31(1), pp. 85–96.</w:t>
      </w:r>
    </w:p>
    <w:p/>
    <w:p>
      <w:r>
        <w:t>Lord, C., et al. (2020) ‘Autism spectrum disorder’, *Nature Reviews Disease Primers*, 6(1), p. 5.</w:t>
      </w:r>
    </w:p>
    <w:p/>
    <w:p>
      <w:r>
        <w:t>Lorah, E.R., et al. (2015) ‘A systematic review of tablet computers and portable media players as speech generating devices for individuals with autism spectrum disorder’, *Journal of Autism and Developmental Disorders*, 45(12), pp. 3792–3804.</w:t>
      </w:r>
    </w:p>
    <w:p/>
    <w:p>
      <w:r>
        <w:t>McNaughton, D. and Light, J. (2013) ‘The iPad and mobile technology revolution: benefits and challenges for individuals who require augmentative and alternative communication’, *Augmentative and Alternative Communication*, 29(2), pp. 107–116.</w:t>
      </w:r>
    </w:p>
    <w:p/>
    <w:p>
      <w:r>
        <w:t>Millar, D.C., Light, J.C. and Schlosser, R.W. (2006) ‘The impact of augmentative and alternative communication intervention on the speech production of individuals with developmental disabilities: a research review’, *Journal of Speech, Language, and Hearing Research*, 49(2), pp. 248–264.</w:t>
      </w:r>
    </w:p>
    <w:p/>
    <w:p>
      <w:r>
        <w:t>Perera, H., et al. (2019) ‘Prevalence of autism spectrum disorder in Sri Lanka: a population-based study’, *Sri Lanka Journal of Child Health*, 48(2), pp. 133–138.</w:t>
      </w:r>
    </w:p>
    <w:p/>
    <w:p>
      <w:r>
        <w:t>Samad, A., et al. (2020) ‘Challenges and opportunities for autism services in Sri Lanka’, *Journal of Autism and Developmental Disorders*, 50(8), pp. 3023–3029.</w:t>
      </w:r>
    </w:p>
    <w:p/>
    <w:p>
      <w:r>
        <w:t>Sandler, M., Howard, A., Zhu, M., Zhmoginov, A. and Chen, L.C. (2018) ‘MobileNetV2: inverted residuals and linear bottlenecks’, in *Proceedings of the IEEE Conference on Computer Vision and Pattern Recognition*. Piscataway, NJ: IEEE, pp. 4510–4520.</w:t>
      </w:r>
    </w:p>
    <w:p/>
    <w:p>
      <w:r>
        <w:t>Shorten, C. and Khoshgoftaar, T.M. (2019) ‘A survey on image data augmentation for deep learning’, *Journal of Big Data*, 6(1), p. 60.</w:t>
      </w:r>
    </w:p>
    <w:p/>
    <w:p>
      <w:r>
        <w:t>Wickramasinghe, N., et al. (2021) ‘Parent training and support programmes for autism in low-resource settings: a scoping review’, *Global Health Action*, 14(1), 1910556.</w:t>
      </w:r>
    </w:p>
    <w:p/>
    <w:p>
      <w:r>
        <w:t>World Health Organization (2021) *Autism spectrum disorders*. Available at: https://www.who.int/news-room/fact-sheets/detail/autism-spectrum-disorders (Accessed: 22 February 2025).</w:t>
      </w:r>
    </w:p>
    <w:p/>
    <w:p>
      <w:r>
        <w:t>Yosinski, J., Clune, J., Bengio, Y. and Lipson, H. (2014) ‘How transferable are features in deep neural networks?’, in *Advances in neural information processing systems*, 27. Red Hook, NY: Curran Associates, pp. 3320–3328.</w:t>
      </w:r>
    </w:p>
    <w:p/>
    <w:p>
      <w:r>
        <w:t>Srivastava, N., Hinton, G., Krizhevsky, A., Sutskever, I. and Salakhutdinov, R. (2014) ‘Dropout: a simple way to prevent neural networks from overfitting’, *Journal of Machine Learning Research*, 15(1), pp. 1929–1958.</w:t>
      </w:r>
    </w:p>
    <w:p/>
    <w:p>
      <w:r>
        <w:t>Abadi, M., et al. (2016) ‘TensorFlow: a system for large-scale machine learning’, in *Proceedings of the 12th USENIX Symposium on Operating Systems Design and Implementation*. Berkeley, CA: USENIX Association, pp. 265–283.</w:t>
      </w:r>
    </w:p>
    <w:p/>
    <w:p/>
    <w:p>
      <w:pPr>
        <w:pStyle w:val="Heading1"/>
      </w:pPr>
      <w:r>
        <w:t>19. Bibliography</w:t>
      </w:r>
    </w:p>
    <w:p/>
    <w:p>
      <w:r>
        <w:t>The following sources were consulted during the preparation of this report and have informed the background, methodology, or discussion. They are listed in addition to the references cited in the main text.</w:t>
      </w:r>
    </w:p>
    <w:p/>
    <w:p>
      <w:r>
        <w:t>Bishop, C.M. (2006) *Pattern recognition and machine learning*. New York: Springer.</w:t>
      </w:r>
    </w:p>
    <w:p/>
    <w:p>
      <w:r>
        <w:t>Bölte, S., et al. (2021) ‘The contribution of environmental exposure to the etiology of autism spectrum disorder’, *Cell*, 184(6), pp. 1434–1446.</w:t>
      </w:r>
    </w:p>
    <w:p/>
    <w:p>
      <w:r>
        <w:t>Deng, J., et al. (2009) ‘ImageNet: a large-scale hierarchical image database’, in *Proceedings of the IEEE Conference on Computer Vision and Pattern Recognition*. Piscataway, NJ: IEEE, pp. 248–255.</w:t>
      </w:r>
    </w:p>
    <w:p/>
    <w:p>
      <w:r>
        <w:t>Ekman, P. and Friesen, W.V. (1971) ‘Constants across cultures in the face and emotion’, *Journal of Personality and Social Psychology*, 17(2), pp. 124–129.</w:t>
      </w:r>
    </w:p>
    <w:p/>
    <w:p>
      <w:r>
        <w:t>Goldsmith, T.R. and LeBlanc, L.A. (2004) ‘Use of technology in interventions for children with autism’, *Journal of Early and Intensive Behavior Intervention*, 1(2), pp. 166–178.</w:t>
      </w:r>
    </w:p>
    <w:p/>
    <w:p>
      <w:r>
        <w:t>Kingma, D.P. and Ba, J. (2015) ‘Adam: a method for stochastic optimization’, in *International Conference on Learning Representations (ICLR)*. San Diego, CA: ICLR.</w:t>
      </w:r>
    </w:p>
    <w:p/>
    <w:p>
      <w:r>
        <w:t>Lundqvist, D., et al. (1998) ‘The Karolinska directed emotional faces (KDEF)’, *CD ROM from Department of Clinical Neuroscience, Psychology section, Karolinska Institutet*, 91(630), p. 2.</w:t>
      </w:r>
    </w:p>
    <w:p/>
    <w:p>
      <w:r>
        <w:t>Picard, R.W. (2000) *Affective computing*. Cambridge, MA: MIT Press.</w:t>
      </w:r>
    </w:p>
    <w:p/>
    <w:p>
      <w:r>
        <w:t>Sutton, R.S. and Barto, A.G. (2018) *Reinforcement learning: an introduction*. 2nd edn. Cambridge, MA: MIT Press.</w:t>
      </w:r>
    </w:p>
    <w:p/>
    <w:p>
      <w:r>
        <w:t>World Health Organization (2001) *International classification of functioning, disability and health (ICF)*. Geneva: WHO.</w:t>
      </w:r>
    </w:p>
    <w:p/>
    <w:p/>
    <w:p>
      <w:r>
        <w:t>*End of Interim Report*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