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700" w:before="300"/>
        <w:jc w:val="center"/>
      </w:pPr>
      <w:r>
        <w:rPr>
          <w:rFonts w:ascii="Times New Roman" w:hAnsi="Times New Roman"/>
          <w:b/>
          <w:i w:val="0"/>
          <w:sz w:val="36"/>
        </w:rPr>
        <w:t>CSI1006 – MINI PROJECT</w:t>
      </w:r>
    </w:p>
    <w:p>
      <w:pPr>
        <w:spacing w:line="360" w:lineRule="auto" w:after="700" w:before="0"/>
        <w:jc w:val="center"/>
      </w:pPr>
      <w:r>
        <w:rPr>
          <w:rFonts w:ascii="Times New Roman" w:hAnsi="Times New Roman"/>
          <w:b/>
          <w:i w:val="0"/>
          <w:sz w:val="30"/>
        </w:rPr>
        <w:t>COGNITIVE DIGITAL TWIN ARCHITECTURE FOR REAL-TIME STUDENT PERFORMANCE PREDICTION, STRESS MITIGATION, AND ADAPTIVE MULTI-AGENT ACADEMIC INTERVENTIONS</w:t>
      </w:r>
    </w:p>
    <w:p>
      <w:pPr>
        <w:spacing w:line="360" w:lineRule="auto" w:after="300" w:before="0"/>
        <w:jc w:val="center"/>
      </w:pPr>
      <w:r>
        <w:rPr>
          <w:rFonts w:ascii="Times New Roman" w:hAnsi="Times New Roman"/>
          <w:b w:val="0"/>
          <w:i/>
          <w:sz w:val="28"/>
        </w:rPr>
        <w:t>Submitted in partial fulfillment of the requirements for the degree of</w:t>
      </w:r>
    </w:p>
    <w:p>
      <w:pPr>
        <w:spacing w:line="360" w:lineRule="auto" w:after="80" w:before="0"/>
        <w:jc w:val="center"/>
      </w:pPr>
      <w:r>
        <w:rPr>
          <w:rFonts w:ascii="Times New Roman" w:hAnsi="Times New Roman"/>
          <w:b/>
          <w:i w:val="0"/>
          <w:sz w:val="32"/>
        </w:rPr>
        <w:t>Master of Technology (Integrated)</w:t>
      </w:r>
    </w:p>
    <w:p>
      <w:pPr>
        <w:spacing w:line="360" w:lineRule="auto" w:after="80" w:before="0"/>
        <w:jc w:val="center"/>
      </w:pPr>
      <w:r>
        <w:rPr>
          <w:rFonts w:ascii="Times New Roman" w:hAnsi="Times New Roman"/>
          <w:b w:val="0"/>
          <w:i w:val="0"/>
          <w:sz w:val="28"/>
        </w:rPr>
        <w:t>in</w:t>
      </w:r>
    </w:p>
    <w:p>
      <w:pPr>
        <w:spacing w:line="360" w:lineRule="auto" w:after="600" w:before="0"/>
        <w:jc w:val="center"/>
      </w:pPr>
      <w:r>
        <w:rPr>
          <w:rFonts w:ascii="Times New Roman" w:hAnsi="Times New Roman"/>
          <w:b/>
          <w:i w:val="0"/>
          <w:sz w:val="28"/>
        </w:rPr>
        <w:t>Computer Science and Engineering</w:t>
      </w:r>
    </w:p>
    <w:p>
      <w:pPr>
        <w:spacing w:line="360" w:lineRule="auto" w:after="240" w:before="0"/>
        <w:jc w:val="center"/>
      </w:pPr>
      <w:r>
        <w:rPr>
          <w:rFonts w:ascii="Times New Roman" w:hAnsi="Times New Roman"/>
          <w:b w:val="0"/>
          <w:i w:val="0"/>
          <w:sz w:val="28"/>
        </w:rPr>
        <w:t>by</w:t>
      </w:r>
    </w:p>
    <w:p>
      <w:pPr>
        <w:spacing w:line="360" w:lineRule="auto" w:after="80" w:before="0"/>
        <w:jc w:val="center"/>
      </w:pPr>
      <w:r>
        <w:rPr>
          <w:rFonts w:ascii="Times New Roman" w:hAnsi="Times New Roman"/>
          <w:b/>
          <w:i w:val="0"/>
          <w:sz w:val="27"/>
        </w:rPr>
        <w:t>22MIS0001        YASASHWIN R</w:t>
      </w:r>
    </w:p>
    <w:p>
      <w:pPr>
        <w:spacing w:line="360" w:lineRule="auto" w:after="80" w:before="0"/>
        <w:jc w:val="center"/>
      </w:pPr>
      <w:r>
        <w:rPr>
          <w:rFonts w:ascii="Times New Roman" w:hAnsi="Times New Roman"/>
          <w:b/>
          <w:i w:val="0"/>
          <w:sz w:val="27"/>
        </w:rPr>
        <w:t>22MIS0002        ARUN KUMAR R</w:t>
      </w:r>
    </w:p>
    <w:p>
      <w:pPr>
        <w:spacing w:line="360" w:lineRule="auto" w:after="700" w:before="0"/>
        <w:jc w:val="center"/>
      </w:pPr>
      <w:r>
        <w:rPr>
          <w:rFonts w:ascii="Times New Roman" w:hAnsi="Times New Roman"/>
          <w:b/>
          <w:i w:val="0"/>
          <w:sz w:val="27"/>
        </w:rPr>
        <w:t>22MIS0003        CO-RESEARCHER S</w:t>
      </w:r>
    </w:p>
    <w:p>
      <w:pPr>
        <w:spacing w:line="360" w:lineRule="auto" w:after="80" w:before="0"/>
        <w:jc w:val="center"/>
      </w:pPr>
      <w:r>
        <w:rPr>
          <w:rFonts w:ascii="Times New Roman" w:hAnsi="Times New Roman"/>
          <w:b w:val="0"/>
          <w:i w:val="0"/>
          <w:sz w:val="26"/>
        </w:rPr>
        <w:t>Under the Supervision of</w:t>
      </w:r>
    </w:p>
    <w:p>
      <w:pPr>
        <w:spacing w:line="360" w:lineRule="auto" w:after="40" w:before="0"/>
        <w:jc w:val="center"/>
      </w:pPr>
      <w:r>
        <w:rPr>
          <w:rFonts w:ascii="Times New Roman" w:hAnsi="Times New Roman"/>
          <w:b/>
          <w:i w:val="0"/>
          <w:sz w:val="28"/>
        </w:rPr>
        <w:t>Prof. KALAAVATHI B</w:t>
      </w:r>
    </w:p>
    <w:p>
      <w:pPr>
        <w:spacing w:line="360" w:lineRule="auto" w:after="40" w:before="0"/>
        <w:jc w:val="center"/>
      </w:pPr>
      <w:r>
        <w:rPr>
          <w:rFonts w:ascii="Times New Roman" w:hAnsi="Times New Roman"/>
          <w:b w:val="0"/>
          <w:i w:val="0"/>
          <w:sz w:val="24"/>
        </w:rPr>
        <w:t>Professor</w:t>
      </w:r>
    </w:p>
    <w:p>
      <w:pPr>
        <w:spacing w:line="360" w:lineRule="auto" w:after="40" w:before="0"/>
        <w:jc w:val="center"/>
      </w:pPr>
      <w:r>
        <w:rPr>
          <w:rFonts w:ascii="Times New Roman" w:hAnsi="Times New Roman"/>
          <w:b/>
          <w:i w:val="0"/>
          <w:sz w:val="26"/>
        </w:rPr>
        <w:t>School of Computer Science and Engineering</w:t>
      </w:r>
    </w:p>
    <w:p>
      <w:pPr>
        <w:spacing w:line="360" w:lineRule="auto" w:after="500" w:before="0"/>
        <w:jc w:val="center"/>
      </w:pPr>
      <w:r>
        <w:rPr>
          <w:rFonts w:ascii="Times New Roman" w:hAnsi="Times New Roman"/>
          <w:b/>
          <w:i w:val="0"/>
          <w:sz w:val="26"/>
        </w:rPr>
        <w:t>Vellore Institute of Technology, Vellore</w:t>
      </w:r>
    </w:p>
    <w:p>
      <w:pPr>
        <w:spacing w:line="360" w:lineRule="auto" w:after="0" w:before="0"/>
        <w:jc w:val="center"/>
      </w:pPr>
      <w:r>
        <w:rPr>
          <w:rFonts w:ascii="Times New Roman" w:hAnsi="Times New Roman"/>
          <w:b/>
          <w:i w:val="0"/>
          <w:sz w:val="26"/>
        </w:rPr>
        <w:t>OCTOBER 2026</w:t>
      </w:r>
    </w:p>
    <w:p>
      <w:r>
        <w:br w:type="page"/>
      </w:r>
    </w:p>
    <w:p>
      <w:pPr>
        <w:spacing w:before="240" w:after="360"/>
        <w:jc w:val="center"/>
      </w:pPr>
      <w:r>
        <w:rPr>
          <w:rFonts w:ascii="Times New Roman" w:hAnsi="Times New Roman"/>
          <w:b/>
          <w:sz w:val="32"/>
        </w:rPr>
        <w:t>DECLARATION</w:t>
      </w:r>
    </w:p>
    <w:p>
      <w:pPr>
        <w:spacing w:line="360" w:lineRule="auto" w:after="120" w:before="0"/>
        <w:jc w:val="both"/>
      </w:pPr>
      <w:r>
        <w:rPr>
          <w:rFonts w:ascii="Times New Roman" w:hAnsi="Times New Roman"/>
          <w:b w:val="0"/>
          <w:i w:val="0"/>
          <w:sz w:val="24"/>
        </w:rPr>
        <w:t>We hereby declare that the project entitled “COGNITIVE DIGITAL TWIN ARCHITECTURE FOR REAL-TIME STUDENT PERFORMANCE PREDICTION, STRESS MITIGATION, AND ADAPTIVE MULTI-AGENT ACADEMIC INTERVENTIONS” submitted by us, for the award of the degree of Master of Technology (Integrated) in Computer Science and Engineering to Vellore Institute of Technology (VIT) is a record of bonafide work carried out by us under the supervision of Prof. Kalaavathi B, Professor, School of Computer Science and Engineering, Vellore Institute of Technology, Vellore.</w:t>
      </w:r>
    </w:p>
    <w:p>
      <w:pPr>
        <w:spacing w:line="360" w:lineRule="auto" w:after="120" w:before="0"/>
        <w:jc w:val="both"/>
      </w:pPr>
      <w:r>
        <w:rPr>
          <w:rFonts w:ascii="Times New Roman" w:hAnsi="Times New Roman"/>
          <w:b w:val="0"/>
          <w:i w:val="0"/>
          <w:sz w:val="24"/>
        </w:rPr>
        <w:t>We further declare that the work reported in this project has not been submitted and will not be submitted, either in part or in full, for the award of any other degree or diploma in this institute or any other institute or university.</w:t>
      </w:r>
    </w:p>
    <w:p>
      <w:pPr>
        <w:spacing w:line="312" w:lineRule="auto" w:after="120" w:before="0"/>
        <w:jc w:val="both"/>
      </w:pPr>
      <w:r>
        <w:rPr>
          <w:rFonts w:ascii="Times New Roman" w:hAnsi="Times New Roman"/>
          <w:b w:val="0"/>
          <w:i w:val="0"/>
          <w:sz w:val="24"/>
        </w:rPr>
        <w:br/>
        <w:t>Place: Vellore</w:t>
        <w:br/>
        <w:t>Date: 20-10-2026</w:t>
        <w:br/>
        <w:br/>
        <w:t>Signature of the Candidates:</w:t>
        <w:br/>
        <w:t>1. YASASHWIN R (22MIS0001)</w:t>
        <w:br/>
        <w:t>2. ARUN KUMAR R (22MIS0002)</w:t>
        <w:br/>
        <w:t>3. CO-RESEARCHER S (22MIS0003)</w:t>
      </w:r>
    </w:p>
    <w:p>
      <w:r>
        <w:br w:type="page"/>
      </w:r>
    </w:p>
    <w:p>
      <w:pPr>
        <w:spacing w:before="240" w:after="360"/>
        <w:jc w:val="center"/>
      </w:pPr>
      <w:r>
        <w:rPr>
          <w:rFonts w:ascii="Times New Roman" w:hAnsi="Times New Roman"/>
          <w:b/>
          <w:sz w:val="32"/>
        </w:rPr>
        <w:t>CERTIFICATE</w:t>
      </w:r>
    </w:p>
    <w:p>
      <w:pPr>
        <w:spacing w:line="360" w:lineRule="auto" w:after="120" w:before="0"/>
        <w:jc w:val="both"/>
      </w:pPr>
      <w:r>
        <w:rPr>
          <w:rFonts w:ascii="Times New Roman" w:hAnsi="Times New Roman"/>
          <w:b w:val="0"/>
          <w:i w:val="0"/>
          <w:sz w:val="24"/>
        </w:rPr>
        <w:t>This is to certify that the project entitled “COGNITIVE DIGITAL TWIN ARCHITECTURE FOR REAL-TIME STUDENT PERFORMANCE PREDICTION, STRESS MITIGATION, AND ADAPTIVE MULTI-AGENT ACADEMIC INTERVENTIONS” submitted by YASASHWIN R (22MIS0001), ARUN KUMAR R (22MIS0002), and CO-RESEARCHER S (22MIS0003), School of Computer Science and Engineering, VIT, for the award of the degree of Master of Technology (Integrated) in Computer Science and Engineering, is a record of bonafide work carried out by the students under my supervision during Fall Semester 2026-2027, as per the VIT code of academic and research ethics.</w:t>
      </w:r>
    </w:p>
    <w:p>
      <w:pPr>
        <w:spacing w:line="360" w:lineRule="auto" w:after="120" w:before="0"/>
        <w:jc w:val="both"/>
      </w:pPr>
      <w:r>
        <w:rPr>
          <w:rFonts w:ascii="Times New Roman" w:hAnsi="Times New Roman"/>
          <w:b w:val="0"/>
          <w:i w:val="0"/>
          <w:sz w:val="24"/>
        </w:rPr>
        <w:t>The contents of this report have not been submitted and will not be submitted either in part or in full, for the award of any other degree or diploma in this institute or any other institute or university. The project fulfills the requirements and regulations of the University and in my opinion meets the necessary standards for submission.</w:t>
      </w:r>
    </w:p>
    <w:p>
      <w:pPr>
        <w:spacing w:line="312" w:lineRule="auto" w:after="120" w:before="0"/>
        <w:jc w:val="both"/>
      </w:pPr>
      <w:r>
        <w:rPr>
          <w:rFonts w:ascii="Times New Roman" w:hAnsi="Times New Roman"/>
          <w:b w:val="0"/>
          <w:i w:val="0"/>
          <w:sz w:val="24"/>
        </w:rPr>
        <w:br/>
        <w:t>Place: Vellore</w:t>
        <w:br/>
        <w:t>Date: 20-10-2026</w:t>
        <w:br/>
        <w:br/>
        <w:br/>
        <w:t>Signature of the Guide</w:t>
        <w:tab/>
        <w:tab/>
        <w:tab/>
        <w:tab/>
        <w:tab/>
        <w:t>Head of the Department</w:t>
        <w:br/>
        <w:t>(Prof. Kalaavathi B)</w:t>
        <w:br/>
        <w:br/>
        <w:br/>
        <w:t>Internal Examiner - 1</w:t>
        <w:tab/>
        <w:tab/>
        <w:tab/>
        <w:tab/>
        <w:tab/>
        <w:t>Internal Examiner - 2</w:t>
      </w:r>
    </w:p>
    <w:p>
      <w:r>
        <w:br w:type="page"/>
      </w:r>
    </w:p>
    <w:p>
      <w:pPr>
        <w:spacing w:before="240" w:after="360"/>
        <w:jc w:val="center"/>
      </w:pPr>
      <w:r>
        <w:rPr>
          <w:rFonts w:ascii="Times New Roman" w:hAnsi="Times New Roman"/>
          <w:b/>
          <w:sz w:val="32"/>
        </w:rPr>
        <w:t>ACKNOWLEDGEMENT</w:t>
      </w:r>
    </w:p>
    <w:p>
      <w:pPr>
        <w:spacing w:line="360" w:lineRule="auto" w:after="120" w:before="0"/>
        <w:jc w:val="both"/>
      </w:pPr>
      <w:r>
        <w:rPr>
          <w:rFonts w:ascii="Times New Roman" w:hAnsi="Times New Roman"/>
          <w:b w:val="0"/>
          <w:i w:val="0"/>
          <w:sz w:val="24"/>
        </w:rPr>
        <w:t>We, 22MIS0001 – YASASHWIN R, 22MIS0002 – ARUN KUMAR R, and 22MIS0003 – CO-RESEARCHER S, are deeply grateful to the management of Vellore Institute of Technology (VIT) for providing us with the opportunity and resources to undertake this project. Their commitment to fostering a conducive learning environment has been instrumental in our academic journey. The support and infrastructure provided by VIT have enabled us to explore and develop our ideas to their fullest potential.</w:t>
      </w:r>
    </w:p>
    <w:p>
      <w:pPr>
        <w:spacing w:line="360" w:lineRule="auto" w:after="120" w:before="0"/>
        <w:jc w:val="both"/>
      </w:pPr>
      <w:r>
        <w:rPr>
          <w:rFonts w:ascii="Times New Roman" w:hAnsi="Times New Roman"/>
          <w:b w:val="0"/>
          <w:i w:val="0"/>
          <w:sz w:val="24"/>
        </w:rPr>
        <w:t>Our sincere thanks to Dr. John Doe, the Dean of the School of Computer Science and Engineering, for constant support and encouragement. The Dean’s leadership and vision have greatly inspired us to strive for excellence. The dedication to academic excellence and innovation has been a constant source of motivation throughout this project.</w:t>
      </w:r>
    </w:p>
    <w:p>
      <w:pPr>
        <w:spacing w:line="360" w:lineRule="auto" w:after="120" w:before="0"/>
        <w:jc w:val="both"/>
      </w:pPr>
      <w:r>
        <w:rPr>
          <w:rFonts w:ascii="Times New Roman" w:hAnsi="Times New Roman"/>
          <w:b w:val="0"/>
          <w:i w:val="0"/>
          <w:sz w:val="24"/>
        </w:rPr>
        <w:t>We express our profound appreciation to Dr. Jane Smith, the Head of the Department of Computer Science and Engineering, for insightful guidance and continuous support. The expertise and advice provided have been crucial in shaping the direction of our project. The commitment to fostering a collaborative and supportive atmosphere has greatly enhanced our learning experience.</w:t>
      </w:r>
    </w:p>
    <w:p>
      <w:pPr>
        <w:spacing w:line="360" w:lineRule="auto" w:after="120" w:before="0"/>
        <w:jc w:val="both"/>
      </w:pPr>
      <w:r>
        <w:rPr>
          <w:rFonts w:ascii="Times New Roman" w:hAnsi="Times New Roman"/>
          <w:b w:val="0"/>
          <w:i w:val="0"/>
          <w:sz w:val="24"/>
        </w:rPr>
        <w:t>We are immensely thankful to our project supervisor, Prof. Kalaavathi B, for dedicated mentorship and invaluable feedback. Her patience, profound knowledge, and continuous encouragement have been pivotal in the successful completion of this project. Her willingness to share expertise and provide thoughtful guidance has been instrumental in refining our ideas and methodologies.</w:t>
      </w:r>
    </w:p>
    <w:p>
      <w:pPr>
        <w:spacing w:line="360" w:lineRule="auto" w:after="120" w:before="0"/>
        <w:jc w:val="both"/>
      </w:pPr>
      <w:r>
        <w:rPr>
          <w:rFonts w:ascii="Times New Roman" w:hAnsi="Times New Roman"/>
          <w:b w:val="0"/>
          <w:i w:val="0"/>
          <w:sz w:val="24"/>
        </w:rPr>
        <w:t>We extend our heartfelt thanks to all faculty members, technical staff, laboratory assistants, and fellow students for the guidance and support received throughout this endeavour.</w:t>
      </w:r>
    </w:p>
    <w:p>
      <w:pPr>
        <w:spacing w:line="360" w:lineRule="auto" w:after="120" w:before="0"/>
        <w:jc w:val="right"/>
      </w:pPr>
      <w:r>
        <w:rPr>
          <w:rFonts w:ascii="Times New Roman" w:hAnsi="Times New Roman"/>
          <w:b w:val="0"/>
          <w:i w:val="0"/>
          <w:sz w:val="24"/>
        </w:rPr>
        <w:br/>
        <w:t>YASASHWIN R (22MIS0001)</w:t>
        <w:br/>
        <w:t>ARUN KUMAR R (22MIS0002)</w:t>
        <w:br/>
        <w:t>CO-RESEARCHER S (22MIS0003)</w:t>
      </w:r>
    </w:p>
    <w:p>
      <w:r>
        <w:br w:type="page"/>
      </w:r>
    </w:p>
    <w:p>
      <w:pPr>
        <w:spacing w:before="240" w:after="360"/>
        <w:jc w:val="center"/>
      </w:pPr>
      <w:r>
        <w:rPr>
          <w:rFonts w:ascii="Times New Roman" w:hAnsi="Times New Roman"/>
          <w:b/>
          <w:sz w:val="32"/>
        </w:rPr>
        <w:t>EXECUTIVE SUMMARY</w:t>
      </w:r>
    </w:p>
    <w:p>
      <w:pPr>
        <w:spacing w:line="360" w:lineRule="auto" w:after="120" w:before="0"/>
        <w:jc w:val="both"/>
      </w:pPr>
      <w:r>
        <w:rPr>
          <w:rFonts w:ascii="Times New Roman" w:hAnsi="Times New Roman"/>
          <w:b w:val="0"/>
          <w:i w:val="0"/>
          <w:sz w:val="24"/>
        </w:rPr>
        <w:t>Modern higher education faces escalating retention challenges, exacerbated by fragmented learning telemetry and reactive pastoral interventions. Conventional academic advising systems rely on post-facto grade reporting, failing to capture ephemeral psychological fluctuations such as sleep deficits, acute academic stress, and deteriorating study pacing until failure has materialized. This investigation presents ALT Digital Student Twin, a real-time cognitive digital twin architecture engineered to bridge educational data mining with empathetic multi-agent computational interventions.</w:t>
      </w:r>
    </w:p>
    <w:p>
      <w:pPr>
        <w:spacing w:line="360" w:lineRule="auto" w:after="120" w:before="0"/>
        <w:jc w:val="both"/>
      </w:pPr>
      <w:r>
        <w:rPr>
          <w:rFonts w:ascii="Times New Roman" w:hAnsi="Times New Roman"/>
          <w:b w:val="0"/>
          <w:i w:val="0"/>
          <w:sz w:val="24"/>
        </w:rPr>
        <w:t>The architecture integrates three synergistic subsystems: (i) an ensemble Random Forest Regressor calibrated across an empirical synthetic cohort of 600 heterogeneous engineering students (R² = 0.892, Mean Absolute Error = 2.41 marks), quantifying non-linear couplings between study allocation, sleep hygiene, historical GPA, and semester outcomes; (ii) an interactive counterfactual What-If Simulation Engine enabling real-time algorithmic hypothesis testing of behavioral adjustments; and (iii) a hybrid conversational copilot powered by Google Gemini Thinking AI with cognitive reasoning budgets paired with sub-50ms deterministic local heuristics for instantaneous, human-like student stress counseling. Furthermore, an embedded Web Audio polyphonic synthesizer generates isochronic 432 Hz calming soundscapes to induce autonomic relaxation during acute cognitive overload.</w:t>
      </w:r>
    </w:p>
    <w:p>
      <w:pPr>
        <w:spacing w:line="360" w:lineRule="auto" w:after="120" w:before="0"/>
        <w:jc w:val="both"/>
      </w:pPr>
      <w:r>
        <w:rPr>
          <w:rFonts w:ascii="Times New Roman" w:hAnsi="Times New Roman"/>
          <w:b w:val="0"/>
          <w:i w:val="0"/>
          <w:sz w:val="24"/>
        </w:rPr>
        <w:t>Empirical evaluation demonstrates that the Digital Twin predicts semester GPA trajectories with sub-3% margin of error while isolating attendance and weekly study volume as primary deterministic regressors (aggregate Gini importance = 0.447). Controlled user interaction benchmarks establish a median end-to-end conversational turnaround of 42.6 ms, preventing advising abandonment. The system bridges the pedagogical gap between predictive surveillance and therapeutic student self-efficacy, establishing an accessible paradigm for preventive higher education mentorship.</w:t>
      </w:r>
    </w:p>
    <w:p>
      <w:pPr>
        <w:spacing w:line="360" w:lineRule="auto" w:after="120" w:before="0"/>
        <w:jc w:val="both"/>
      </w:pPr>
      <w:r>
        <w:rPr>
          <w:rFonts w:ascii="Times New Roman" w:hAnsi="Times New Roman"/>
          <w:b w:val="0"/>
          <w:i/>
          <w:sz w:val="24"/>
        </w:rPr>
        <w:br/>
        <w:t>Keywords: Digital Twins, Educational Data Mining, Machine Learning, Random Forest Regression, Large Language Models, Cognitive Stress Mitigation, Generative Audio Synthesis, What-If Simulation.</w:t>
      </w:r>
    </w:p>
    <w:p>
      <w:r>
        <w:br w:type="page"/>
      </w:r>
    </w:p>
    <w:p>
      <w:pPr>
        <w:spacing w:before="240" w:after="360"/>
        <w:jc w:val="center"/>
      </w:pPr>
      <w:r>
        <w:rPr>
          <w:rFonts w:ascii="Times New Roman" w:hAnsi="Times New Roman"/>
          <w:b/>
          <w:sz w:val="32"/>
        </w:rPr>
        <w:t>TABLE OF CONTENTS</w:t>
      </w:r>
    </w:p>
    <w:tbl>
      <w:tblPr>
        <w:tblW w:type="auto" w:w="0"/>
        <w:jc w:val="center"/>
        <w:tblLook w:firstColumn="1" w:firstRow="1" w:lastColumn="0" w:lastRow="0" w:noHBand="0" w:noVBand="1" w:val="04A0"/>
        <w:tblBorders>
          <w:top w:val="single" w:sz="6" w:space="0" w:color="333333"/>
          <w:bottom w:val="single" w:sz="6" w:space="0" w:color="333333"/>
          <w:insideH w:val="single" w:sz="4" w:space="0" w:color="666666"/>
          <w:insideV w:val="single" w:sz="4" w:space="0" w:color="666666"/>
          <w:left w:val="single" w:sz="6" w:space="0" w:color="333333"/>
          <w:right w:val="single" w:sz="6" w:space="0" w:color="333333"/>
        </w:tblBorders>
      </w:tblPr>
      <w:tblGrid>
        <w:gridCol w:w="4154"/>
        <w:gridCol w:w="4154"/>
      </w:tblGrid>
      <w:tr>
        <w:tc>
          <w:tcPr>
            <w:tcW w:type="dxa" w:w="4154"/>
          </w:tcPr>
          <w:p>
            <w:r>
              <w:rPr>
                <w:b/>
              </w:rPr>
              <w:t>Contents</w:t>
            </w:r>
          </w:p>
        </w:tc>
        <w:tc>
          <w:tcPr>
            <w:tcW w:type="dxa" w:w="4154"/>
          </w:tcPr>
          <w:p>
            <w:pPr>
              <w:jc w:val="right"/>
            </w:pPr>
            <w:r>
              <w:rPr>
                <w:b/>
              </w:rPr>
              <w:t>Page No.</w:t>
            </w:r>
          </w:p>
        </w:tc>
      </w:tr>
      <w:tr>
        <w:tc>
          <w:tcPr>
            <w:tcW w:type="dxa" w:w="4154"/>
          </w:tcPr>
          <w:p>
            <w:r>
              <w:t>Executive Summary</w:t>
            </w:r>
          </w:p>
        </w:tc>
        <w:tc>
          <w:tcPr>
            <w:tcW w:type="dxa" w:w="4154"/>
          </w:tcPr>
          <w:p>
            <w:pPr>
              <w:jc w:val="right"/>
            </w:pPr>
            <w:r>
              <w:t>i</w:t>
            </w:r>
          </w:p>
        </w:tc>
      </w:tr>
      <w:tr>
        <w:tc>
          <w:tcPr>
            <w:tcW w:type="dxa" w:w="4154"/>
          </w:tcPr>
          <w:p>
            <w:r>
              <w:t>List of Figures</w:t>
            </w:r>
          </w:p>
        </w:tc>
        <w:tc>
          <w:tcPr>
            <w:tcW w:type="dxa" w:w="4154"/>
          </w:tcPr>
          <w:p>
            <w:pPr>
              <w:jc w:val="right"/>
            </w:pPr>
            <w:r>
              <w:t>ii</w:t>
            </w:r>
          </w:p>
        </w:tc>
      </w:tr>
      <w:tr>
        <w:tc>
          <w:tcPr>
            <w:tcW w:type="dxa" w:w="4154"/>
          </w:tcPr>
          <w:p>
            <w:r>
              <w:t>List of Tables</w:t>
            </w:r>
          </w:p>
        </w:tc>
        <w:tc>
          <w:tcPr>
            <w:tcW w:type="dxa" w:w="4154"/>
          </w:tcPr>
          <w:p>
            <w:pPr>
              <w:jc w:val="right"/>
            </w:pPr>
            <w:r>
              <w:t>iv</w:t>
            </w:r>
          </w:p>
        </w:tc>
      </w:tr>
      <w:tr>
        <w:tc>
          <w:tcPr>
            <w:tcW w:type="dxa" w:w="4154"/>
          </w:tcPr>
          <w:p>
            <w:r>
              <w:t>List of Abbreviations</w:t>
            </w:r>
          </w:p>
        </w:tc>
        <w:tc>
          <w:tcPr>
            <w:tcW w:type="dxa" w:w="4154"/>
          </w:tcPr>
          <w:p>
            <w:pPr>
              <w:jc w:val="right"/>
            </w:pPr>
            <w:r>
              <w:t>v</w:t>
            </w:r>
          </w:p>
        </w:tc>
      </w:tr>
      <w:tr>
        <w:tc>
          <w:tcPr>
            <w:tcW w:type="dxa" w:w="4154"/>
          </w:tcPr>
          <w:p>
            <w:r>
              <w:t>Symbols and Notations</w:t>
            </w:r>
          </w:p>
        </w:tc>
        <w:tc>
          <w:tcPr>
            <w:tcW w:type="dxa" w:w="4154"/>
          </w:tcPr>
          <w:p>
            <w:pPr>
              <w:jc w:val="right"/>
            </w:pPr>
            <w:r>
              <w:t>vi</w:t>
            </w:r>
          </w:p>
        </w:tc>
      </w:tr>
      <w:tr>
        <w:tc>
          <w:tcPr>
            <w:tcW w:type="dxa" w:w="4154"/>
          </w:tcPr>
          <w:p>
            <w:r>
              <w:t>1. INTRODUCTION</w:t>
            </w:r>
          </w:p>
        </w:tc>
        <w:tc>
          <w:tcPr>
            <w:tcW w:type="dxa" w:w="4154"/>
          </w:tcPr>
          <w:p>
            <w:pPr>
              <w:jc w:val="right"/>
            </w:pPr>
            <w:r>
              <w:t>1</w:t>
            </w:r>
          </w:p>
        </w:tc>
      </w:tr>
      <w:tr>
        <w:tc>
          <w:tcPr>
            <w:tcW w:type="dxa" w:w="4154"/>
          </w:tcPr>
          <w:p>
            <w:r>
              <w:t xml:space="preserve">   1.1 BACKGROUND</w:t>
            </w:r>
          </w:p>
        </w:tc>
        <w:tc>
          <w:tcPr>
            <w:tcW w:type="dxa" w:w="4154"/>
          </w:tcPr>
          <w:p>
            <w:pPr>
              <w:jc w:val="right"/>
            </w:pPr>
            <w:r>
              <w:t>1</w:t>
            </w:r>
          </w:p>
        </w:tc>
      </w:tr>
      <w:tr>
        <w:tc>
          <w:tcPr>
            <w:tcW w:type="dxa" w:w="4154"/>
          </w:tcPr>
          <w:p>
            <w:r>
              <w:t xml:space="preserve">   1.2 MOTIVATION</w:t>
            </w:r>
          </w:p>
        </w:tc>
        <w:tc>
          <w:tcPr>
            <w:tcW w:type="dxa" w:w="4154"/>
          </w:tcPr>
          <w:p>
            <w:pPr>
              <w:jc w:val="right"/>
            </w:pPr>
            <w:r>
              <w:t>6</w:t>
            </w:r>
          </w:p>
        </w:tc>
      </w:tr>
      <w:tr>
        <w:tc>
          <w:tcPr>
            <w:tcW w:type="dxa" w:w="4154"/>
          </w:tcPr>
          <w:p>
            <w:r>
              <w:t xml:space="preserve">   1.3 SCOPE OF THE PROJECT</w:t>
            </w:r>
          </w:p>
        </w:tc>
        <w:tc>
          <w:tcPr>
            <w:tcW w:type="dxa" w:w="4154"/>
          </w:tcPr>
          <w:p>
            <w:pPr>
              <w:jc w:val="right"/>
            </w:pPr>
            <w:r>
              <w:t>8</w:t>
            </w:r>
          </w:p>
        </w:tc>
      </w:tr>
      <w:tr>
        <w:tc>
          <w:tcPr>
            <w:tcW w:type="dxa" w:w="4154"/>
          </w:tcPr>
          <w:p>
            <w:r>
              <w:t>2. PROJECT DESCRIPTION AND GOALS</w:t>
            </w:r>
          </w:p>
        </w:tc>
        <w:tc>
          <w:tcPr>
            <w:tcW w:type="dxa" w:w="4154"/>
          </w:tcPr>
          <w:p>
            <w:pPr>
              <w:jc w:val="right"/>
            </w:pPr>
            <w:r>
              <w:t>10</w:t>
            </w:r>
          </w:p>
        </w:tc>
      </w:tr>
      <w:tr>
        <w:tc>
          <w:tcPr>
            <w:tcW w:type="dxa" w:w="4154"/>
          </w:tcPr>
          <w:p>
            <w:r>
              <w:t xml:space="preserve">   2.1 LITERATURE REVIEW</w:t>
            </w:r>
          </w:p>
        </w:tc>
        <w:tc>
          <w:tcPr>
            <w:tcW w:type="dxa" w:w="4154"/>
          </w:tcPr>
          <w:p>
            <w:pPr>
              <w:jc w:val="right"/>
            </w:pPr>
            <w:r>
              <w:t>10</w:t>
            </w:r>
          </w:p>
        </w:tc>
      </w:tr>
      <w:tr>
        <w:tc>
          <w:tcPr>
            <w:tcW w:type="dxa" w:w="4154"/>
          </w:tcPr>
          <w:p>
            <w:r>
              <w:t xml:space="preserve">   2.2 RESEARCH GAP</w:t>
            </w:r>
          </w:p>
        </w:tc>
        <w:tc>
          <w:tcPr>
            <w:tcW w:type="dxa" w:w="4154"/>
          </w:tcPr>
          <w:p>
            <w:pPr>
              <w:jc w:val="right"/>
            </w:pPr>
            <w:r>
              <w:t>15</w:t>
            </w:r>
          </w:p>
        </w:tc>
      </w:tr>
      <w:tr>
        <w:tc>
          <w:tcPr>
            <w:tcW w:type="dxa" w:w="4154"/>
          </w:tcPr>
          <w:p>
            <w:r>
              <w:t xml:space="preserve">   2.3 OBJECTIVES</w:t>
            </w:r>
          </w:p>
        </w:tc>
        <w:tc>
          <w:tcPr>
            <w:tcW w:type="dxa" w:w="4154"/>
          </w:tcPr>
          <w:p>
            <w:pPr>
              <w:jc w:val="right"/>
            </w:pPr>
            <w:r>
              <w:t>17</w:t>
            </w:r>
          </w:p>
        </w:tc>
      </w:tr>
      <w:tr>
        <w:tc>
          <w:tcPr>
            <w:tcW w:type="dxa" w:w="4154"/>
          </w:tcPr>
          <w:p>
            <w:r>
              <w:t xml:space="preserve">   2.4 PROBLEM STATEMENT</w:t>
            </w:r>
          </w:p>
        </w:tc>
        <w:tc>
          <w:tcPr>
            <w:tcW w:type="dxa" w:w="4154"/>
          </w:tcPr>
          <w:p>
            <w:pPr>
              <w:jc w:val="right"/>
            </w:pPr>
            <w:r>
              <w:t>18</w:t>
            </w:r>
          </w:p>
        </w:tc>
      </w:tr>
      <w:tr>
        <w:tc>
          <w:tcPr>
            <w:tcW w:type="dxa" w:w="4154"/>
          </w:tcPr>
          <w:p>
            <w:r>
              <w:t xml:space="preserve">   2.5 PROJECT PLAN AND MILESTONES</w:t>
            </w:r>
          </w:p>
        </w:tc>
        <w:tc>
          <w:tcPr>
            <w:tcW w:type="dxa" w:w="4154"/>
          </w:tcPr>
          <w:p>
            <w:pPr>
              <w:jc w:val="right"/>
            </w:pPr>
            <w:r>
              <w:t>19</w:t>
            </w:r>
          </w:p>
        </w:tc>
      </w:tr>
      <w:tr>
        <w:tc>
          <w:tcPr>
            <w:tcW w:type="dxa" w:w="4154"/>
          </w:tcPr>
          <w:p>
            <w:r>
              <w:t>3. TECHNICAL SPECIFICATION</w:t>
            </w:r>
          </w:p>
        </w:tc>
        <w:tc>
          <w:tcPr>
            <w:tcW w:type="dxa" w:w="4154"/>
          </w:tcPr>
          <w:p>
            <w:pPr>
              <w:jc w:val="right"/>
            </w:pPr>
            <w:r>
              <w:t>22</w:t>
            </w:r>
          </w:p>
        </w:tc>
      </w:tr>
      <w:tr>
        <w:tc>
          <w:tcPr>
            <w:tcW w:type="dxa" w:w="4154"/>
          </w:tcPr>
          <w:p>
            <w:r>
              <w:t xml:space="preserve">   3.1 REQUIREMENTS</w:t>
            </w:r>
          </w:p>
        </w:tc>
        <w:tc>
          <w:tcPr>
            <w:tcW w:type="dxa" w:w="4154"/>
          </w:tcPr>
          <w:p>
            <w:pPr>
              <w:jc w:val="right"/>
            </w:pPr>
            <w:r>
              <w:t>22</w:t>
            </w:r>
          </w:p>
        </w:tc>
      </w:tr>
      <w:tr>
        <w:tc>
          <w:tcPr>
            <w:tcW w:type="dxa" w:w="4154"/>
          </w:tcPr>
          <w:p>
            <w:r>
              <w:t xml:space="preserve">   3.2 FEASIBILITY STUDY</w:t>
            </w:r>
          </w:p>
        </w:tc>
        <w:tc>
          <w:tcPr>
            <w:tcW w:type="dxa" w:w="4154"/>
          </w:tcPr>
          <w:p>
            <w:pPr>
              <w:jc w:val="right"/>
            </w:pPr>
            <w:r>
              <w:t>26</w:t>
            </w:r>
          </w:p>
        </w:tc>
      </w:tr>
      <w:tr>
        <w:tc>
          <w:tcPr>
            <w:tcW w:type="dxa" w:w="4154"/>
          </w:tcPr>
          <w:p>
            <w:r>
              <w:t xml:space="preserve">   3.3 SYSTEM SPECIFICATION &amp; UML MODELING</w:t>
            </w:r>
          </w:p>
        </w:tc>
        <w:tc>
          <w:tcPr>
            <w:tcW w:type="dxa" w:w="4154"/>
          </w:tcPr>
          <w:p>
            <w:pPr>
              <w:jc w:val="right"/>
            </w:pPr>
            <w:r>
              <w:t>29</w:t>
            </w:r>
          </w:p>
        </w:tc>
      </w:tr>
      <w:tr>
        <w:tc>
          <w:tcPr>
            <w:tcW w:type="dxa" w:w="4154"/>
          </w:tcPr>
          <w:p>
            <w:r>
              <w:t>4. SYSTEM DESIGN</w:t>
            </w:r>
          </w:p>
        </w:tc>
        <w:tc>
          <w:tcPr>
            <w:tcW w:type="dxa" w:w="4154"/>
          </w:tcPr>
          <w:p>
            <w:pPr>
              <w:jc w:val="right"/>
            </w:pPr>
            <w:r>
              <w:t>35</w:t>
            </w:r>
          </w:p>
        </w:tc>
      </w:tr>
      <w:tr>
        <w:tc>
          <w:tcPr>
            <w:tcW w:type="dxa" w:w="4154"/>
          </w:tcPr>
          <w:p>
            <w:r>
              <w:t xml:space="preserve">   4.1 SYSTEM ARCHITECTURE</w:t>
            </w:r>
          </w:p>
        </w:tc>
        <w:tc>
          <w:tcPr>
            <w:tcW w:type="dxa" w:w="4154"/>
          </w:tcPr>
          <w:p>
            <w:pPr>
              <w:jc w:val="right"/>
            </w:pPr>
            <w:r>
              <w:t>35</w:t>
            </w:r>
          </w:p>
        </w:tc>
      </w:tr>
      <w:tr>
        <w:tc>
          <w:tcPr>
            <w:tcW w:type="dxa" w:w="4154"/>
          </w:tcPr>
          <w:p>
            <w:r>
              <w:t xml:space="preserve">   4.2 DETAILED DESIGN AND OBJECT MODELING</w:t>
            </w:r>
          </w:p>
        </w:tc>
        <w:tc>
          <w:tcPr>
            <w:tcW w:type="dxa" w:w="4154"/>
          </w:tcPr>
          <w:p>
            <w:pPr>
              <w:jc w:val="right"/>
            </w:pPr>
            <w:r>
              <w:t>38</w:t>
            </w:r>
          </w:p>
        </w:tc>
      </w:tr>
      <w:tr>
        <w:tc>
          <w:tcPr>
            <w:tcW w:type="dxa" w:w="4154"/>
          </w:tcPr>
          <w:p>
            <w:r>
              <w:t>5. METHODOLOGY AND TESTING</w:t>
            </w:r>
          </w:p>
        </w:tc>
        <w:tc>
          <w:tcPr>
            <w:tcW w:type="dxa" w:w="4154"/>
          </w:tcPr>
          <w:p>
            <w:pPr>
              <w:jc w:val="right"/>
            </w:pPr>
            <w:r>
              <w:t>42</w:t>
            </w:r>
          </w:p>
        </w:tc>
      </w:tr>
      <w:tr>
        <w:tc>
          <w:tcPr>
            <w:tcW w:type="dxa" w:w="4154"/>
          </w:tcPr>
          <w:p>
            <w:r>
              <w:t xml:space="preserve">   5.1 MODULAR SUBSYSTEM FORMULATION</w:t>
            </w:r>
          </w:p>
        </w:tc>
        <w:tc>
          <w:tcPr>
            <w:tcW w:type="dxa" w:w="4154"/>
          </w:tcPr>
          <w:p>
            <w:pPr>
              <w:jc w:val="right"/>
            </w:pPr>
            <w:r>
              <w:t>42</w:t>
            </w:r>
          </w:p>
        </w:tc>
      </w:tr>
      <w:tr>
        <w:tc>
          <w:tcPr>
            <w:tcW w:type="dxa" w:w="4154"/>
          </w:tcPr>
          <w:p>
            <w:r>
              <w:t xml:space="preserve">   5.2 ALGORITHMIC FORMULATION</w:t>
            </w:r>
          </w:p>
        </w:tc>
        <w:tc>
          <w:tcPr>
            <w:tcW w:type="dxa" w:w="4154"/>
          </w:tcPr>
          <w:p>
            <w:pPr>
              <w:jc w:val="right"/>
            </w:pPr>
            <w:r>
              <w:t>45</w:t>
            </w:r>
          </w:p>
        </w:tc>
      </w:tr>
      <w:tr>
        <w:tc>
          <w:tcPr>
            <w:tcW w:type="dxa" w:w="4154"/>
          </w:tcPr>
          <w:p>
            <w:r>
              <w:t xml:space="preserve">   5.3 TESTING SUITE AND QUALITY ASSURANCE</w:t>
            </w:r>
          </w:p>
        </w:tc>
        <w:tc>
          <w:tcPr>
            <w:tcW w:type="dxa" w:w="4154"/>
          </w:tcPr>
          <w:p>
            <w:pPr>
              <w:jc w:val="right"/>
            </w:pPr>
            <w:r>
              <w:t>50</w:t>
            </w:r>
          </w:p>
        </w:tc>
      </w:tr>
      <w:tr>
        <w:tc>
          <w:tcPr>
            <w:tcW w:type="dxa" w:w="4154"/>
          </w:tcPr>
          <w:p>
            <w:r>
              <w:t>6. PROJECT IMPLEMENTATION</w:t>
            </w:r>
          </w:p>
        </w:tc>
        <w:tc>
          <w:tcPr>
            <w:tcW w:type="dxa" w:w="4154"/>
          </w:tcPr>
          <w:p>
            <w:pPr>
              <w:jc w:val="right"/>
            </w:pPr>
            <w:r>
              <w:t>54</w:t>
            </w:r>
          </w:p>
        </w:tc>
      </w:tr>
      <w:tr>
        <w:tc>
          <w:tcPr>
            <w:tcW w:type="dxa" w:w="4154"/>
          </w:tcPr>
          <w:p>
            <w:r>
              <w:t xml:space="preserve">   6.1 EXPERIMENTAL SETUP</w:t>
            </w:r>
          </w:p>
        </w:tc>
        <w:tc>
          <w:tcPr>
            <w:tcW w:type="dxa" w:w="4154"/>
          </w:tcPr>
          <w:p>
            <w:pPr>
              <w:jc w:val="right"/>
            </w:pPr>
            <w:r>
              <w:t>54</w:t>
            </w:r>
          </w:p>
        </w:tc>
      </w:tr>
      <w:tr>
        <w:tc>
          <w:tcPr>
            <w:tcW w:type="dxa" w:w="4154"/>
          </w:tcPr>
          <w:p>
            <w:r>
              <w:t xml:space="preserve">   6.2 DATASET SPECIFICATION &amp; CHARACTERISTICS</w:t>
            </w:r>
          </w:p>
        </w:tc>
        <w:tc>
          <w:tcPr>
            <w:tcW w:type="dxa" w:w="4154"/>
          </w:tcPr>
          <w:p>
            <w:pPr>
              <w:jc w:val="right"/>
            </w:pPr>
            <w:r>
              <w:t>55</w:t>
            </w:r>
          </w:p>
        </w:tc>
      </w:tr>
      <w:tr>
        <w:tc>
          <w:tcPr>
            <w:tcW w:type="dxa" w:w="4154"/>
          </w:tcPr>
          <w:p>
            <w:r>
              <w:t xml:space="preserve">   6.3 ENSEMBLE RANDOM FOREST REGRESSOR MATHEMATICS</w:t>
            </w:r>
          </w:p>
        </w:tc>
        <w:tc>
          <w:tcPr>
            <w:tcW w:type="dxa" w:w="4154"/>
          </w:tcPr>
          <w:p>
            <w:pPr>
              <w:jc w:val="right"/>
            </w:pPr>
            <w:r>
              <w:t>57</w:t>
            </w:r>
          </w:p>
        </w:tc>
      </w:tr>
      <w:tr>
        <w:tc>
          <w:tcPr>
            <w:tcW w:type="dxa" w:w="4154"/>
          </w:tcPr>
          <w:p>
            <w:r>
              <w:t xml:space="preserve">   6.4 GOOGLE GEMINI THINKING AI &amp; SUB-50MS ENGINE</w:t>
            </w:r>
          </w:p>
        </w:tc>
        <w:tc>
          <w:tcPr>
            <w:tcW w:type="dxa" w:w="4154"/>
          </w:tcPr>
          <w:p>
            <w:pPr>
              <w:jc w:val="right"/>
            </w:pPr>
            <w:r>
              <w:t>60</w:t>
            </w:r>
          </w:p>
        </w:tc>
      </w:tr>
      <w:tr>
        <w:tc>
          <w:tcPr>
            <w:tcW w:type="dxa" w:w="4154"/>
          </w:tcPr>
          <w:p>
            <w:r>
              <w:t xml:space="preserve">   6.5 ISOCHRONIC 432 HZ WEB AUDIO NEURO-STABILIZER</w:t>
            </w:r>
          </w:p>
        </w:tc>
        <w:tc>
          <w:tcPr>
            <w:tcW w:type="dxa" w:w="4154"/>
          </w:tcPr>
          <w:p>
            <w:pPr>
              <w:jc w:val="right"/>
            </w:pPr>
            <w:r>
              <w:t>62</w:t>
            </w:r>
          </w:p>
        </w:tc>
      </w:tr>
      <w:tr>
        <w:tc>
          <w:tcPr>
            <w:tcW w:type="dxa" w:w="4154"/>
          </w:tcPr>
          <w:p>
            <w:r>
              <w:t xml:space="preserve">   6.6 SCALABILITY &amp; RUNTIME OPTIMIZATION</w:t>
            </w:r>
          </w:p>
        </w:tc>
        <w:tc>
          <w:tcPr>
            <w:tcW w:type="dxa" w:w="4154"/>
          </w:tcPr>
          <w:p>
            <w:pPr>
              <w:jc w:val="right"/>
            </w:pPr>
            <w:r>
              <w:t>63</w:t>
            </w:r>
          </w:p>
        </w:tc>
      </w:tr>
      <w:tr>
        <w:tc>
          <w:tcPr>
            <w:tcW w:type="dxa" w:w="4154"/>
          </w:tcPr>
          <w:p>
            <w:r>
              <w:t>7. RESULTS AND DISCUSSION</w:t>
            </w:r>
          </w:p>
        </w:tc>
        <w:tc>
          <w:tcPr>
            <w:tcW w:type="dxa" w:w="4154"/>
          </w:tcPr>
          <w:p>
            <w:pPr>
              <w:jc w:val="right"/>
            </w:pPr>
            <w:r>
              <w:t>65</w:t>
            </w:r>
          </w:p>
        </w:tc>
      </w:tr>
      <w:tr>
        <w:tc>
          <w:tcPr>
            <w:tcW w:type="dxa" w:w="4154"/>
          </w:tcPr>
          <w:p>
            <w:r>
              <w:t xml:space="preserve">   7.1 USER INTERFACE &amp; EMPIRICAL SCREENSHOT ANALYSIS</w:t>
            </w:r>
          </w:p>
        </w:tc>
        <w:tc>
          <w:tcPr>
            <w:tcW w:type="dxa" w:w="4154"/>
          </w:tcPr>
          <w:p>
            <w:pPr>
              <w:jc w:val="right"/>
            </w:pPr>
            <w:r>
              <w:t>65</w:t>
            </w:r>
          </w:p>
        </w:tc>
      </w:tr>
      <w:tr>
        <w:tc>
          <w:tcPr>
            <w:tcW w:type="dxa" w:w="4154"/>
          </w:tcPr>
          <w:p>
            <w:r>
              <w:t xml:space="preserve">   7.2 QUANTITATIVE EVALUATION &amp; BENCHMARKS</w:t>
            </w:r>
          </w:p>
        </w:tc>
        <w:tc>
          <w:tcPr>
            <w:tcW w:type="dxa" w:w="4154"/>
          </w:tcPr>
          <w:p>
            <w:pPr>
              <w:jc w:val="right"/>
            </w:pPr>
            <w:r>
              <w:t>78</w:t>
            </w:r>
          </w:p>
        </w:tc>
      </w:tr>
      <w:tr>
        <w:tc>
          <w:tcPr>
            <w:tcW w:type="dxa" w:w="4154"/>
          </w:tcPr>
          <w:p>
            <w:r>
              <w:t xml:space="preserve">   7.3 LATENCY AND COMPUTATIONAL PROFILING</w:t>
            </w:r>
          </w:p>
        </w:tc>
        <w:tc>
          <w:tcPr>
            <w:tcW w:type="dxa" w:w="4154"/>
          </w:tcPr>
          <w:p>
            <w:pPr>
              <w:jc w:val="right"/>
            </w:pPr>
            <w:r>
              <w:t>80</w:t>
            </w:r>
          </w:p>
        </w:tc>
      </w:tr>
      <w:tr>
        <w:tc>
          <w:tcPr>
            <w:tcW w:type="dxa" w:w="4154"/>
          </w:tcPr>
          <w:p>
            <w:r>
              <w:t xml:space="preserve">   7.4 SOCIO-ECONOMIC FEASIBILITY &amp; COST METRICS</w:t>
            </w:r>
          </w:p>
        </w:tc>
        <w:tc>
          <w:tcPr>
            <w:tcW w:type="dxa" w:w="4154"/>
          </w:tcPr>
          <w:p>
            <w:pPr>
              <w:jc w:val="right"/>
            </w:pPr>
            <w:r>
              <w:t>81</w:t>
            </w:r>
          </w:p>
        </w:tc>
      </w:tr>
      <w:tr>
        <w:tc>
          <w:tcPr>
            <w:tcW w:type="dxa" w:w="4154"/>
          </w:tcPr>
          <w:p>
            <w:r>
              <w:t xml:space="preserve">   7.5 PEDAGOGICAL IMPLICATIONS &amp; COUNSELING</w:t>
            </w:r>
          </w:p>
        </w:tc>
        <w:tc>
          <w:tcPr>
            <w:tcW w:type="dxa" w:w="4154"/>
          </w:tcPr>
          <w:p>
            <w:pPr>
              <w:jc w:val="right"/>
            </w:pPr>
            <w:r>
              <w:t>82</w:t>
            </w:r>
          </w:p>
        </w:tc>
      </w:tr>
      <w:tr>
        <w:tc>
          <w:tcPr>
            <w:tcW w:type="dxa" w:w="4154"/>
          </w:tcPr>
          <w:p>
            <w:r>
              <w:t>8. CONCLUSION AND FUTURE ENHANCEMENTS</w:t>
            </w:r>
          </w:p>
        </w:tc>
        <w:tc>
          <w:tcPr>
            <w:tcW w:type="dxa" w:w="4154"/>
          </w:tcPr>
          <w:p>
            <w:pPr>
              <w:jc w:val="right"/>
            </w:pPr>
            <w:r>
              <w:t>84</w:t>
            </w:r>
          </w:p>
        </w:tc>
      </w:tr>
      <w:tr>
        <w:tc>
          <w:tcPr>
            <w:tcW w:type="dxa" w:w="4154"/>
          </w:tcPr>
          <w:p>
            <w:r>
              <w:t xml:space="preserve">   8.1 SUMMARY OF CONTRIBUTIONS</w:t>
            </w:r>
          </w:p>
        </w:tc>
        <w:tc>
          <w:tcPr>
            <w:tcW w:type="dxa" w:w="4154"/>
          </w:tcPr>
          <w:p>
            <w:pPr>
              <w:jc w:val="right"/>
            </w:pPr>
            <w:r>
              <w:t>84</w:t>
            </w:r>
          </w:p>
        </w:tc>
      </w:tr>
      <w:tr>
        <w:tc>
          <w:tcPr>
            <w:tcW w:type="dxa" w:w="4154"/>
          </w:tcPr>
          <w:p>
            <w:r>
              <w:t xml:space="preserve">   8.2 RESEARCH LIMITATIONS</w:t>
            </w:r>
          </w:p>
        </w:tc>
        <w:tc>
          <w:tcPr>
            <w:tcW w:type="dxa" w:w="4154"/>
          </w:tcPr>
          <w:p>
            <w:pPr>
              <w:jc w:val="right"/>
            </w:pPr>
            <w:r>
              <w:t>85</w:t>
            </w:r>
          </w:p>
        </w:tc>
      </w:tr>
      <w:tr>
        <w:tc>
          <w:tcPr>
            <w:tcW w:type="dxa" w:w="4154"/>
          </w:tcPr>
          <w:p>
            <w:r>
              <w:t xml:space="preserve">   8.3 FUTURE RESEARCH DIRECTIONS</w:t>
            </w:r>
          </w:p>
        </w:tc>
        <w:tc>
          <w:tcPr>
            <w:tcW w:type="dxa" w:w="4154"/>
          </w:tcPr>
          <w:p>
            <w:pPr>
              <w:jc w:val="right"/>
            </w:pPr>
            <w:r>
              <w:t>86</w:t>
            </w:r>
          </w:p>
        </w:tc>
      </w:tr>
      <w:tr>
        <w:tc>
          <w:tcPr>
            <w:tcW w:type="dxa" w:w="4154"/>
          </w:tcPr>
          <w:p>
            <w:r>
              <w:t>REFERENCES</w:t>
            </w:r>
          </w:p>
        </w:tc>
        <w:tc>
          <w:tcPr>
            <w:tcW w:type="dxa" w:w="4154"/>
          </w:tcPr>
          <w:p>
            <w:pPr>
              <w:jc w:val="right"/>
            </w:pPr>
            <w:r>
              <w:t>87</w:t>
            </w:r>
          </w:p>
        </w:tc>
      </w:tr>
      <w:tr>
        <w:tc>
          <w:tcPr>
            <w:tcW w:type="dxa" w:w="4154"/>
          </w:tcPr>
          <w:p>
            <w:r>
              <w:t>APPENDIX A – SAMPLE SOURCE CODE</w:t>
            </w:r>
          </w:p>
        </w:tc>
        <w:tc>
          <w:tcPr>
            <w:tcW w:type="dxa" w:w="4154"/>
          </w:tcPr>
          <w:p>
            <w:pPr>
              <w:jc w:val="right"/>
            </w:pPr>
            <w:r>
              <w:t>92</w:t>
            </w:r>
          </w:p>
        </w:tc>
      </w:tr>
      <w:tr>
        <w:tc>
          <w:tcPr>
            <w:tcW w:type="dxa" w:w="4154"/>
          </w:tcPr>
          <w:p>
            <w:r>
              <w:t>APPENDIX B – PUBLICATION DETAILS</w:t>
            </w:r>
          </w:p>
        </w:tc>
        <w:tc>
          <w:tcPr>
            <w:tcW w:type="dxa" w:w="4154"/>
          </w:tcPr>
          <w:p>
            <w:pPr>
              <w:jc w:val="right"/>
            </w:pPr>
            <w:r>
              <w:t>98</w:t>
            </w:r>
          </w:p>
        </w:tc>
      </w:tr>
    </w:tbl>
    <w:p>
      <w:r>
        <w:br w:type="page"/>
      </w:r>
    </w:p>
    <w:p>
      <w:pPr>
        <w:spacing w:before="240" w:after="360"/>
        <w:jc w:val="center"/>
      </w:pPr>
      <w:r>
        <w:rPr>
          <w:rFonts w:ascii="Times New Roman" w:hAnsi="Times New Roman"/>
          <w:b/>
          <w:sz w:val="32"/>
        </w:rPr>
        <w:t>LIST OF FIGURES</w:t>
      </w:r>
    </w:p>
    <w:tbl>
      <w:tblPr>
        <w:tblW w:type="auto" w:w="0"/>
        <w:jc w:val="center"/>
        <w:tblLook w:firstColumn="1" w:firstRow="1" w:lastColumn="0" w:lastRow="0" w:noHBand="0" w:noVBand="1" w:val="04A0"/>
        <w:tblBorders>
          <w:top w:val="single" w:sz="6" w:space="0" w:color="333333"/>
          <w:bottom w:val="single" w:sz="6" w:space="0" w:color="333333"/>
          <w:insideH w:val="single" w:sz="4" w:space="0" w:color="666666"/>
          <w:insideV w:val="single" w:sz="4" w:space="0" w:color="666666"/>
          <w:left w:val="single" w:sz="6" w:space="0" w:color="333333"/>
          <w:right w:val="single" w:sz="6" w:space="0" w:color="333333"/>
        </w:tblBorders>
      </w:tblPr>
      <w:tblGrid>
        <w:gridCol w:w="2770"/>
        <w:gridCol w:w="2770"/>
        <w:gridCol w:w="2770"/>
      </w:tblGrid>
      <w:tr>
        <w:tc>
          <w:tcPr>
            <w:tcW w:type="dxa" w:w="2770"/>
          </w:tcPr>
          <w:p>
            <w:r>
              <w:rPr>
                <w:b/>
              </w:rPr>
              <w:t>Figure No.</w:t>
            </w:r>
          </w:p>
        </w:tc>
        <w:tc>
          <w:tcPr>
            <w:tcW w:type="dxa" w:w="2770"/>
          </w:tcPr>
          <w:p>
            <w:r>
              <w:rPr>
                <w:b/>
              </w:rPr>
              <w:t>Title</w:t>
            </w:r>
          </w:p>
        </w:tc>
        <w:tc>
          <w:tcPr>
            <w:tcW w:type="dxa" w:w="2770"/>
          </w:tcPr>
          <w:p>
            <w:pPr>
              <w:jc w:val="right"/>
            </w:pPr>
            <w:r>
              <w:rPr>
                <w:b/>
              </w:rPr>
              <w:t>Page No.</w:t>
            </w:r>
          </w:p>
        </w:tc>
      </w:tr>
      <w:tr>
        <w:tc>
          <w:tcPr>
            <w:tcW w:type="dxa" w:w="2770"/>
          </w:tcPr>
          <w:p>
            <w:r>
              <w:t>Figure 3.1</w:t>
            </w:r>
          </w:p>
        </w:tc>
        <w:tc>
          <w:tcPr>
            <w:tcW w:type="dxa" w:w="2770"/>
          </w:tcPr>
          <w:p>
            <w:r>
              <w:t>Use Case Diagram: Multimodal Student Twin Platform</w:t>
            </w:r>
          </w:p>
        </w:tc>
        <w:tc>
          <w:tcPr>
            <w:tcW w:type="dxa" w:w="2770"/>
          </w:tcPr>
          <w:p>
            <w:pPr>
              <w:jc w:val="right"/>
            </w:pPr>
            <w:r>
              <w:t>32</w:t>
            </w:r>
          </w:p>
        </w:tc>
      </w:tr>
      <w:tr>
        <w:tc>
          <w:tcPr>
            <w:tcW w:type="dxa" w:w="2770"/>
          </w:tcPr>
          <w:p>
            <w:r>
              <w:t>Figure 3.2</w:t>
            </w:r>
          </w:p>
        </w:tc>
        <w:tc>
          <w:tcPr>
            <w:tcW w:type="dxa" w:w="2770"/>
          </w:tcPr>
          <w:p>
            <w:r>
              <w:t>Data Flow Diagram (DFD Level 1): Predictive Digital Twin Pipeline</w:t>
            </w:r>
          </w:p>
        </w:tc>
        <w:tc>
          <w:tcPr>
            <w:tcW w:type="dxa" w:w="2770"/>
          </w:tcPr>
          <w:p>
            <w:pPr>
              <w:jc w:val="right"/>
            </w:pPr>
            <w:r>
              <w:t>33</w:t>
            </w:r>
          </w:p>
        </w:tc>
      </w:tr>
      <w:tr>
        <w:tc>
          <w:tcPr>
            <w:tcW w:type="dxa" w:w="2770"/>
          </w:tcPr>
          <w:p>
            <w:r>
              <w:t>Figure 3.3</w:t>
            </w:r>
          </w:p>
        </w:tc>
        <w:tc>
          <w:tcPr>
            <w:tcW w:type="dxa" w:w="2770"/>
          </w:tcPr>
          <w:p>
            <w:r>
              <w:t>Finite State Machine: Student Cognitive and Risk State Dynamics</w:t>
            </w:r>
          </w:p>
        </w:tc>
        <w:tc>
          <w:tcPr>
            <w:tcW w:type="dxa" w:w="2770"/>
          </w:tcPr>
          <w:p>
            <w:pPr>
              <w:jc w:val="right"/>
            </w:pPr>
            <w:r>
              <w:t>34</w:t>
            </w:r>
          </w:p>
        </w:tc>
      </w:tr>
      <w:tr>
        <w:tc>
          <w:tcPr>
            <w:tcW w:type="dxa" w:w="2770"/>
          </w:tcPr>
          <w:p>
            <w:r>
              <w:t>Figure 4.1</w:t>
            </w:r>
          </w:p>
        </w:tc>
        <w:tc>
          <w:tcPr>
            <w:tcW w:type="dxa" w:w="2770"/>
          </w:tcPr>
          <w:p>
            <w:r>
              <w:t>Layered Cognitive Digital Twin Architecture</w:t>
            </w:r>
          </w:p>
        </w:tc>
        <w:tc>
          <w:tcPr>
            <w:tcW w:type="dxa" w:w="2770"/>
          </w:tcPr>
          <w:p>
            <w:pPr>
              <w:jc w:val="right"/>
            </w:pPr>
            <w:r>
              <w:t>36</w:t>
            </w:r>
          </w:p>
        </w:tc>
      </w:tr>
      <w:tr>
        <w:tc>
          <w:tcPr>
            <w:tcW w:type="dxa" w:w="2770"/>
          </w:tcPr>
          <w:p>
            <w:r>
              <w:t>Figure 4.2</w:t>
            </w:r>
          </w:p>
        </w:tc>
        <w:tc>
          <w:tcPr>
            <w:tcW w:type="dxa" w:w="2770"/>
          </w:tcPr>
          <w:p>
            <w:r>
              <w:t>Sequence Diagram: What-If Simulation and Copilot Intervention</w:t>
            </w:r>
          </w:p>
        </w:tc>
        <w:tc>
          <w:tcPr>
            <w:tcW w:type="dxa" w:w="2770"/>
          </w:tcPr>
          <w:p>
            <w:pPr>
              <w:jc w:val="right"/>
            </w:pPr>
            <w:r>
              <w:t>39</w:t>
            </w:r>
          </w:p>
        </w:tc>
      </w:tr>
      <w:tr>
        <w:tc>
          <w:tcPr>
            <w:tcW w:type="dxa" w:w="2770"/>
          </w:tcPr>
          <w:p>
            <w:r>
              <w:t>Figure 4.3</w:t>
            </w:r>
          </w:p>
        </w:tc>
        <w:tc>
          <w:tcPr>
            <w:tcW w:type="dxa" w:w="2770"/>
          </w:tcPr>
          <w:p>
            <w:r>
              <w:t>UML Class Diagram: Object Model of Digital Student Twin</w:t>
            </w:r>
          </w:p>
        </w:tc>
        <w:tc>
          <w:tcPr>
            <w:tcW w:type="dxa" w:w="2770"/>
          </w:tcPr>
          <w:p>
            <w:pPr>
              <w:jc w:val="right"/>
            </w:pPr>
            <w:r>
              <w:t>40</w:t>
            </w:r>
          </w:p>
        </w:tc>
      </w:tr>
      <w:tr>
        <w:tc>
          <w:tcPr>
            <w:tcW w:type="dxa" w:w="2770"/>
          </w:tcPr>
          <w:p>
            <w:r>
              <w:t>Figure 7.1</w:t>
            </w:r>
          </w:p>
        </w:tc>
        <w:tc>
          <w:tcPr>
            <w:tcW w:type="dxa" w:w="2770"/>
          </w:tcPr>
          <w:p>
            <w:r>
              <w:t>Monolithic Biometric and Credential Authentication Portal</w:t>
            </w:r>
          </w:p>
        </w:tc>
        <w:tc>
          <w:tcPr>
            <w:tcW w:type="dxa" w:w="2770"/>
          </w:tcPr>
          <w:p>
            <w:pPr>
              <w:jc w:val="right"/>
            </w:pPr>
            <w:r>
              <w:t>65</w:t>
            </w:r>
          </w:p>
        </w:tc>
      </w:tr>
      <w:tr>
        <w:tc>
          <w:tcPr>
            <w:tcW w:type="dxa" w:w="2770"/>
          </w:tcPr>
          <w:p>
            <w:r>
              <w:t>Figure 7.2</w:t>
            </w:r>
          </w:p>
        </w:tc>
        <w:tc>
          <w:tcPr>
            <w:tcW w:type="dxa" w:w="2770"/>
          </w:tcPr>
          <w:p>
            <w:r>
              <w:t>Comprehensive Cohort Health and Real-Time Performance Analytics Dashboard</w:t>
            </w:r>
          </w:p>
        </w:tc>
        <w:tc>
          <w:tcPr>
            <w:tcW w:type="dxa" w:w="2770"/>
          </w:tcPr>
          <w:p>
            <w:pPr>
              <w:jc w:val="right"/>
            </w:pPr>
            <w:r>
              <w:t>66</w:t>
            </w:r>
          </w:p>
        </w:tc>
      </w:tr>
      <w:tr>
        <w:tc>
          <w:tcPr>
            <w:tcW w:type="dxa" w:w="2770"/>
          </w:tcPr>
          <w:p>
            <w:r>
              <w:t>Figure 7.3</w:t>
            </w:r>
          </w:p>
        </w:tc>
        <w:tc>
          <w:tcPr>
            <w:tcW w:type="dxa" w:w="2770"/>
          </w:tcPr>
          <w:p>
            <w:r>
              <w:t>High-Performing Student Digital Twin Profile and Predictive Trajectory</w:t>
            </w:r>
          </w:p>
        </w:tc>
        <w:tc>
          <w:tcPr>
            <w:tcW w:type="dxa" w:w="2770"/>
          </w:tcPr>
          <w:p>
            <w:pPr>
              <w:jc w:val="right"/>
            </w:pPr>
            <w:r>
              <w:t>67</w:t>
            </w:r>
          </w:p>
        </w:tc>
      </w:tr>
      <w:tr>
        <w:tc>
          <w:tcPr>
            <w:tcW w:type="dxa" w:w="2770"/>
          </w:tcPr>
          <w:p>
            <w:r>
              <w:t>Figure 7.4</w:t>
            </w:r>
          </w:p>
        </w:tc>
        <w:tc>
          <w:tcPr>
            <w:tcW w:type="dxa" w:w="2770"/>
          </w:tcPr>
          <w:p>
            <w:r>
              <w:t>Dynamic Interactive 'What-If' Counterfactual Simulation Studio</w:t>
            </w:r>
          </w:p>
        </w:tc>
        <w:tc>
          <w:tcPr>
            <w:tcW w:type="dxa" w:w="2770"/>
          </w:tcPr>
          <w:p>
            <w:pPr>
              <w:jc w:val="right"/>
            </w:pPr>
            <w:r>
              <w:t>68</w:t>
            </w:r>
          </w:p>
        </w:tc>
      </w:tr>
      <w:tr>
        <w:tc>
          <w:tcPr>
            <w:tcW w:type="dxa" w:w="2770"/>
          </w:tcPr>
          <w:p>
            <w:r>
              <w:t>Figure 7.5</w:t>
            </w:r>
          </w:p>
        </w:tc>
        <w:tc>
          <w:tcPr>
            <w:tcW w:type="dxa" w:w="2770"/>
          </w:tcPr>
          <w:p>
            <w:r>
              <w:t>High-Risk Student Digital Twin with Multimodal Alert Triggers</w:t>
            </w:r>
          </w:p>
        </w:tc>
        <w:tc>
          <w:tcPr>
            <w:tcW w:type="dxa" w:w="2770"/>
          </w:tcPr>
          <w:p>
            <w:pPr>
              <w:jc w:val="right"/>
            </w:pPr>
            <w:r>
              <w:t>69</w:t>
            </w:r>
          </w:p>
        </w:tc>
      </w:tr>
      <w:tr>
        <w:tc>
          <w:tcPr>
            <w:tcW w:type="dxa" w:w="2770"/>
          </w:tcPr>
          <w:p>
            <w:r>
              <w:t>Figure 7.6</w:t>
            </w:r>
          </w:p>
        </w:tc>
        <w:tc>
          <w:tcPr>
            <w:tcW w:type="dxa" w:w="2770"/>
          </w:tcPr>
          <w:p>
            <w:r>
              <w:t>Daily Student Psychological and Academic Telemetry Check-in Form</w:t>
            </w:r>
          </w:p>
        </w:tc>
        <w:tc>
          <w:tcPr>
            <w:tcW w:type="dxa" w:w="2770"/>
          </w:tcPr>
          <w:p>
            <w:pPr>
              <w:jc w:val="right"/>
            </w:pPr>
            <w:r>
              <w:t>70</w:t>
            </w:r>
          </w:p>
        </w:tc>
      </w:tr>
      <w:tr>
        <w:tc>
          <w:tcPr>
            <w:tcW w:type="dxa" w:w="2770"/>
          </w:tcPr>
          <w:p>
            <w:r>
              <w:t>Figure 7.7</w:t>
            </w:r>
          </w:p>
        </w:tc>
        <w:tc>
          <w:tcPr>
            <w:tcW w:type="dxa" w:w="2770"/>
          </w:tcPr>
          <w:p>
            <w:r>
              <w:t>Multidimensional Cohort Scatter Distribution (Study Hours vs. Projected Marks)</w:t>
            </w:r>
          </w:p>
        </w:tc>
        <w:tc>
          <w:tcPr>
            <w:tcW w:type="dxa" w:w="2770"/>
          </w:tcPr>
          <w:p>
            <w:pPr>
              <w:jc w:val="right"/>
            </w:pPr>
            <w:r>
              <w:t>71</w:t>
            </w:r>
          </w:p>
        </w:tc>
      </w:tr>
      <w:tr>
        <w:tc>
          <w:tcPr>
            <w:tcW w:type="dxa" w:w="2770"/>
          </w:tcPr>
          <w:p>
            <w:r>
              <w:t>Figure 7.8</w:t>
            </w:r>
          </w:p>
        </w:tc>
        <w:tc>
          <w:tcPr>
            <w:tcW w:type="dxa" w:w="2770"/>
          </w:tcPr>
          <w:p>
            <w:r>
              <w:t>Random Forest Feature Importance Pareto Distribution</w:t>
            </w:r>
          </w:p>
        </w:tc>
        <w:tc>
          <w:tcPr>
            <w:tcW w:type="dxa" w:w="2770"/>
          </w:tcPr>
          <w:p>
            <w:pPr>
              <w:jc w:val="right"/>
            </w:pPr>
            <w:r>
              <w:t>72</w:t>
            </w:r>
          </w:p>
        </w:tc>
      </w:tr>
      <w:tr>
        <w:tc>
          <w:tcPr>
            <w:tcW w:type="dxa" w:w="2770"/>
          </w:tcPr>
          <w:p>
            <w:r>
              <w:t>Figure 7.9</w:t>
            </w:r>
          </w:p>
        </w:tc>
        <w:tc>
          <w:tcPr>
            <w:tcW w:type="dxa" w:w="2770"/>
          </w:tcPr>
          <w:p>
            <w:r>
              <w:t>Global Student Registry and Real-Time Risk Categorization Matrix</w:t>
            </w:r>
          </w:p>
        </w:tc>
        <w:tc>
          <w:tcPr>
            <w:tcW w:type="dxa" w:w="2770"/>
          </w:tcPr>
          <w:p>
            <w:pPr>
              <w:jc w:val="right"/>
            </w:pPr>
            <w:r>
              <w:t>73</w:t>
            </w:r>
          </w:p>
        </w:tc>
      </w:tr>
      <w:tr>
        <w:tc>
          <w:tcPr>
            <w:tcW w:type="dxa" w:w="2770"/>
          </w:tcPr>
          <w:p>
            <w:r>
              <w:t>Figure 7.10</w:t>
            </w:r>
          </w:p>
        </w:tc>
        <w:tc>
          <w:tcPr>
            <w:tcW w:type="dxa" w:w="2770"/>
          </w:tcPr>
          <w:p>
            <w:r>
              <w:t>Sub-50ms Low-Latency Empathetic Student Copilot Interface</w:t>
            </w:r>
          </w:p>
        </w:tc>
        <w:tc>
          <w:tcPr>
            <w:tcW w:type="dxa" w:w="2770"/>
          </w:tcPr>
          <w:p>
            <w:pPr>
              <w:jc w:val="right"/>
            </w:pPr>
            <w:r>
              <w:t>74</w:t>
            </w:r>
          </w:p>
        </w:tc>
      </w:tr>
      <w:tr>
        <w:tc>
          <w:tcPr>
            <w:tcW w:type="dxa" w:w="2770"/>
          </w:tcPr>
          <w:p>
            <w:r>
              <w:t>Figure 7.11</w:t>
            </w:r>
          </w:p>
        </w:tc>
        <w:tc>
          <w:tcPr>
            <w:tcW w:type="dxa" w:w="2770"/>
          </w:tcPr>
          <w:p>
            <w:r>
              <w:t>Assistant Chat Counterfactual Recommendation and Simulation Card</w:t>
            </w:r>
          </w:p>
        </w:tc>
        <w:tc>
          <w:tcPr>
            <w:tcW w:type="dxa" w:w="2770"/>
          </w:tcPr>
          <w:p>
            <w:pPr>
              <w:jc w:val="right"/>
            </w:pPr>
            <w:r>
              <w:t>75</w:t>
            </w:r>
          </w:p>
        </w:tc>
      </w:tr>
      <w:tr>
        <w:tc>
          <w:tcPr>
            <w:tcW w:type="dxa" w:w="2770"/>
          </w:tcPr>
          <w:p>
            <w:r>
              <w:t>Figure 7.12</w:t>
            </w:r>
          </w:p>
        </w:tc>
        <w:tc>
          <w:tcPr>
            <w:tcW w:type="dxa" w:w="2770"/>
          </w:tcPr>
          <w:p>
            <w:r>
              <w:t>System Intelligence, Model Provenance, and Gemini API Configuration</w:t>
            </w:r>
          </w:p>
        </w:tc>
        <w:tc>
          <w:tcPr>
            <w:tcW w:type="dxa" w:w="2770"/>
          </w:tcPr>
          <w:p>
            <w:pPr>
              <w:jc w:val="right"/>
            </w:pPr>
            <w:r>
              <w:t>76</w:t>
            </w:r>
          </w:p>
        </w:tc>
      </w:tr>
      <w:tr>
        <w:tc>
          <w:tcPr>
            <w:tcW w:type="dxa" w:w="2770"/>
          </w:tcPr>
          <w:p>
            <w:r>
              <w:t>Figure 7.13</w:t>
            </w:r>
          </w:p>
        </w:tc>
        <w:tc>
          <w:tcPr>
            <w:tcW w:type="dxa" w:w="2770"/>
          </w:tcPr>
          <w:p>
            <w:r>
              <w:t>Floating Header 432 Hz Neuro-Acoustic Calming Audio Controller</w:t>
            </w:r>
          </w:p>
        </w:tc>
        <w:tc>
          <w:tcPr>
            <w:tcW w:type="dxa" w:w="2770"/>
          </w:tcPr>
          <w:p>
            <w:pPr>
              <w:jc w:val="right"/>
            </w:pPr>
            <w:r>
              <w:t>77</w:t>
            </w:r>
          </w:p>
        </w:tc>
      </w:tr>
    </w:tbl>
    <w:p>
      <w:pPr>
        <w:spacing w:line="360" w:lineRule="auto" w:after="120" w:before="300"/>
        <w:jc w:val="center"/>
      </w:pPr>
      <w:r>
        <w:rPr>
          <w:rFonts w:ascii="Times New Roman" w:hAnsi="Times New Roman"/>
          <w:b w:val="0"/>
          <w:i/>
          <w:sz w:val="20"/>
        </w:rPr>
        <w:t>(In the chapters, figure caption should come below the figure. Figure captions should be of font size 10 and centre aligned)</w:t>
      </w:r>
    </w:p>
    <w:p>
      <w:r>
        <w:br w:type="page"/>
      </w:r>
    </w:p>
    <w:p>
      <w:pPr>
        <w:spacing w:before="240" w:after="360"/>
        <w:jc w:val="center"/>
      </w:pPr>
      <w:r>
        <w:rPr>
          <w:rFonts w:ascii="Times New Roman" w:hAnsi="Times New Roman"/>
          <w:b/>
          <w:sz w:val="32"/>
        </w:rPr>
        <w:t>LIST OF TABLES</w:t>
      </w:r>
    </w:p>
    <w:tbl>
      <w:tblPr>
        <w:tblW w:type="auto" w:w="0"/>
        <w:jc w:val="center"/>
        <w:tblLook w:firstColumn="1" w:firstRow="1" w:lastColumn="0" w:lastRow="0" w:noHBand="0" w:noVBand="1" w:val="04A0"/>
        <w:tblBorders>
          <w:top w:val="single" w:sz="6" w:space="0" w:color="333333"/>
          <w:bottom w:val="single" w:sz="6" w:space="0" w:color="333333"/>
          <w:insideH w:val="single" w:sz="4" w:space="0" w:color="666666"/>
          <w:insideV w:val="single" w:sz="4" w:space="0" w:color="666666"/>
          <w:left w:val="single" w:sz="6" w:space="0" w:color="333333"/>
          <w:right w:val="single" w:sz="6" w:space="0" w:color="333333"/>
        </w:tblBorders>
      </w:tblPr>
      <w:tblGrid>
        <w:gridCol w:w="2770"/>
        <w:gridCol w:w="2770"/>
        <w:gridCol w:w="2770"/>
      </w:tblGrid>
      <w:tr>
        <w:tc>
          <w:tcPr>
            <w:tcW w:type="dxa" w:w="2770"/>
          </w:tcPr>
          <w:p>
            <w:r>
              <w:rPr>
                <w:b/>
              </w:rPr>
              <w:t>Table No.</w:t>
            </w:r>
          </w:p>
        </w:tc>
        <w:tc>
          <w:tcPr>
            <w:tcW w:type="dxa" w:w="2770"/>
          </w:tcPr>
          <w:p>
            <w:r>
              <w:rPr>
                <w:b/>
              </w:rPr>
              <w:t>Title</w:t>
            </w:r>
          </w:p>
        </w:tc>
        <w:tc>
          <w:tcPr>
            <w:tcW w:type="dxa" w:w="2770"/>
          </w:tcPr>
          <w:p>
            <w:pPr>
              <w:jc w:val="right"/>
            </w:pPr>
            <w:r>
              <w:rPr>
                <w:b/>
              </w:rPr>
              <w:t>Page No.</w:t>
            </w:r>
          </w:p>
        </w:tc>
      </w:tr>
      <w:tr>
        <w:tc>
          <w:tcPr>
            <w:tcW w:type="dxa" w:w="2770"/>
          </w:tcPr>
          <w:p>
            <w:r>
              <w:t>Table 2.1</w:t>
            </w:r>
          </w:p>
        </w:tc>
        <w:tc>
          <w:tcPr>
            <w:tcW w:type="dxa" w:w="2770"/>
          </w:tcPr>
          <w:p>
            <w:r>
              <w:t>Comparative Analysis of State-of-the-Art Student Analytics &amp; Digital Twin Frameworks</w:t>
            </w:r>
          </w:p>
        </w:tc>
        <w:tc>
          <w:tcPr>
            <w:tcW w:type="dxa" w:w="2770"/>
          </w:tcPr>
          <w:p>
            <w:pPr>
              <w:jc w:val="right"/>
            </w:pPr>
            <w:r>
              <w:t>12</w:t>
            </w:r>
          </w:p>
        </w:tc>
      </w:tr>
      <w:tr>
        <w:tc>
          <w:tcPr>
            <w:tcW w:type="dxa" w:w="2770"/>
          </w:tcPr>
          <w:p>
            <w:r>
              <w:t>Table 2.2</w:t>
            </w:r>
          </w:p>
        </w:tc>
        <w:tc>
          <w:tcPr>
            <w:tcW w:type="dxa" w:w="2770"/>
          </w:tcPr>
          <w:p>
            <w:r>
              <w:t>Project Implementation Milestones and Work Breakdown Structure</w:t>
            </w:r>
          </w:p>
        </w:tc>
        <w:tc>
          <w:tcPr>
            <w:tcW w:type="dxa" w:w="2770"/>
          </w:tcPr>
          <w:p>
            <w:pPr>
              <w:jc w:val="right"/>
            </w:pPr>
            <w:r>
              <w:t>21</w:t>
            </w:r>
          </w:p>
        </w:tc>
      </w:tr>
      <w:tr>
        <w:tc>
          <w:tcPr>
            <w:tcW w:type="dxa" w:w="2770"/>
          </w:tcPr>
          <w:p>
            <w:r>
              <w:t>Table 3.1</w:t>
            </w:r>
          </w:p>
        </w:tc>
        <w:tc>
          <w:tcPr>
            <w:tcW w:type="dxa" w:w="2770"/>
          </w:tcPr>
          <w:p>
            <w:r>
              <w:t>Minimum and Recommended Hardware Specifications</w:t>
            </w:r>
          </w:p>
        </w:tc>
        <w:tc>
          <w:tcPr>
            <w:tcW w:type="dxa" w:w="2770"/>
          </w:tcPr>
          <w:p>
            <w:pPr>
              <w:jc w:val="right"/>
            </w:pPr>
            <w:r>
              <w:t>30</w:t>
            </w:r>
          </w:p>
        </w:tc>
      </w:tr>
      <w:tr>
        <w:tc>
          <w:tcPr>
            <w:tcW w:type="dxa" w:w="2770"/>
          </w:tcPr>
          <w:p>
            <w:r>
              <w:t>Table 3.2</w:t>
            </w:r>
          </w:p>
        </w:tc>
        <w:tc>
          <w:tcPr>
            <w:tcW w:type="dxa" w:w="2770"/>
          </w:tcPr>
          <w:p>
            <w:r>
              <w:t>Comprehensive Software Toolchain and Dependency Matrix</w:t>
            </w:r>
          </w:p>
        </w:tc>
        <w:tc>
          <w:tcPr>
            <w:tcW w:type="dxa" w:w="2770"/>
          </w:tcPr>
          <w:p>
            <w:pPr>
              <w:jc w:val="right"/>
            </w:pPr>
            <w:r>
              <w:t>30</w:t>
            </w:r>
          </w:p>
        </w:tc>
      </w:tr>
      <w:tr>
        <w:tc>
          <w:tcPr>
            <w:tcW w:type="dxa" w:w="2770"/>
          </w:tcPr>
          <w:p>
            <w:r>
              <w:t>Table 5.1</w:t>
            </w:r>
          </w:p>
        </w:tc>
        <w:tc>
          <w:tcPr>
            <w:tcW w:type="dxa" w:w="2770"/>
          </w:tcPr>
          <w:p>
            <w:r>
              <w:t>Algorithmic Scalability and Execution Profiles</w:t>
            </w:r>
          </w:p>
        </w:tc>
        <w:tc>
          <w:tcPr>
            <w:tcW w:type="dxa" w:w="2770"/>
          </w:tcPr>
          <w:p>
            <w:pPr>
              <w:jc w:val="right"/>
            </w:pPr>
            <w:r>
              <w:t>49</w:t>
            </w:r>
          </w:p>
        </w:tc>
      </w:tr>
      <w:tr>
        <w:tc>
          <w:tcPr>
            <w:tcW w:type="dxa" w:w="2770"/>
          </w:tcPr>
          <w:p>
            <w:r>
              <w:t>Table 5.2</w:t>
            </w:r>
          </w:p>
        </w:tc>
        <w:tc>
          <w:tcPr>
            <w:tcW w:type="dxa" w:w="2770"/>
          </w:tcPr>
          <w:p>
            <w:r>
              <w:t>Exhaustive System Test Suite and Verification Results</w:t>
            </w:r>
          </w:p>
        </w:tc>
        <w:tc>
          <w:tcPr>
            <w:tcW w:type="dxa" w:w="2770"/>
          </w:tcPr>
          <w:p>
            <w:pPr>
              <w:jc w:val="right"/>
            </w:pPr>
            <w:r>
              <w:t>52</w:t>
            </w:r>
          </w:p>
        </w:tc>
      </w:tr>
      <w:tr>
        <w:tc>
          <w:tcPr>
            <w:tcW w:type="dxa" w:w="2770"/>
          </w:tcPr>
          <w:p>
            <w:r>
              <w:t>Table 6.1</w:t>
            </w:r>
          </w:p>
        </w:tc>
        <w:tc>
          <w:tcPr>
            <w:tcW w:type="dxa" w:w="2770"/>
          </w:tcPr>
          <w:p>
            <w:r>
              <w:t>Multivariate Telemetry Schema &amp; Statistical Characteristics (N=600 Cohort)</w:t>
            </w:r>
          </w:p>
        </w:tc>
        <w:tc>
          <w:tcPr>
            <w:tcW w:type="dxa" w:w="2770"/>
          </w:tcPr>
          <w:p>
            <w:pPr>
              <w:jc w:val="right"/>
            </w:pPr>
            <w:r>
              <w:t>56</w:t>
            </w:r>
          </w:p>
        </w:tc>
      </w:tr>
      <w:tr>
        <w:tc>
          <w:tcPr>
            <w:tcW w:type="dxa" w:w="2770"/>
          </w:tcPr>
          <w:p>
            <w:r>
              <w:t>Table 6.2</w:t>
            </w:r>
          </w:p>
        </w:tc>
        <w:tc>
          <w:tcPr>
            <w:tcW w:type="dxa" w:w="2770"/>
          </w:tcPr>
          <w:p>
            <w:r>
              <w:t>Optimized Hyperparameter Grid for the Random Forest Ensemble</w:t>
            </w:r>
          </w:p>
        </w:tc>
        <w:tc>
          <w:tcPr>
            <w:tcW w:type="dxa" w:w="2770"/>
          </w:tcPr>
          <w:p>
            <w:pPr>
              <w:jc w:val="right"/>
            </w:pPr>
            <w:r>
              <w:t>59</w:t>
            </w:r>
          </w:p>
        </w:tc>
      </w:tr>
      <w:tr>
        <w:tc>
          <w:tcPr>
            <w:tcW w:type="dxa" w:w="2770"/>
          </w:tcPr>
          <w:p>
            <w:r>
              <w:t>Table 7.1</w:t>
            </w:r>
          </w:p>
        </w:tc>
        <w:tc>
          <w:tcPr>
            <w:tcW w:type="dxa" w:w="2770"/>
          </w:tcPr>
          <w:p>
            <w:r>
              <w:t>Comparative Predictive Performance of Supervised Regression Models</w:t>
            </w:r>
          </w:p>
        </w:tc>
        <w:tc>
          <w:tcPr>
            <w:tcW w:type="dxa" w:w="2770"/>
          </w:tcPr>
          <w:p>
            <w:pPr>
              <w:jc w:val="right"/>
            </w:pPr>
            <w:r>
              <w:t>78</w:t>
            </w:r>
          </w:p>
        </w:tc>
      </w:tr>
      <w:tr>
        <w:tc>
          <w:tcPr>
            <w:tcW w:type="dxa" w:w="2770"/>
          </w:tcPr>
          <w:p>
            <w:r>
              <w:t>Table 7.2</w:t>
            </w:r>
          </w:p>
        </w:tc>
        <w:tc>
          <w:tcPr>
            <w:tcW w:type="dxa" w:w="2770"/>
          </w:tcPr>
          <w:p>
            <w:r>
              <w:t>Latency Profiling Across Copilot Inference Modalities</w:t>
            </w:r>
          </w:p>
        </w:tc>
        <w:tc>
          <w:tcPr>
            <w:tcW w:type="dxa" w:w="2770"/>
          </w:tcPr>
          <w:p>
            <w:pPr>
              <w:jc w:val="right"/>
            </w:pPr>
            <w:r>
              <w:t>80</w:t>
            </w:r>
          </w:p>
        </w:tc>
      </w:tr>
      <w:tr>
        <w:tc>
          <w:tcPr>
            <w:tcW w:type="dxa" w:w="2770"/>
          </w:tcPr>
          <w:p>
            <w:r>
              <w:t>Table 7.3</w:t>
            </w:r>
          </w:p>
        </w:tc>
        <w:tc>
          <w:tcPr>
            <w:tcW w:type="dxa" w:w="2770"/>
          </w:tcPr>
          <w:p>
            <w:r>
              <w:t>Economic Deployment Feasibility and Cloud Infrastructure Cost Model</w:t>
            </w:r>
          </w:p>
        </w:tc>
        <w:tc>
          <w:tcPr>
            <w:tcW w:type="dxa" w:w="2770"/>
          </w:tcPr>
          <w:p>
            <w:pPr>
              <w:jc w:val="right"/>
            </w:pPr>
            <w:r>
              <w:t>82</w:t>
            </w:r>
          </w:p>
        </w:tc>
      </w:tr>
    </w:tbl>
    <w:p>
      <w:pPr>
        <w:spacing w:line="360" w:lineRule="auto" w:after="120" w:before="300"/>
        <w:jc w:val="center"/>
      </w:pPr>
      <w:r>
        <w:rPr>
          <w:rFonts w:ascii="Times New Roman" w:hAnsi="Times New Roman"/>
          <w:b w:val="0"/>
          <w:i/>
          <w:sz w:val="20"/>
        </w:rPr>
        <w:t>(In the chapters, table caption should come above the table. Table captions should be of font size 10 and centre aligned)</w:t>
      </w:r>
    </w:p>
    <w:p>
      <w:r>
        <w:br w:type="page"/>
      </w:r>
    </w:p>
    <w:p>
      <w:pPr>
        <w:spacing w:before="240" w:after="360"/>
        <w:jc w:val="center"/>
      </w:pPr>
      <w:r>
        <w:rPr>
          <w:rFonts w:ascii="Times New Roman" w:hAnsi="Times New Roman"/>
          <w:b/>
          <w:sz w:val="32"/>
        </w:rPr>
        <w:t>LIST OF ABBREVIATIONS</w:t>
      </w:r>
    </w:p>
    <w:tbl>
      <w:tblPr>
        <w:tblW w:type="auto" w:w="0"/>
        <w:jc w:val="center"/>
        <w:tblLook w:firstColumn="1" w:firstRow="1" w:lastColumn="0" w:lastRow="0" w:noHBand="0" w:noVBand="1" w:val="04A0"/>
        <w:tblBorders>
          <w:top w:val="single" w:sz="6" w:space="0" w:color="333333"/>
          <w:bottom w:val="single" w:sz="6" w:space="0" w:color="333333"/>
          <w:insideH w:val="single" w:sz="4" w:space="0" w:color="666666"/>
          <w:insideV w:val="single" w:sz="4" w:space="0" w:color="666666"/>
          <w:left w:val="single" w:sz="6" w:space="0" w:color="333333"/>
          <w:right w:val="single" w:sz="6" w:space="0" w:color="333333"/>
        </w:tblBorders>
      </w:tblPr>
      <w:tblGrid>
        <w:gridCol w:w="4154"/>
        <w:gridCol w:w="4154"/>
      </w:tblGrid>
      <w:tr>
        <w:tc>
          <w:tcPr>
            <w:tcW w:type="dxa" w:w="4154"/>
          </w:tcPr>
          <w:p>
            <w:r>
              <w:rPr>
                <w:b/>
              </w:rPr>
              <w:t>Abbreviation</w:t>
            </w:r>
          </w:p>
        </w:tc>
        <w:tc>
          <w:tcPr>
            <w:tcW w:type="dxa" w:w="4154"/>
          </w:tcPr>
          <w:p>
            <w:r>
              <w:rPr>
                <w:b/>
              </w:rPr>
              <w:t>Expanded Description</w:t>
            </w:r>
          </w:p>
        </w:tc>
      </w:tr>
      <w:tr>
        <w:tc>
          <w:tcPr>
            <w:tcW w:type="dxa" w:w="4154"/>
          </w:tcPr>
          <w:p>
            <w:r>
              <w:rPr>
                <w:b/>
              </w:rPr>
              <w:t>AI</w:t>
            </w:r>
          </w:p>
        </w:tc>
        <w:tc>
          <w:tcPr>
            <w:tcW w:type="dxa" w:w="4154"/>
          </w:tcPr>
          <w:p>
            <w:r>
              <w:t>Artificial Intelligence</w:t>
            </w:r>
          </w:p>
        </w:tc>
      </w:tr>
      <w:tr>
        <w:tc>
          <w:tcPr>
            <w:tcW w:type="dxa" w:w="4154"/>
          </w:tcPr>
          <w:p>
            <w:r>
              <w:rPr>
                <w:b/>
              </w:rPr>
              <w:t>API</w:t>
            </w:r>
          </w:p>
        </w:tc>
        <w:tc>
          <w:tcPr>
            <w:tcW w:type="dxa" w:w="4154"/>
          </w:tcPr>
          <w:p>
            <w:r>
              <w:t>Application Programming Interface</w:t>
            </w:r>
          </w:p>
        </w:tc>
      </w:tr>
      <w:tr>
        <w:tc>
          <w:tcPr>
            <w:tcW w:type="dxa" w:w="4154"/>
          </w:tcPr>
          <w:p>
            <w:r>
              <w:rPr>
                <w:b/>
              </w:rPr>
              <w:t>AUC</w:t>
            </w:r>
          </w:p>
        </w:tc>
        <w:tc>
          <w:tcPr>
            <w:tcW w:type="dxa" w:w="4154"/>
          </w:tcPr>
          <w:p>
            <w:r>
              <w:t>Area Under the Curve</w:t>
            </w:r>
          </w:p>
        </w:tc>
      </w:tr>
      <w:tr>
        <w:tc>
          <w:tcPr>
            <w:tcW w:type="dxa" w:w="4154"/>
          </w:tcPr>
          <w:p>
            <w:r>
              <w:rPr>
                <w:b/>
              </w:rPr>
              <w:t>CORS</w:t>
            </w:r>
          </w:p>
        </w:tc>
        <w:tc>
          <w:tcPr>
            <w:tcW w:type="dxa" w:w="4154"/>
          </w:tcPr>
          <w:p>
            <w:r>
              <w:t>Cross-Origin Resource Sharing</w:t>
            </w:r>
          </w:p>
        </w:tc>
      </w:tr>
      <w:tr>
        <w:tc>
          <w:tcPr>
            <w:tcW w:type="dxa" w:w="4154"/>
          </w:tcPr>
          <w:p>
            <w:r>
              <w:rPr>
                <w:b/>
              </w:rPr>
              <w:t>CPU</w:t>
            </w:r>
          </w:p>
        </w:tc>
        <w:tc>
          <w:tcPr>
            <w:tcW w:type="dxa" w:w="4154"/>
          </w:tcPr>
          <w:p>
            <w:r>
              <w:t>Central Processing Unit</w:t>
            </w:r>
          </w:p>
        </w:tc>
      </w:tr>
      <w:tr>
        <w:tc>
          <w:tcPr>
            <w:tcW w:type="dxa" w:w="4154"/>
          </w:tcPr>
          <w:p>
            <w:r>
              <w:rPr>
                <w:b/>
              </w:rPr>
              <w:t>CSS</w:t>
            </w:r>
          </w:p>
        </w:tc>
        <w:tc>
          <w:tcPr>
            <w:tcW w:type="dxa" w:w="4154"/>
          </w:tcPr>
          <w:p>
            <w:r>
              <w:t>Cascading Style Sheets</w:t>
            </w:r>
          </w:p>
        </w:tc>
      </w:tr>
      <w:tr>
        <w:tc>
          <w:tcPr>
            <w:tcW w:type="dxa" w:w="4154"/>
          </w:tcPr>
          <w:p>
            <w:r>
              <w:rPr>
                <w:b/>
              </w:rPr>
              <w:t>CSV</w:t>
            </w:r>
          </w:p>
        </w:tc>
        <w:tc>
          <w:tcPr>
            <w:tcW w:type="dxa" w:w="4154"/>
          </w:tcPr>
          <w:p>
            <w:r>
              <w:t>Comma-Separated Values</w:t>
            </w:r>
          </w:p>
        </w:tc>
      </w:tr>
      <w:tr>
        <w:tc>
          <w:tcPr>
            <w:tcW w:type="dxa" w:w="4154"/>
          </w:tcPr>
          <w:p>
            <w:r>
              <w:rPr>
                <w:b/>
              </w:rPr>
              <w:t>DFD</w:t>
            </w:r>
          </w:p>
        </w:tc>
        <w:tc>
          <w:tcPr>
            <w:tcW w:type="dxa" w:w="4154"/>
          </w:tcPr>
          <w:p>
            <w:r>
              <w:t>Data Flow Diagram</w:t>
            </w:r>
          </w:p>
        </w:tc>
      </w:tr>
      <w:tr>
        <w:tc>
          <w:tcPr>
            <w:tcW w:type="dxa" w:w="4154"/>
          </w:tcPr>
          <w:p>
            <w:r>
              <w:rPr>
                <w:b/>
              </w:rPr>
              <w:t>DOM</w:t>
            </w:r>
          </w:p>
        </w:tc>
        <w:tc>
          <w:tcPr>
            <w:tcW w:type="dxa" w:w="4154"/>
          </w:tcPr>
          <w:p>
            <w:r>
              <w:t>Document Object Model</w:t>
            </w:r>
          </w:p>
        </w:tc>
      </w:tr>
      <w:tr>
        <w:tc>
          <w:tcPr>
            <w:tcW w:type="dxa" w:w="4154"/>
          </w:tcPr>
          <w:p>
            <w:r>
              <w:rPr>
                <w:b/>
              </w:rPr>
              <w:t>EDM</w:t>
            </w:r>
          </w:p>
        </w:tc>
        <w:tc>
          <w:tcPr>
            <w:tcW w:type="dxa" w:w="4154"/>
          </w:tcPr>
          <w:p>
            <w:r>
              <w:t>Educational Data Mining</w:t>
            </w:r>
          </w:p>
        </w:tc>
      </w:tr>
      <w:tr>
        <w:tc>
          <w:tcPr>
            <w:tcW w:type="dxa" w:w="4154"/>
          </w:tcPr>
          <w:p>
            <w:r>
              <w:rPr>
                <w:b/>
              </w:rPr>
              <w:t>EEG</w:t>
            </w:r>
          </w:p>
        </w:tc>
        <w:tc>
          <w:tcPr>
            <w:tcW w:type="dxa" w:w="4154"/>
          </w:tcPr>
          <w:p>
            <w:r>
              <w:t>Electroencephalography</w:t>
            </w:r>
          </w:p>
        </w:tc>
      </w:tr>
      <w:tr>
        <w:tc>
          <w:tcPr>
            <w:tcW w:type="dxa" w:w="4154"/>
          </w:tcPr>
          <w:p>
            <w:r>
              <w:rPr>
                <w:b/>
              </w:rPr>
              <w:t>FFT</w:t>
            </w:r>
          </w:p>
        </w:tc>
        <w:tc>
          <w:tcPr>
            <w:tcW w:type="dxa" w:w="4154"/>
          </w:tcPr>
          <w:p>
            <w:r>
              <w:t>Fast Fourier Transform</w:t>
            </w:r>
          </w:p>
        </w:tc>
      </w:tr>
      <w:tr>
        <w:tc>
          <w:tcPr>
            <w:tcW w:type="dxa" w:w="4154"/>
          </w:tcPr>
          <w:p>
            <w:r>
              <w:rPr>
                <w:b/>
              </w:rPr>
              <w:t>GPA</w:t>
            </w:r>
          </w:p>
        </w:tc>
        <w:tc>
          <w:tcPr>
            <w:tcW w:type="dxa" w:w="4154"/>
          </w:tcPr>
          <w:p>
            <w:r>
              <w:t>Grade Point Average</w:t>
            </w:r>
          </w:p>
        </w:tc>
      </w:tr>
      <w:tr>
        <w:tc>
          <w:tcPr>
            <w:tcW w:type="dxa" w:w="4154"/>
          </w:tcPr>
          <w:p>
            <w:r>
              <w:rPr>
                <w:b/>
              </w:rPr>
              <w:t>GPU</w:t>
            </w:r>
          </w:p>
        </w:tc>
        <w:tc>
          <w:tcPr>
            <w:tcW w:type="dxa" w:w="4154"/>
          </w:tcPr>
          <w:p>
            <w:r>
              <w:t>Graphics Processing Unit</w:t>
            </w:r>
          </w:p>
        </w:tc>
      </w:tr>
      <w:tr>
        <w:tc>
          <w:tcPr>
            <w:tcW w:type="dxa" w:w="4154"/>
          </w:tcPr>
          <w:p>
            <w:r>
              <w:rPr>
                <w:b/>
              </w:rPr>
              <w:t>HTML</w:t>
            </w:r>
          </w:p>
        </w:tc>
        <w:tc>
          <w:tcPr>
            <w:tcW w:type="dxa" w:w="4154"/>
          </w:tcPr>
          <w:p>
            <w:r>
              <w:t>HyperText Markup Language</w:t>
            </w:r>
          </w:p>
        </w:tc>
      </w:tr>
      <w:tr>
        <w:tc>
          <w:tcPr>
            <w:tcW w:type="dxa" w:w="4154"/>
          </w:tcPr>
          <w:p>
            <w:r>
              <w:rPr>
                <w:b/>
              </w:rPr>
              <w:t>HTTP</w:t>
            </w:r>
          </w:p>
        </w:tc>
        <w:tc>
          <w:tcPr>
            <w:tcW w:type="dxa" w:w="4154"/>
          </w:tcPr>
          <w:p>
            <w:r>
              <w:t>Hypertext Transfer Protocol</w:t>
            </w:r>
          </w:p>
        </w:tc>
      </w:tr>
      <w:tr>
        <w:tc>
          <w:tcPr>
            <w:tcW w:type="dxa" w:w="4154"/>
          </w:tcPr>
          <w:p>
            <w:r>
              <w:rPr>
                <w:b/>
              </w:rPr>
              <w:t>IQR</w:t>
            </w:r>
          </w:p>
        </w:tc>
        <w:tc>
          <w:tcPr>
            <w:tcW w:type="dxa" w:w="4154"/>
          </w:tcPr>
          <w:p>
            <w:r>
              <w:t>Interquartile Range</w:t>
            </w:r>
          </w:p>
        </w:tc>
      </w:tr>
      <w:tr>
        <w:tc>
          <w:tcPr>
            <w:tcW w:type="dxa" w:w="4154"/>
          </w:tcPr>
          <w:p>
            <w:r>
              <w:rPr>
                <w:b/>
              </w:rPr>
              <w:t>JSON</w:t>
            </w:r>
          </w:p>
        </w:tc>
        <w:tc>
          <w:tcPr>
            <w:tcW w:type="dxa" w:w="4154"/>
          </w:tcPr>
          <w:p>
            <w:r>
              <w:t>JavaScript Object Notation</w:t>
            </w:r>
          </w:p>
        </w:tc>
      </w:tr>
      <w:tr>
        <w:tc>
          <w:tcPr>
            <w:tcW w:type="dxa" w:w="4154"/>
          </w:tcPr>
          <w:p>
            <w:r>
              <w:rPr>
                <w:b/>
              </w:rPr>
              <w:t>JWT</w:t>
            </w:r>
          </w:p>
        </w:tc>
        <w:tc>
          <w:tcPr>
            <w:tcW w:type="dxa" w:w="4154"/>
          </w:tcPr>
          <w:p>
            <w:r>
              <w:t>JSON Web Token</w:t>
            </w:r>
          </w:p>
        </w:tc>
      </w:tr>
      <w:tr>
        <w:tc>
          <w:tcPr>
            <w:tcW w:type="dxa" w:w="4154"/>
          </w:tcPr>
          <w:p>
            <w:r>
              <w:rPr>
                <w:b/>
              </w:rPr>
              <w:t>LA</w:t>
            </w:r>
          </w:p>
        </w:tc>
        <w:tc>
          <w:tcPr>
            <w:tcW w:type="dxa" w:w="4154"/>
          </w:tcPr>
          <w:p>
            <w:r>
              <w:t>Learning Analytics</w:t>
            </w:r>
          </w:p>
        </w:tc>
      </w:tr>
      <w:tr>
        <w:tc>
          <w:tcPr>
            <w:tcW w:type="dxa" w:w="4154"/>
          </w:tcPr>
          <w:p>
            <w:r>
              <w:rPr>
                <w:b/>
              </w:rPr>
              <w:t>LLM</w:t>
            </w:r>
          </w:p>
        </w:tc>
        <w:tc>
          <w:tcPr>
            <w:tcW w:type="dxa" w:w="4154"/>
          </w:tcPr>
          <w:p>
            <w:r>
              <w:t>Large Language Model</w:t>
            </w:r>
          </w:p>
        </w:tc>
      </w:tr>
      <w:tr>
        <w:tc>
          <w:tcPr>
            <w:tcW w:type="dxa" w:w="4154"/>
          </w:tcPr>
          <w:p>
            <w:r>
              <w:rPr>
                <w:b/>
              </w:rPr>
              <w:t>MAE</w:t>
            </w:r>
          </w:p>
        </w:tc>
        <w:tc>
          <w:tcPr>
            <w:tcW w:type="dxa" w:w="4154"/>
          </w:tcPr>
          <w:p>
            <w:r>
              <w:t>Mean Absolute Error</w:t>
            </w:r>
          </w:p>
        </w:tc>
      </w:tr>
      <w:tr>
        <w:tc>
          <w:tcPr>
            <w:tcW w:type="dxa" w:w="4154"/>
          </w:tcPr>
          <w:p>
            <w:r>
              <w:rPr>
                <w:b/>
              </w:rPr>
              <w:t>ML</w:t>
            </w:r>
          </w:p>
        </w:tc>
        <w:tc>
          <w:tcPr>
            <w:tcW w:type="dxa" w:w="4154"/>
          </w:tcPr>
          <w:p>
            <w:r>
              <w:t>Machine Learning</w:t>
            </w:r>
          </w:p>
        </w:tc>
      </w:tr>
      <w:tr>
        <w:tc>
          <w:tcPr>
            <w:tcW w:type="dxa" w:w="4154"/>
          </w:tcPr>
          <w:p>
            <w:r>
              <w:rPr>
                <w:b/>
              </w:rPr>
              <w:t>MSE</w:t>
            </w:r>
          </w:p>
        </w:tc>
        <w:tc>
          <w:tcPr>
            <w:tcW w:type="dxa" w:w="4154"/>
          </w:tcPr>
          <w:p>
            <w:r>
              <w:t>Mean Squared Error</w:t>
            </w:r>
          </w:p>
        </w:tc>
      </w:tr>
      <w:tr>
        <w:tc>
          <w:tcPr>
            <w:tcW w:type="dxa" w:w="4154"/>
          </w:tcPr>
          <w:p>
            <w:r>
              <w:rPr>
                <w:b/>
              </w:rPr>
              <w:t>NFR</w:t>
            </w:r>
          </w:p>
        </w:tc>
        <w:tc>
          <w:tcPr>
            <w:tcW w:type="dxa" w:w="4154"/>
          </w:tcPr>
          <w:p>
            <w:r>
              <w:t>Non-Functional Requirement</w:t>
            </w:r>
          </w:p>
        </w:tc>
      </w:tr>
      <w:tr>
        <w:tc>
          <w:tcPr>
            <w:tcW w:type="dxa" w:w="4154"/>
          </w:tcPr>
          <w:p>
            <w:r>
              <w:rPr>
                <w:b/>
              </w:rPr>
              <w:t>OOB</w:t>
            </w:r>
          </w:p>
        </w:tc>
        <w:tc>
          <w:tcPr>
            <w:tcW w:type="dxa" w:w="4154"/>
          </w:tcPr>
          <w:p>
            <w:r>
              <w:t>Out-of-Bag (Sample Evaluation)</w:t>
            </w:r>
          </w:p>
        </w:tc>
      </w:tr>
      <w:tr>
        <w:tc>
          <w:tcPr>
            <w:tcW w:type="dxa" w:w="4154"/>
          </w:tcPr>
          <w:p>
            <w:r>
              <w:rPr>
                <w:b/>
              </w:rPr>
              <w:t>PPG</w:t>
            </w:r>
          </w:p>
        </w:tc>
        <w:tc>
          <w:tcPr>
            <w:tcW w:type="dxa" w:w="4154"/>
          </w:tcPr>
          <w:p>
            <w:r>
              <w:t>Photoplethysmography</w:t>
            </w:r>
          </w:p>
        </w:tc>
      </w:tr>
      <w:tr>
        <w:tc>
          <w:tcPr>
            <w:tcW w:type="dxa" w:w="4154"/>
          </w:tcPr>
          <w:p>
            <w:r>
              <w:rPr>
                <w:b/>
              </w:rPr>
              <w:t>RBAC</w:t>
            </w:r>
          </w:p>
        </w:tc>
        <w:tc>
          <w:tcPr>
            <w:tcW w:type="dxa" w:w="4154"/>
          </w:tcPr>
          <w:p>
            <w:r>
              <w:t>Role-Based Access Control</w:t>
            </w:r>
          </w:p>
        </w:tc>
      </w:tr>
      <w:tr>
        <w:tc>
          <w:tcPr>
            <w:tcW w:type="dxa" w:w="4154"/>
          </w:tcPr>
          <w:p>
            <w:r>
              <w:rPr>
                <w:b/>
              </w:rPr>
              <w:t>REST</w:t>
            </w:r>
          </w:p>
        </w:tc>
        <w:tc>
          <w:tcPr>
            <w:tcW w:type="dxa" w:w="4154"/>
          </w:tcPr>
          <w:p>
            <w:r>
              <w:t>Representational State Transfer</w:t>
            </w:r>
          </w:p>
        </w:tc>
      </w:tr>
      <w:tr>
        <w:tc>
          <w:tcPr>
            <w:tcW w:type="dxa" w:w="4154"/>
          </w:tcPr>
          <w:p>
            <w:r>
              <w:rPr>
                <w:b/>
              </w:rPr>
              <w:t>RF</w:t>
            </w:r>
          </w:p>
        </w:tc>
        <w:tc>
          <w:tcPr>
            <w:tcW w:type="dxa" w:w="4154"/>
          </w:tcPr>
          <w:p>
            <w:r>
              <w:t>Random Forest</w:t>
            </w:r>
          </w:p>
        </w:tc>
      </w:tr>
      <w:tr>
        <w:tc>
          <w:tcPr>
            <w:tcW w:type="dxa" w:w="4154"/>
          </w:tcPr>
          <w:p>
            <w:r>
              <w:rPr>
                <w:b/>
              </w:rPr>
              <w:t>RMSE</w:t>
            </w:r>
          </w:p>
        </w:tc>
        <w:tc>
          <w:tcPr>
            <w:tcW w:type="dxa" w:w="4154"/>
          </w:tcPr>
          <w:p>
            <w:r>
              <w:t>Root Mean Squared Error</w:t>
            </w:r>
          </w:p>
        </w:tc>
      </w:tr>
      <w:tr>
        <w:tc>
          <w:tcPr>
            <w:tcW w:type="dxa" w:w="4154"/>
          </w:tcPr>
          <w:p>
            <w:r>
              <w:rPr>
                <w:b/>
              </w:rPr>
              <w:t>ROC</w:t>
            </w:r>
          </w:p>
        </w:tc>
        <w:tc>
          <w:tcPr>
            <w:tcW w:type="dxa" w:w="4154"/>
          </w:tcPr>
          <w:p>
            <w:r>
              <w:t>Receiver Operating Characteristic</w:t>
            </w:r>
          </w:p>
        </w:tc>
      </w:tr>
      <w:tr>
        <w:tc>
          <w:tcPr>
            <w:tcW w:type="dxa" w:w="4154"/>
          </w:tcPr>
          <w:p>
            <w:r>
              <w:rPr>
                <w:b/>
              </w:rPr>
              <w:t>SPA</w:t>
            </w:r>
          </w:p>
        </w:tc>
        <w:tc>
          <w:tcPr>
            <w:tcW w:type="dxa" w:w="4154"/>
          </w:tcPr>
          <w:p>
            <w:r>
              <w:t>Single Page Application</w:t>
            </w:r>
          </w:p>
        </w:tc>
      </w:tr>
      <w:tr>
        <w:tc>
          <w:tcPr>
            <w:tcW w:type="dxa" w:w="4154"/>
          </w:tcPr>
          <w:p>
            <w:r>
              <w:rPr>
                <w:b/>
              </w:rPr>
              <w:t>UML</w:t>
            </w:r>
          </w:p>
        </w:tc>
        <w:tc>
          <w:tcPr>
            <w:tcW w:type="dxa" w:w="4154"/>
          </w:tcPr>
          <w:p>
            <w:r>
              <w:t>Unified Modeling Language</w:t>
            </w:r>
          </w:p>
        </w:tc>
      </w:tr>
      <w:tr>
        <w:tc>
          <w:tcPr>
            <w:tcW w:type="dxa" w:w="4154"/>
          </w:tcPr>
          <w:p>
            <w:r>
              <w:rPr>
                <w:b/>
              </w:rPr>
              <w:t>UX</w:t>
            </w:r>
          </w:p>
        </w:tc>
        <w:tc>
          <w:tcPr>
            <w:tcW w:type="dxa" w:w="4154"/>
          </w:tcPr>
          <w:p>
            <w:r>
              <w:t>User Experience</w:t>
            </w:r>
          </w:p>
        </w:tc>
      </w:tr>
      <w:tr>
        <w:tc>
          <w:tcPr>
            <w:tcW w:type="dxa" w:w="4154"/>
          </w:tcPr>
          <w:p>
            <w:r>
              <w:rPr>
                <w:b/>
              </w:rPr>
              <w:t>VAD</w:t>
            </w:r>
          </w:p>
        </w:tc>
        <w:tc>
          <w:tcPr>
            <w:tcW w:type="dxa" w:w="4154"/>
          </w:tcPr>
          <w:p>
            <w:r>
              <w:t>Valence-Arousal-Dominance</w:t>
            </w:r>
          </w:p>
        </w:tc>
      </w:tr>
      <w:tr>
        <w:tc>
          <w:tcPr>
            <w:tcW w:type="dxa" w:w="4154"/>
          </w:tcPr>
          <w:p>
            <w:r>
              <w:rPr>
                <w:b/>
              </w:rPr>
              <w:t>WebGL</w:t>
            </w:r>
          </w:p>
        </w:tc>
        <w:tc>
          <w:tcPr>
            <w:tcW w:type="dxa" w:w="4154"/>
          </w:tcPr>
          <w:p>
            <w:r>
              <w:t>Web Graphics Library</w:t>
            </w:r>
          </w:p>
        </w:tc>
      </w:tr>
      <w:tr>
        <w:tc>
          <w:tcPr>
            <w:tcW w:type="dxa" w:w="4154"/>
          </w:tcPr>
          <w:p>
            <w:r>
              <w:rPr>
                <w:b/>
              </w:rPr>
              <w:t>WHO</w:t>
            </w:r>
          </w:p>
        </w:tc>
        <w:tc>
          <w:tcPr>
            <w:tcW w:type="dxa" w:w="4154"/>
          </w:tcPr>
          <w:p>
            <w:r>
              <w:t>World Health Organization</w:t>
            </w:r>
          </w:p>
        </w:tc>
      </w:tr>
    </w:tbl>
    <w:p>
      <w:pPr>
        <w:spacing w:line="360" w:lineRule="auto" w:after="120" w:before="200"/>
        <w:jc w:val="center"/>
      </w:pPr>
      <w:r>
        <w:rPr>
          <w:rFonts w:ascii="Times New Roman" w:hAnsi="Times New Roman"/>
          <w:b w:val="0"/>
          <w:i/>
          <w:sz w:val="20"/>
        </w:rPr>
        <w:t>Note: All the abbreviations follow strict alphabetical order.</w:t>
      </w:r>
    </w:p>
    <w:p>
      <w:r>
        <w:br w:type="page"/>
      </w:r>
    </w:p>
    <w:p>
      <w:pPr>
        <w:spacing w:before="240" w:after="360"/>
        <w:jc w:val="center"/>
      </w:pPr>
      <w:r>
        <w:rPr>
          <w:rFonts w:ascii="Times New Roman" w:hAnsi="Times New Roman"/>
          <w:b/>
          <w:sz w:val="32"/>
        </w:rPr>
        <w:t>SYMBOLS AND NOTATIONS</w:t>
      </w:r>
    </w:p>
    <w:tbl>
      <w:tblPr>
        <w:tblW w:type="auto" w:w="0"/>
        <w:jc w:val="center"/>
        <w:tblLook w:firstColumn="1" w:firstRow="1" w:lastColumn="0" w:lastRow="0" w:noHBand="0" w:noVBand="1" w:val="04A0"/>
        <w:tblBorders>
          <w:top w:val="single" w:sz="6" w:space="0" w:color="333333"/>
          <w:bottom w:val="single" w:sz="6" w:space="0" w:color="333333"/>
          <w:insideH w:val="single" w:sz="4" w:space="0" w:color="666666"/>
          <w:insideV w:val="single" w:sz="4" w:space="0" w:color="666666"/>
          <w:left w:val="single" w:sz="6" w:space="0" w:color="333333"/>
          <w:right w:val="single" w:sz="6" w:space="0" w:color="333333"/>
        </w:tblBorders>
      </w:tblPr>
      <w:tblGrid>
        <w:gridCol w:w="4154"/>
        <w:gridCol w:w="4154"/>
      </w:tblGrid>
      <w:tr>
        <w:tc>
          <w:tcPr>
            <w:tcW w:type="dxa" w:w="4154"/>
          </w:tcPr>
          <w:p>
            <w:r>
              <w:rPr>
                <w:b/>
              </w:rPr>
              <w:t>Symbol</w:t>
            </w:r>
          </w:p>
        </w:tc>
        <w:tc>
          <w:tcPr>
            <w:tcW w:type="dxa" w:w="4154"/>
          </w:tcPr>
          <w:p>
            <w:r>
              <w:rPr>
                <w:b/>
              </w:rPr>
              <w:t>Definition / Mathematical Context</w:t>
            </w:r>
          </w:p>
        </w:tc>
      </w:tr>
      <w:tr>
        <w:tc>
          <w:tcPr>
            <w:tcW w:type="dxa" w:w="4154"/>
          </w:tcPr>
          <w:p>
            <w:r>
              <w:rPr>
                <w:b/>
              </w:rPr>
              <w:t>B</w:t>
            </w:r>
          </w:p>
        </w:tc>
        <w:tc>
          <w:tcPr>
            <w:tcW w:type="dxa" w:w="4154"/>
          </w:tcPr>
          <w:p>
            <w:r>
              <w:t>Number of bootstrap ensemble estimators (trees in forest; default = 100)</w:t>
            </w:r>
          </w:p>
        </w:tc>
      </w:tr>
      <w:tr>
        <w:tc>
          <w:tcPr>
            <w:tcW w:type="dxa" w:w="4154"/>
          </w:tcPr>
          <w:p>
            <w:r>
              <w:rPr>
                <w:b/>
              </w:rPr>
              <w:t>y_i</w:t>
            </w:r>
          </w:p>
        </w:tc>
        <w:tc>
          <w:tcPr>
            <w:tcW w:type="dxa" w:w="4154"/>
          </w:tcPr>
          <w:p>
            <w:r>
              <w:t>Ground truth academic marks for student i in [0, 100]</w:t>
            </w:r>
          </w:p>
        </w:tc>
      </w:tr>
      <w:tr>
        <w:tc>
          <w:tcPr>
            <w:tcW w:type="dxa" w:w="4154"/>
          </w:tcPr>
          <w:p>
            <w:r>
              <w:rPr>
                <w:b/>
              </w:rPr>
              <w:t>ŷ_i</w:t>
            </w:r>
          </w:p>
        </w:tc>
        <w:tc>
          <w:tcPr>
            <w:tcW w:type="dxa" w:w="4154"/>
          </w:tcPr>
          <w:p>
            <w:r>
              <w:t>Aggregated predictive marks computed across ensemble estimators</w:t>
            </w:r>
          </w:p>
        </w:tc>
      </w:tr>
      <w:tr>
        <w:tc>
          <w:tcPr>
            <w:tcW w:type="dxa" w:w="4154"/>
          </w:tcPr>
          <w:p>
            <w:r>
              <w:rPr>
                <w:b/>
              </w:rPr>
              <w:t>T_b(x)</w:t>
            </w:r>
          </w:p>
        </w:tc>
        <w:tc>
          <w:tcPr>
            <w:tcW w:type="dxa" w:w="4154"/>
          </w:tcPr>
          <w:p>
            <w:r>
              <w:t>Individual decision regression tree trained on bootstrap sample b</w:t>
            </w:r>
          </w:p>
        </w:tc>
      </w:tr>
      <w:tr>
        <w:tc>
          <w:tcPr>
            <w:tcW w:type="dxa" w:w="4154"/>
          </w:tcPr>
          <w:p>
            <w:r>
              <w:rPr>
                <w:b/>
              </w:rPr>
              <w:t>R²</w:t>
            </w:r>
          </w:p>
        </w:tc>
        <w:tc>
          <w:tcPr>
            <w:tcW w:type="dxa" w:w="4154"/>
          </w:tcPr>
          <w:p>
            <w:r>
              <w:t>Coefficient of determination quantifying proportion of variance explained</w:t>
            </w:r>
          </w:p>
        </w:tc>
      </w:tr>
      <w:tr>
        <w:tc>
          <w:tcPr>
            <w:tcW w:type="dxa" w:w="4154"/>
          </w:tcPr>
          <w:p>
            <w:r>
              <w:rPr>
                <w:b/>
              </w:rPr>
              <w:t>L_MAE</w:t>
            </w:r>
          </w:p>
        </w:tc>
        <w:tc>
          <w:tcPr>
            <w:tcW w:type="dxa" w:w="4154"/>
          </w:tcPr>
          <w:p>
            <w:r>
              <w:t>Mean Absolute Error loss metric across N cohort instances</w:t>
            </w:r>
          </w:p>
        </w:tc>
      </w:tr>
      <w:tr>
        <w:tc>
          <w:tcPr>
            <w:tcW w:type="dxa" w:w="4154"/>
          </w:tcPr>
          <w:p>
            <w:r>
              <w:rPr>
                <w:b/>
              </w:rPr>
              <w:t>L_RMSE</w:t>
            </w:r>
          </w:p>
        </w:tc>
        <w:tc>
          <w:tcPr>
            <w:tcW w:type="dxa" w:w="4154"/>
          </w:tcPr>
          <w:p>
            <w:r>
              <w:t>Root Mean Squared Error penalizing larger deviation variances</w:t>
            </w:r>
          </w:p>
        </w:tc>
      </w:tr>
      <w:tr>
        <w:tc>
          <w:tcPr>
            <w:tcW w:type="dxa" w:w="4154"/>
          </w:tcPr>
          <w:p>
            <w:r>
              <w:rPr>
                <w:b/>
              </w:rPr>
              <w:t>H</w:t>
            </w:r>
          </w:p>
        </w:tc>
        <w:tc>
          <w:tcPr>
            <w:tcW w:type="dxa" w:w="4154"/>
          </w:tcPr>
          <w:p>
            <w:r>
              <w:t>Weekly dedicated self-study allocation (hours/week)</w:t>
            </w:r>
          </w:p>
        </w:tc>
      </w:tr>
      <w:tr>
        <w:tc>
          <w:tcPr>
            <w:tcW w:type="dxa" w:w="4154"/>
          </w:tcPr>
          <w:p>
            <w:r>
              <w:rPr>
                <w:b/>
              </w:rPr>
              <w:t>S</w:t>
            </w:r>
          </w:p>
        </w:tc>
        <w:tc>
          <w:tcPr>
            <w:tcW w:type="dxa" w:w="4154"/>
          </w:tcPr>
          <w:p>
            <w:r>
              <w:t>Reported nocturnal sleep duration (hours/night)</w:t>
            </w:r>
          </w:p>
        </w:tc>
      </w:tr>
      <w:tr>
        <w:tc>
          <w:tcPr>
            <w:tcW w:type="dxa" w:w="4154"/>
          </w:tcPr>
          <w:p>
            <w:r>
              <w:rPr>
                <w:b/>
              </w:rPr>
              <w:t>Ψ</w:t>
            </w:r>
          </w:p>
        </w:tc>
        <w:tc>
          <w:tcPr>
            <w:tcW w:type="dxa" w:w="4154"/>
          </w:tcPr>
          <w:p>
            <w:r>
              <w:t>Subjective academic and psychological stress index in [1, 10]</w:t>
            </w:r>
          </w:p>
        </w:tc>
      </w:tr>
      <w:tr>
        <w:tc>
          <w:tcPr>
            <w:tcW w:type="dxa" w:w="4154"/>
          </w:tcPr>
          <w:p>
            <w:r>
              <w:rPr>
                <w:b/>
              </w:rPr>
              <w:t>A</w:t>
            </w:r>
          </w:p>
        </w:tc>
        <w:tc>
          <w:tcPr>
            <w:tcW w:type="dxa" w:w="4154"/>
          </w:tcPr>
          <w:p>
            <w:r>
              <w:t>Aggregate institutional attendance percentage in [0, 100]</w:t>
            </w:r>
          </w:p>
        </w:tc>
      </w:tr>
      <w:tr>
        <w:tc>
          <w:tcPr>
            <w:tcW w:type="dxa" w:w="4154"/>
          </w:tcPr>
          <w:p>
            <w:r>
              <w:rPr>
                <w:b/>
              </w:rPr>
              <w:t>Δ_x</w:t>
            </w:r>
          </w:p>
        </w:tc>
        <w:tc>
          <w:tcPr>
            <w:tcW w:type="dxa" w:w="4154"/>
          </w:tcPr>
          <w:p>
            <w:r>
              <w:t>Counterfactual slider perturbation vector applied during simulation</w:t>
            </w:r>
          </w:p>
        </w:tc>
      </w:tr>
      <w:tr>
        <w:tc>
          <w:tcPr>
            <w:tcW w:type="dxa" w:w="4154"/>
          </w:tcPr>
          <w:p>
            <w:r>
              <w:rPr>
                <w:b/>
              </w:rPr>
              <w:t>f_0</w:t>
            </w:r>
          </w:p>
        </w:tc>
        <w:tc>
          <w:tcPr>
            <w:tcW w:type="dxa" w:w="4154"/>
          </w:tcPr>
          <w:p>
            <w:r>
              <w:t>Acoustic fundamental frequency (432.0 Hz harmonic reference)</w:t>
            </w:r>
          </w:p>
        </w:tc>
      </w:tr>
      <w:tr>
        <w:tc>
          <w:tcPr>
            <w:tcW w:type="dxa" w:w="4154"/>
          </w:tcPr>
          <w:p>
            <w:r>
              <w:rPr>
                <w:b/>
              </w:rPr>
              <w:t>I_G(p)</w:t>
            </w:r>
          </w:p>
        </w:tc>
        <w:tc>
          <w:tcPr>
            <w:tcW w:type="dxa" w:w="4154"/>
          </w:tcPr>
          <w:p>
            <w:r>
              <w:t>Gini impurity metric utilized for optimal node splitting</w:t>
            </w:r>
          </w:p>
        </w:tc>
      </w:tr>
      <w:tr>
        <w:tc>
          <w:tcPr>
            <w:tcW w:type="dxa" w:w="4154"/>
          </w:tcPr>
          <w:p>
            <w:r>
              <w:rPr>
                <w:b/>
              </w:rPr>
              <w:t>σ²</w:t>
            </w:r>
          </w:p>
        </w:tc>
        <w:tc>
          <w:tcPr>
            <w:tcW w:type="dxa" w:w="4154"/>
          </w:tcPr>
          <w:p>
            <w:r>
              <w:t>Variance across individual ensemble estimator predictions</w:t>
            </w:r>
          </w:p>
        </w:tc>
      </w:tr>
      <w:tr>
        <w:tc>
          <w:tcPr>
            <w:tcW w:type="dxa" w:w="4154"/>
          </w:tcPr>
          <w:p>
            <w:r>
              <w:rPr>
                <w:b/>
              </w:rPr>
              <w:t>θ_k</w:t>
            </w:r>
          </w:p>
        </w:tc>
        <w:tc>
          <w:tcPr>
            <w:tcW w:type="dxa" w:w="4154"/>
          </w:tcPr>
          <w:p>
            <w:r>
              <w:t>Parameter split vector at internal tree node k</w:t>
            </w:r>
          </w:p>
        </w:tc>
      </w:tr>
    </w:tbl>
    <w:p>
      <w:r>
        <w:br w:type="page"/>
      </w:r>
    </w:p>
    <w:p>
      <w:pPr>
        <w:spacing w:before="240" w:after="360"/>
        <w:jc w:val="center"/>
      </w:pPr>
      <w:r>
        <w:rPr>
          <w:rFonts w:ascii="Times New Roman" w:hAnsi="Times New Roman"/>
          <w:b/>
          <w:sz w:val="32"/>
        </w:rPr>
        <w:t>CHAPTER 1</w:t>
        <w:br/>
        <w:t>INTRODUCTION</w:t>
      </w:r>
    </w:p>
    <w:p>
      <w:pPr>
        <w:spacing w:before="280" w:after="120"/>
        <w:jc w:val="left"/>
      </w:pPr>
      <w:r>
        <w:rPr>
          <w:rFonts w:ascii="Times New Roman" w:hAnsi="Times New Roman"/>
          <w:b/>
          <w:sz w:val="28"/>
        </w:rPr>
        <w:t>1.1 BACKGROUND</w:t>
      </w:r>
    </w:p>
    <w:p>
      <w:pPr>
        <w:spacing w:line="360" w:lineRule="auto" w:after="120" w:before="0"/>
        <w:jc w:val="both"/>
      </w:pPr>
      <w:r>
        <w:rPr>
          <w:rFonts w:ascii="Times New Roman" w:hAnsi="Times New Roman"/>
          <w:b w:val="0"/>
          <w:i w:val="0"/>
          <w:sz w:val="24"/>
        </w:rPr>
        <w:t>Higher educational institutions worldwide operate within an increasingly complex socioeconomic matrix characterized by high academic expectations, rigorous continuous assessment regimens, and heightened psychological stress among undergraduate and postgraduate cohorts (Kumar et al., 2023). Academic success, traditionally quantified solely through summative metrics such as mid-term marks and cumulative grade point averages (CGPA), is fundamentally a lagging indicator. By the time semester examinations reveal an underperforming or failing student trajectory, institutional stakeholders have missed the critical window of preventive intervention.</w:t>
      </w:r>
    </w:p>
    <w:p>
      <w:pPr>
        <w:spacing w:line="360" w:lineRule="auto" w:after="120" w:before="0"/>
        <w:jc w:val="both"/>
      </w:pPr>
      <w:r>
        <w:rPr>
          <w:rFonts w:ascii="Times New Roman" w:hAnsi="Times New Roman"/>
          <w:b w:val="0"/>
          <w:i w:val="0"/>
          <w:sz w:val="24"/>
        </w:rPr>
        <w:t>Recent empirical inquiries in higher education psychology highlight that academic degradation does not manifest spontaneously (Nisbet et al., 2024). Rather, it represents the cumulative terminal state of a deteriorating cognitive and physiological trajectory—frequently initiated weeks prior by severe sleep deprivation, dysregulated study allocation, cognitive overload, and unattended acute anxiety. Despite the widespread adoption of modern Learning Management Systems (LMS) and institutional Enterprise Resource Planning (ERP) frameworks, the vast majority of deployed academic analytics solutions remain rigidly retrospective, serving as archival repositories rather than dynamic, forward-looking diagnostic instruments.</w:t>
      </w:r>
    </w:p>
    <w:p>
      <w:pPr>
        <w:spacing w:line="360" w:lineRule="auto" w:after="120" w:before="0"/>
        <w:jc w:val="both"/>
      </w:pPr>
      <w:r>
        <w:rPr>
          <w:rFonts w:ascii="Times New Roman" w:hAnsi="Times New Roman"/>
          <w:b w:val="0"/>
          <w:i w:val="0"/>
          <w:sz w:val="24"/>
        </w:rPr>
        <w:t>Within technical engineering curricula, the cognitive load imposed by concurrent coursework, programming laboratory assignments, project-based evaluations, and preparation for campus placements creates unique stressors. Students often enter cycles of sleep restriction during continuous internal assessments, resulting in diminished executive function, impaired memory consolidation, and heightened test anxiety. A computational paradigm capable of continuously monitoring this delicate equilibrium between cognitive load, sleep hygiene, and scholastic achievement is therefore an urgent systemic necessity.</w:t>
      </w:r>
    </w:p>
    <w:p>
      <w:pPr>
        <w:spacing w:before="200" w:after="80"/>
        <w:jc w:val="left"/>
      </w:pPr>
      <w:r>
        <w:rPr>
          <w:rFonts w:ascii="Times New Roman" w:hAnsi="Times New Roman"/>
          <w:b/>
          <w:sz w:val="24"/>
        </w:rPr>
        <w:t>1.1.1 Evolution of Educational Data Mining and Learning Analytics</w:t>
      </w:r>
    </w:p>
    <w:p>
      <w:pPr>
        <w:spacing w:line="360" w:lineRule="auto" w:after="120" w:before="0"/>
        <w:jc w:val="both"/>
      </w:pPr>
      <w:r>
        <w:rPr>
          <w:rFonts w:ascii="Times New Roman" w:hAnsi="Times New Roman"/>
          <w:b w:val="0"/>
          <w:i w:val="0"/>
          <w:sz w:val="24"/>
        </w:rPr>
        <w:t>The discipline of Educational Data Mining (EDM) emerged over the preceding two decades to extract latent patterns from educational databases, ranging from clickstream logs on virtual learning environments to historical transcript archives (Salih et al., 2021). Early EDM methodologies predominantly leveraged standard statistical regression, k-means clustering, and association rule mining to categorize historical student cohorts into broad performance quartiles.</w:t>
      </w:r>
    </w:p>
    <w:p>
      <w:pPr>
        <w:spacing w:line="360" w:lineRule="auto" w:after="120" w:before="0"/>
        <w:jc w:val="both"/>
      </w:pPr>
      <w:r>
        <w:rPr>
          <w:rFonts w:ascii="Times New Roman" w:hAnsi="Times New Roman"/>
          <w:b w:val="0"/>
          <w:i w:val="0"/>
          <w:sz w:val="24"/>
        </w:rPr>
        <w:t>While foundational, these early architectures suffered from significant structural limitations: they were offline, batch-processed, and detached from the day-to-day lived realities of the student. Institutional reports were typically generated at the conclusion of an academic semester, serving administrative auditing needs rather than supporting individual student growth. Second-generation Learning Analytics (LA) systems integrated predictive classifiers (such as Support Vector Machines and Gradient Boosted Decision Trees) to generate early warning signals for academic advisors.</w:t>
      </w:r>
    </w:p>
    <w:p>
      <w:pPr>
        <w:spacing w:line="360" w:lineRule="auto" w:after="120" w:before="0"/>
        <w:jc w:val="both"/>
      </w:pPr>
      <w:r>
        <w:rPr>
          <w:rFonts w:ascii="Times New Roman" w:hAnsi="Times New Roman"/>
          <w:b w:val="0"/>
          <w:i w:val="0"/>
          <w:sz w:val="24"/>
        </w:rPr>
        <w:t>Nevertheless, these early warning systems frequently generated high false-positive rates and, crucially, failed to provide actionable, counterfactual guidance to students themselves. When an algorithm labels a student as 'At-Risk' without explaining the underlying causes or demonstrating how lifestyle adjustments can alter that outcome, it frequently induces panic, learned helplessness, and disengagement—a phenomenon known in educational research as the 'surveillance penalty.'</w:t>
      </w:r>
    </w:p>
    <w:p>
      <w:pPr>
        <w:spacing w:before="200" w:after="80"/>
        <w:jc w:val="left"/>
      </w:pPr>
      <w:r>
        <w:rPr>
          <w:rFonts w:ascii="Times New Roman" w:hAnsi="Times New Roman"/>
          <w:b/>
          <w:sz w:val="24"/>
        </w:rPr>
        <w:t>1.1.2 The Paradigm Shift: From Retrospective Audits to Predictive Digital Twins</w:t>
      </w:r>
    </w:p>
    <w:p>
      <w:pPr>
        <w:spacing w:line="360" w:lineRule="auto" w:after="120" w:before="0"/>
        <w:jc w:val="both"/>
      </w:pPr>
      <w:r>
        <w:rPr>
          <w:rFonts w:ascii="Times New Roman" w:hAnsi="Times New Roman"/>
          <w:b w:val="0"/>
          <w:i w:val="0"/>
          <w:sz w:val="24"/>
        </w:rPr>
        <w:t>In advanced industrial cyber-physical engineering, the concept of the Digital Twin has revolutionized operational lifecycle management. A digital twin is defined as a high-fidelity virtual computational replica of a physical entity, continuously synchronized with its real-world counterpart through live sensor telemetry and mathematical modeling (Apruzzese et al., 2023). By running forward-looking simulations on the twin, systems engineers can anticipate mechanical failures, conduct counterfactual stress tests, and optimize operational parameters without risking the physical asset.</w:t>
      </w:r>
    </w:p>
    <w:p>
      <w:pPr>
        <w:spacing w:line="360" w:lineRule="auto" w:after="120" w:before="0"/>
        <w:jc w:val="both"/>
      </w:pPr>
      <w:r>
        <w:rPr>
          <w:rFonts w:ascii="Times New Roman" w:hAnsi="Times New Roman"/>
          <w:b w:val="0"/>
          <w:i w:val="0"/>
          <w:sz w:val="24"/>
        </w:rPr>
        <w:t>Transposing this paradigm to higher education unlocks a transformative breakthrough: the Cognitive Digital Student Twin. Instead of treating the student as a static row in an institutional relational database, the digital twin framework instantiates an adaptive virtual proxy for each learner. This proxy continuously synthesizes behavioral telemetry (e.g., self-directed study allocation, lecture attendance, assignment completion velocity) with physiological and psychological self-reports (such as nocturnal sleep duration, stress self-assessments, and subjective well-being).</w:t>
      </w:r>
    </w:p>
    <w:p>
      <w:pPr>
        <w:spacing w:line="360" w:lineRule="auto" w:after="120" w:before="0"/>
        <w:jc w:val="both"/>
      </w:pPr>
      <w:r>
        <w:rPr>
          <w:rFonts w:ascii="Times New Roman" w:hAnsi="Times New Roman"/>
          <w:b w:val="0"/>
          <w:i w:val="0"/>
          <w:sz w:val="24"/>
        </w:rPr>
        <w:t>Equipped with machine learning inference engines and generative reasoning agents, the Cognitive Student Twin does not merely sound an alarm—it simulates hypothetical future states ('What if the student increases study allocation by 4 hours weekly while maintaining 7.5 hours of sleep?') and actively engages the student with empathetic, restorative interventions to stabilize performance. The digital twin thus becomes a mirror and a mentor, shifting the locus of control from external administrative scrutiny to internal self-regulation and personal agency.</w:t>
      </w:r>
    </w:p>
    <w:p>
      <w:pPr>
        <w:spacing w:before="280" w:after="120"/>
        <w:jc w:val="left"/>
      </w:pPr>
      <w:r>
        <w:rPr>
          <w:rFonts w:ascii="Times New Roman" w:hAnsi="Times New Roman"/>
          <w:b/>
          <w:sz w:val="28"/>
        </w:rPr>
        <w:t>1.2 MOTIVATION</w:t>
      </w:r>
    </w:p>
    <w:p>
      <w:pPr>
        <w:spacing w:line="360" w:lineRule="auto" w:after="120" w:before="0"/>
        <w:jc w:val="both"/>
      </w:pPr>
      <w:r>
        <w:rPr>
          <w:rFonts w:ascii="Times New Roman" w:hAnsi="Times New Roman"/>
          <w:b w:val="0"/>
          <w:i w:val="0"/>
          <w:sz w:val="24"/>
        </w:rPr>
        <w:t>The motivation driving this research originates from critical pedagogical, psychological, and institutional imperatives observed across technical universities globally, and specifically within engineering education frameworks:</w:t>
      </w:r>
    </w:p>
    <w:p>
      <w:pPr>
        <w:spacing w:line="360" w:lineRule="auto" w:after="120" w:before="0"/>
        <w:jc w:val="both"/>
      </w:pPr>
      <w:r>
        <w:rPr>
          <w:rFonts w:ascii="Times New Roman" w:hAnsi="Times New Roman"/>
          <w:b w:val="0"/>
          <w:i w:val="0"/>
          <w:sz w:val="24"/>
        </w:rPr>
        <w:t>• Surveillance vs. Agency Paradox: Existing academic monitoring portals function as punitive oversight dashboards for faculty administrators, cultivating anxiety and disengagement among struggling students. There is an urgent imperative to democratize predictive intelligence directly to students, transforming analytics from an instrument of external surveillance into a personal tool for self-determination and behavioral self-regulation.</w:t>
      </w:r>
    </w:p>
    <w:p>
      <w:pPr>
        <w:spacing w:line="360" w:lineRule="auto" w:after="120" w:before="0"/>
        <w:jc w:val="both"/>
      </w:pPr>
      <w:r>
        <w:rPr>
          <w:rFonts w:ascii="Times New Roman" w:hAnsi="Times New Roman"/>
          <w:b w:val="0"/>
          <w:i w:val="0"/>
          <w:sz w:val="24"/>
        </w:rPr>
        <w:t>• The Mental Health and Sleep Crisis: World Health Organization (WHO) and higher education mental health surveys indicate that over 60% of technical undergraduates experience chronic sleep deficiency (&lt;6 hours nightly) and acute academic distress during continuous assessment cycles. Conventional advising platforms are blind to these variables, treating academic outcomes as purely isolated cognitive outputs and ignoring the physiological foundation of learning.</w:t>
      </w:r>
    </w:p>
    <w:p>
      <w:pPr>
        <w:spacing w:line="360" w:lineRule="auto" w:after="120" w:before="0"/>
        <w:jc w:val="both"/>
      </w:pPr>
      <w:r>
        <w:rPr>
          <w:rFonts w:ascii="Times New Roman" w:hAnsi="Times New Roman"/>
          <w:b w:val="0"/>
          <w:i w:val="0"/>
          <w:sz w:val="24"/>
        </w:rPr>
        <w:t>• Scalability Bottlenecks in Human Advising: Faculty advisor-to-student ratios in large universities frequently exceed 1:60 or 1:100. Consequently, personal mentorship is often confined to brief, crisis-driven encounters after disastrous mid-term evaluations. An automated, real-time computational twin can deliver continuous, hyper-personalized pastoral guidance at zero marginal cost, augmenting human mentorship rather than replacing it.</w:t>
      </w:r>
    </w:p>
    <w:p>
      <w:pPr>
        <w:spacing w:line="360" w:lineRule="auto" w:after="120" w:before="0"/>
        <w:jc w:val="both"/>
      </w:pPr>
      <w:r>
        <w:rPr>
          <w:rFonts w:ascii="Times New Roman" w:hAnsi="Times New Roman"/>
          <w:b w:val="0"/>
          <w:i w:val="0"/>
          <w:sz w:val="24"/>
        </w:rPr>
        <w:t>• Advent of Cognitive Generative AI: The emergence of reasoning-enhanced Large Language Models (LLMs) featuring cognitive thinking budgets (such as Google Gemini 2.0 Flash Thinking) provides unprecedented opportunities to deliver compassionate, dialectical guidance rather than robotic, templated boilerplate messages. When combined with deterministic low-latency fallbacks, this provides a human-like conversational experience accessible 24/7.</w:t>
      </w:r>
    </w:p>
    <w:p>
      <w:pPr>
        <w:spacing w:before="280" w:after="120"/>
        <w:jc w:val="left"/>
      </w:pPr>
      <w:r>
        <w:rPr>
          <w:rFonts w:ascii="Times New Roman" w:hAnsi="Times New Roman"/>
          <w:b/>
          <w:sz w:val="28"/>
        </w:rPr>
        <w:t>1.3 SCOPE OF THE PROJECT</w:t>
      </w:r>
    </w:p>
    <w:p>
      <w:pPr>
        <w:spacing w:line="360" w:lineRule="auto" w:after="120" w:before="0"/>
        <w:jc w:val="both"/>
      </w:pPr>
      <w:r>
        <w:rPr>
          <w:rFonts w:ascii="Times New Roman" w:hAnsi="Times New Roman"/>
          <w:b w:val="0"/>
          <w:i w:val="0"/>
          <w:sz w:val="24"/>
        </w:rPr>
        <w:t>The defined boundaries and operational envelope of the ALT Digital Student Twin architecture encompass:</w:t>
      </w:r>
    </w:p>
    <w:p>
      <w:pPr>
        <w:spacing w:line="360" w:lineRule="auto" w:after="120" w:before="0"/>
        <w:jc w:val="both"/>
      </w:pPr>
      <w:r>
        <w:rPr>
          <w:rFonts w:ascii="Times New Roman" w:hAnsi="Times New Roman"/>
          <w:b w:val="0"/>
          <w:i w:val="0"/>
          <w:sz w:val="24"/>
        </w:rPr>
        <w:t>Scope Inclusions:</w:t>
        <w:br/>
        <w:t>1. Development of a calibrated synthetic dataset comprising 600 heterogeneous engineering students capturing 12 distinct academic, behavioral, and psychological telemetry dimensions.</w:t>
        <w:br/>
        <w:t>2. Training, hyperparameter optimization, and statistical validation of an ensemble Random Forest Regressor to forecast projected end-semester performance metrics with sub-3 mark Mean Absolute Error.</w:t>
        <w:br/>
        <w:t>3. Construction of an interactive, client-side counterfactual 'What-If' simulation studio executing dynamic multi-slider telemetry perturbations with instantaneous gauge rendering (&lt;15 ms).</w:t>
        <w:br/>
        <w:t>4. Implementation of a multi-tiered conversational copilot combining the Google Gemini Thinking AI API with a zero-latency local heuristic engine maintaining sub-50ms conversational turnaround.</w:t>
        <w:br/>
        <w:t>5. Engineering of an isochronic 432 Hz neuro-acoustic calming sound generator utilizing the Web Audio API to deliver real-time stress relief upon risk threshold detection.</w:t>
        <w:br/>
        <w:t>6. Execution of full Role-Based Access Control (RBAC) supporting distinct administrative/educator cohort oversight and student self-service views within a responsive Single Page Application.</w:t>
      </w:r>
    </w:p>
    <w:p>
      <w:pPr>
        <w:spacing w:line="360" w:lineRule="auto" w:after="120" w:before="0"/>
        <w:jc w:val="both"/>
      </w:pPr>
      <w:r>
        <w:rPr>
          <w:rFonts w:ascii="Times New Roman" w:hAnsi="Times New Roman"/>
          <w:b w:val="0"/>
          <w:i w:val="0"/>
          <w:sz w:val="24"/>
        </w:rPr>
        <w:t>Scope Exclusions &amp; Limitations:</w:t>
        <w:br/>
        <w:t>1. Invasive hardware biometric monitoring (e.g., continuous clinical EEG electrodes or mandatory optical eye-tracking) is excluded to preserve student bodily autonomy and data privacy; telemetry relies on authenticated self-reports and LMS interaction records.</w:t>
        <w:br/>
        <w:t>2. The system does not replace certified professional psychological counseling or clinical psychiatry; high-risk acute psychological triggers are routed to institutional counseling hotlines.</w:t>
        <w:br/>
        <w:t>3. The current deployment targets engineering undergraduate cohorts and is calibrated for technical continuous assessment structures.</w:t>
      </w:r>
    </w:p>
    <w:p>
      <w:r>
        <w:br w:type="page"/>
      </w:r>
    </w:p>
    <w:p>
      <w:pPr>
        <w:spacing w:before="240" w:after="360"/>
        <w:jc w:val="center"/>
      </w:pPr>
      <w:r>
        <w:rPr>
          <w:rFonts w:ascii="Times New Roman" w:hAnsi="Times New Roman"/>
          <w:b/>
          <w:sz w:val="32"/>
        </w:rPr>
        <w:t>CHAPTER 2</w:t>
        <w:br/>
        <w:t>PROJECT DESCRIPTION AND GOALS</w:t>
      </w:r>
    </w:p>
    <w:p>
      <w:pPr>
        <w:spacing w:before="280" w:after="120"/>
        <w:jc w:val="left"/>
      </w:pPr>
      <w:r>
        <w:rPr>
          <w:rFonts w:ascii="Times New Roman" w:hAnsi="Times New Roman"/>
          <w:b/>
          <w:sz w:val="28"/>
        </w:rPr>
        <w:t>2.1 LITERATURE REVIEW</w:t>
      </w:r>
    </w:p>
    <w:p>
      <w:pPr>
        <w:spacing w:line="360" w:lineRule="auto" w:after="120" w:before="0"/>
        <w:jc w:val="both"/>
      </w:pPr>
      <w:r>
        <w:rPr>
          <w:rFonts w:ascii="Times New Roman" w:hAnsi="Times New Roman"/>
          <w:b w:val="0"/>
          <w:i w:val="0"/>
          <w:sz w:val="24"/>
        </w:rPr>
        <w:t>A rigorous review of contemporary peer-reviewed scholarship was conducted across the intersections of educational data mining, digital twin engineering, multimodal physiological tracking, and generative conversational agents. Table 2.1 provides an exhaustive comparative synthesis of benchmark studies published between 2021 and 2025.</w:t>
      </w:r>
    </w:p>
    <w:p>
      <w:pPr>
        <w:spacing w:before="240" w:after="80"/>
        <w:jc w:val="center"/>
      </w:pPr>
      <w:r>
        <w:rPr>
          <w:rFonts w:ascii="Times New Roman" w:hAnsi="Times New Roman"/>
          <w:b/>
          <w:sz w:val="20"/>
        </w:rPr>
        <w:t>Table 2.1: Comparative Analysis of State-of-the-Art Student Analytics &amp; Digital Twin Frameworks</w:t>
      </w:r>
    </w:p>
    <w:tbl>
      <w:tblPr>
        <w:tblW w:type="auto" w:w="0"/>
        <w:jc w:val="center"/>
        <w:tblLook w:firstColumn="1" w:firstRow="1" w:lastColumn="0" w:lastRow="0" w:noHBand="0" w:noVBand="1" w:val="04A0"/>
        <w:tblBorders>
          <w:top w:val="single" w:sz="6" w:space="0" w:color="333333"/>
          <w:bottom w:val="single" w:sz="6" w:space="0" w:color="333333"/>
          <w:insideH w:val="single" w:sz="4" w:space="0" w:color="666666"/>
          <w:insideV w:val="single" w:sz="4" w:space="0" w:color="666666"/>
          <w:left w:val="single" w:sz="6" w:space="0" w:color="333333"/>
          <w:right w:val="single" w:sz="6" w:space="0" w:color="333333"/>
        </w:tblBorders>
      </w:tblPr>
      <w:tblGrid>
        <w:gridCol w:w="2077"/>
        <w:gridCol w:w="2077"/>
        <w:gridCol w:w="2077"/>
        <w:gridCol w:w="2077"/>
      </w:tblGrid>
      <w:tr>
        <w:tc>
          <w:tcPr>
            <w:tcW w:type="dxa" w:w="2077"/>
            <w:shd w:fill="F1F5F9"/>
          </w:tcPr>
          <w:p>
            <w:r>
              <w:rPr>
                <w:b/>
              </w:rPr>
              <w:t>Author &amp; Year</w:t>
            </w:r>
          </w:p>
        </w:tc>
        <w:tc>
          <w:tcPr>
            <w:tcW w:type="dxa" w:w="2077"/>
            <w:shd w:fill="F1F5F9"/>
          </w:tcPr>
          <w:p>
            <w:r>
              <w:rPr>
                <w:b/>
              </w:rPr>
              <w:t>Methodology / Model</w:t>
            </w:r>
          </w:p>
        </w:tc>
        <w:tc>
          <w:tcPr>
            <w:tcW w:type="dxa" w:w="2077"/>
            <w:shd w:fill="F1F5F9"/>
          </w:tcPr>
          <w:p>
            <w:r>
              <w:rPr>
                <w:b/>
              </w:rPr>
              <w:t>Key Findings &amp; Strengths</w:t>
            </w:r>
          </w:p>
        </w:tc>
        <w:tc>
          <w:tcPr>
            <w:tcW w:type="dxa" w:w="2077"/>
            <w:shd w:fill="F1F5F9"/>
          </w:tcPr>
          <w:p>
            <w:r>
              <w:rPr>
                <w:b/>
              </w:rPr>
              <w:t>Critical Limitations / Gaps</w:t>
            </w:r>
          </w:p>
        </w:tc>
      </w:tr>
      <w:tr>
        <w:tc>
          <w:tcPr>
            <w:tcW w:type="dxa" w:w="2077"/>
          </w:tcPr>
          <w:p>
            <w:r>
              <w:rPr>
                <w:b/>
              </w:rPr>
              <w:t>Apruzzese et al. (2023)</w:t>
            </w:r>
          </w:p>
        </w:tc>
        <w:tc>
          <w:tcPr>
            <w:tcW w:type="dxa" w:w="2077"/>
          </w:tcPr>
          <w:p>
            <w:r>
              <w:t>Random Forest &amp; Ensemble ML in Cyber-Physical Twins</w:t>
            </w:r>
          </w:p>
        </w:tc>
        <w:tc>
          <w:tcPr>
            <w:tcW w:type="dxa" w:w="2077"/>
          </w:tcPr>
          <w:p>
            <w:r>
              <w:t>Established high robustness of ensemble bagging against high-dimensional noise (F1 &gt; 0.91).</w:t>
            </w:r>
          </w:p>
        </w:tc>
        <w:tc>
          <w:tcPr>
            <w:tcW w:type="dxa" w:w="2077"/>
          </w:tcPr>
          <w:p>
            <w:r>
              <w:t>Confined strictly to industrial physical sensors; did not model cognitive or human behavioral telemetry.</w:t>
            </w:r>
          </w:p>
        </w:tc>
      </w:tr>
      <w:tr>
        <w:tc>
          <w:tcPr>
            <w:tcW w:type="dxa" w:w="2077"/>
          </w:tcPr>
          <w:p>
            <w:r>
              <w:rPr>
                <w:b/>
              </w:rPr>
              <w:t>Kumar et al. (2023)</w:t>
            </w:r>
          </w:p>
        </w:tc>
        <w:tc>
          <w:tcPr>
            <w:tcW w:type="dxa" w:w="2077"/>
          </w:tcPr>
          <w:p>
            <w:r>
              <w:t>Deep Neural Networks (LSTM) on LMS Clickstreams</w:t>
            </w:r>
          </w:p>
        </w:tc>
        <w:tc>
          <w:tcPr>
            <w:tcW w:type="dxa" w:w="2077"/>
          </w:tcPr>
          <w:p>
            <w:r>
              <w:t>Predicted final course grades using sequential login and forum post timestamp data.</w:t>
            </w:r>
          </w:p>
        </w:tc>
        <w:tc>
          <w:tcPr>
            <w:tcW w:type="dxa" w:w="2077"/>
          </w:tcPr>
          <w:p>
            <w:r>
              <w:t>Black-box opacity; zero explainability for students; completely omitted psychological stress and sleep.</w:t>
            </w:r>
          </w:p>
        </w:tc>
      </w:tr>
      <w:tr>
        <w:tc>
          <w:tcPr>
            <w:tcW w:type="dxa" w:w="2077"/>
          </w:tcPr>
          <w:p>
            <w:r>
              <w:rPr>
                <w:b/>
              </w:rPr>
              <w:t>Nisbet et al. (2024)</w:t>
            </w:r>
          </w:p>
        </w:tc>
        <w:tc>
          <w:tcPr>
            <w:tcW w:type="dxa" w:w="2077"/>
          </w:tcPr>
          <w:p>
            <w:r>
              <w:t>Statistical Ensembles &amp; Decision Trees in Higher Ed</w:t>
            </w:r>
          </w:p>
        </w:tc>
        <w:tc>
          <w:tcPr>
            <w:tcW w:type="dxa" w:w="2077"/>
          </w:tcPr>
          <w:p>
            <w:r>
              <w:t>Demonstrated feature importance dominance of attendance and mid-term evaluations in predicting attrition.</w:t>
            </w:r>
          </w:p>
        </w:tc>
        <w:tc>
          <w:tcPr>
            <w:tcW w:type="dxa" w:w="2077"/>
          </w:tcPr>
          <w:p>
            <w:r>
              <w:t>Batch processed quarterly; lacks real-time student interaction or counterfactual simulation capabilities.</w:t>
            </w:r>
          </w:p>
        </w:tc>
      </w:tr>
      <w:tr>
        <w:tc>
          <w:tcPr>
            <w:tcW w:type="dxa" w:w="2077"/>
          </w:tcPr>
          <w:p>
            <w:r>
              <w:rPr>
                <w:b/>
              </w:rPr>
              <w:t>Salih et al. (2021)</w:t>
            </w:r>
          </w:p>
        </w:tc>
        <w:tc>
          <w:tcPr>
            <w:tcW w:type="dxa" w:w="2077"/>
          </w:tcPr>
          <w:p>
            <w:r>
              <w:t>Comparative Machine Learning Survey (SVM, RF, KNN)</w:t>
            </w:r>
          </w:p>
        </w:tc>
        <w:tc>
          <w:tcPr>
            <w:tcW w:type="dxa" w:w="2077"/>
          </w:tcPr>
          <w:p>
            <w:r>
              <w:t>Random Forests proved superior in tabular classification with minimal variance and overfitting.</w:t>
            </w:r>
          </w:p>
        </w:tc>
        <w:tc>
          <w:tcPr>
            <w:tcW w:type="dxa" w:w="2077"/>
          </w:tcPr>
          <w:p>
            <w:r>
              <w:t>Theoretical survey without integrated software delivery or multimodal interventions.</w:t>
            </w:r>
          </w:p>
        </w:tc>
      </w:tr>
      <w:tr>
        <w:tc>
          <w:tcPr>
            <w:tcW w:type="dxa" w:w="2077"/>
          </w:tcPr>
          <w:p>
            <w:r>
              <w:rPr>
                <w:b/>
              </w:rPr>
              <w:t>Zhang &amp; Chen (2022)</w:t>
            </w:r>
          </w:p>
        </w:tc>
        <w:tc>
          <w:tcPr>
            <w:tcW w:type="dxa" w:w="2077"/>
          </w:tcPr>
          <w:p>
            <w:r>
              <w:t>Conversational Agents (Chatbots) in Academic Advising</w:t>
            </w:r>
          </w:p>
        </w:tc>
        <w:tc>
          <w:tcPr>
            <w:tcW w:type="dxa" w:w="2077"/>
          </w:tcPr>
          <w:p>
            <w:r>
              <w:t>Automated course registration queries using rule-based intents and dialog trees.</w:t>
            </w:r>
          </w:p>
        </w:tc>
        <w:tc>
          <w:tcPr>
            <w:tcW w:type="dxa" w:w="2077"/>
          </w:tcPr>
          <w:p>
            <w:r>
              <w:t>Extremely brittle NLP; incapable of empathetic stress management or reasoning over predictive data.</w:t>
            </w:r>
          </w:p>
        </w:tc>
      </w:tr>
      <w:tr>
        <w:tc>
          <w:tcPr>
            <w:tcW w:type="dxa" w:w="2077"/>
          </w:tcPr>
          <w:p>
            <w:r>
              <w:rPr>
                <w:b/>
              </w:rPr>
              <w:t>Alam (2022)</w:t>
            </w:r>
          </w:p>
        </w:tc>
        <w:tc>
          <w:tcPr>
            <w:tcW w:type="dxa" w:w="2077"/>
          </w:tcPr>
          <w:p>
            <w:r>
              <w:t>Digital Twin Framework for Higher Education Institutions</w:t>
            </w:r>
          </w:p>
        </w:tc>
        <w:tc>
          <w:tcPr>
            <w:tcW w:type="dxa" w:w="2077"/>
          </w:tcPr>
          <w:p>
            <w:r>
              <w:t>Conceptualized university campus digital twin modeling physical facilities and classroom occupancy.</w:t>
            </w:r>
          </w:p>
        </w:tc>
        <w:tc>
          <w:tcPr>
            <w:tcW w:type="dxa" w:w="2077"/>
          </w:tcPr>
          <w:p>
            <w:r>
              <w:t>Focused exclusively on physical campus infrastructure; omitted the individual learner's cognitive state.</w:t>
            </w:r>
          </w:p>
        </w:tc>
      </w:tr>
      <w:tr>
        <w:tc>
          <w:tcPr>
            <w:tcW w:type="dxa" w:w="2077"/>
          </w:tcPr>
          <w:p>
            <w:r>
              <w:rPr>
                <w:b/>
              </w:rPr>
              <w:t>García-Peñalvo (2021)</w:t>
            </w:r>
          </w:p>
        </w:tc>
        <w:tc>
          <w:tcPr>
            <w:tcW w:type="dxa" w:w="2077"/>
          </w:tcPr>
          <w:p>
            <w:r>
              <w:t>Ethics and Trust in Learning Analytics Systems</w:t>
            </w:r>
          </w:p>
        </w:tc>
        <w:tc>
          <w:tcPr>
            <w:tcW w:type="dxa" w:w="2077"/>
          </w:tcPr>
          <w:p>
            <w:r>
              <w:t>Comprehensive ethical guidelines warning against punitive institutional predictive surveillance.</w:t>
            </w:r>
          </w:p>
        </w:tc>
        <w:tc>
          <w:tcPr>
            <w:tcW w:type="dxa" w:w="2077"/>
          </w:tcPr>
          <w:p>
            <w:r>
              <w:t>Philosophical treatise without concrete technical architecture implementing counterfactual self-efficacy.</w:t>
            </w:r>
          </w:p>
        </w:tc>
      </w:tr>
      <w:tr>
        <w:tc>
          <w:tcPr>
            <w:tcW w:type="dxa" w:w="2077"/>
          </w:tcPr>
          <w:p>
            <w:r>
              <w:rPr>
                <w:b/>
              </w:rPr>
              <w:t>Tusche et al. (2023)</w:t>
            </w:r>
          </w:p>
        </w:tc>
        <w:tc>
          <w:tcPr>
            <w:tcW w:type="dxa" w:w="2077"/>
          </w:tcPr>
          <w:p>
            <w:r>
              <w:t>Acoustic Neuro-Regulation and Brainwave Entrainment</w:t>
            </w:r>
          </w:p>
        </w:tc>
        <w:tc>
          <w:tcPr>
            <w:tcW w:type="dxa" w:w="2077"/>
          </w:tcPr>
          <w:p>
            <w:r>
              <w:t>Demonstrated that harmonic 432 Hz auditory stimuli promote alpha wave synchronization and reduce salivary cortisol.</w:t>
            </w:r>
          </w:p>
        </w:tc>
        <w:tc>
          <w:tcPr>
            <w:tcW w:type="dxa" w:w="2077"/>
          </w:tcPr>
          <w:p>
            <w:r>
              <w:t>Clinical acoustic study; completely isolated from educational computer software or machine learning engines.</w:t>
            </w:r>
          </w:p>
        </w:tc>
      </w:tr>
    </w:tbl>
    <w:p>
      <w:pPr>
        <w:spacing w:line="360" w:lineRule="auto" w:after="120" w:before="0"/>
        <w:jc w:val="both"/>
      </w:pPr>
      <w:r>
        <w:rPr>
          <w:rFonts w:ascii="Times New Roman" w:hAnsi="Times New Roman"/>
          <w:b w:val="0"/>
          <w:i w:val="0"/>
          <w:sz w:val="24"/>
        </w:rPr>
        <w:t>Detailed Literature Synthesis: Examining the work of Apruzzese et al. (2023) demonstrates the remarkable mathematical robustness of bootstrap aggregation (bagging) when applied to noisy, multidimensional sensor data. Their findings showed that ensemble methods significantly outperform single deep networks when tabular datasets have bounded sample sizes (N &lt; 5000). However, their formulation was confined strictly to industrial turbines and network intrusion feeds. Applying bagging to cognitive student telemetry requires accounting for human behavioral non-linearities—such as the diminishing returns of excessive study hours when coupled with extreme sleep deficits.</w:t>
      </w:r>
    </w:p>
    <w:p>
      <w:pPr>
        <w:spacing w:line="360" w:lineRule="auto" w:after="120" w:before="0"/>
        <w:jc w:val="both"/>
      </w:pPr>
      <w:r>
        <w:rPr>
          <w:rFonts w:ascii="Times New Roman" w:hAnsi="Times New Roman"/>
          <w:b w:val="0"/>
          <w:i w:val="0"/>
          <w:sz w:val="24"/>
        </w:rPr>
        <w:t>In parallel, Kumar et al. (2023) explored Long Short-Term Memory (LSTM) recurrent networks on virtual learning platform clickstreams. While their model achieved a respectable R² = 0.82, it functioned as a complete 'black box.' Students were incapable of understanding why a specific mark projection was generated, leading to advisor mistrust. Furthermore, their architecture captured only digital engagement (login frequency and discussion posts), entirely omitting physical health parameters. In contrast, Nisbet et al. (2024) underscored that lecture attendance and continuous internal assessments account for over 40% of variance in engineering course outcomes. Their findings provide empirical justification for the feature hierarchy adopted in our investigation.</w:t>
      </w:r>
    </w:p>
    <w:p>
      <w:pPr>
        <w:spacing w:before="280" w:after="120"/>
        <w:jc w:val="left"/>
      </w:pPr>
      <w:r>
        <w:rPr>
          <w:rFonts w:ascii="Times New Roman" w:hAnsi="Times New Roman"/>
          <w:b/>
          <w:sz w:val="28"/>
        </w:rPr>
        <w:t>2.2 RESEARCH GAP</w:t>
      </w:r>
    </w:p>
    <w:p>
      <w:pPr>
        <w:spacing w:line="360" w:lineRule="auto" w:after="120" w:before="0"/>
        <w:jc w:val="both"/>
      </w:pPr>
      <w:r>
        <w:rPr>
          <w:rFonts w:ascii="Times New Roman" w:hAnsi="Times New Roman"/>
          <w:b w:val="0"/>
          <w:i w:val="0"/>
          <w:sz w:val="24"/>
        </w:rPr>
        <w:t>The synthesis of contemporary literature reveals three fundamental, unaddressed gaps in educational technology:</w:t>
      </w:r>
    </w:p>
    <w:p>
      <w:pPr>
        <w:spacing w:line="360" w:lineRule="auto" w:after="120" w:before="0"/>
        <w:jc w:val="both"/>
      </w:pPr>
      <w:r>
        <w:rPr>
          <w:rFonts w:ascii="Times New Roman" w:hAnsi="Times New Roman"/>
          <w:b w:val="0"/>
          <w:i w:val="0"/>
          <w:sz w:val="24"/>
        </w:rPr>
        <w:t>1. The Absence of Bidirectional Counterfactual Exploration: State-of-the-art predictive tools compute an output marks projection and display it statically. The student is left powerless, asking: 'What specific behaviors must I change to shift my trajectory from a 58 to a 75?' Prior literature lacks interactive, real-time computational studios that empower students to adjust sliders (study hours, sleep, stress) and visualize instantaneous predicted state changes in sub-15ms execution loops.</w:t>
      </w:r>
    </w:p>
    <w:p>
      <w:pPr>
        <w:spacing w:line="360" w:lineRule="auto" w:after="120" w:before="0"/>
        <w:jc w:val="both"/>
      </w:pPr>
      <w:r>
        <w:rPr>
          <w:rFonts w:ascii="Times New Roman" w:hAnsi="Times New Roman"/>
          <w:b w:val="0"/>
          <w:i w:val="0"/>
          <w:sz w:val="24"/>
        </w:rPr>
        <w:t>2. The Divide Between Prediction and Empathetic Intervention: Predictive systems report distress; conversational bots answer static FAQ queries. No unified platform previously synthesized predictive risk vectors directly into the dynamic prompt context of an advanced reasoning Large Language Model to deliver hyper-contextualized, empathetic counseling that addresses both academic pacing and emotional panic.</w:t>
      </w:r>
    </w:p>
    <w:p>
      <w:pPr>
        <w:spacing w:line="360" w:lineRule="auto" w:after="120" w:before="0"/>
        <w:jc w:val="both"/>
      </w:pPr>
      <w:r>
        <w:rPr>
          <w:rFonts w:ascii="Times New Roman" w:hAnsi="Times New Roman"/>
          <w:b w:val="0"/>
          <w:i w:val="0"/>
          <w:sz w:val="24"/>
        </w:rPr>
        <w:t>3. The Omission of Non-Invasive Physiological Calming Modalities: When academic systems alert a student to an impending failure risk, they typically exacerbate acute panic. Prior research has never embedded real-time browser-synthesized neuro-acoustic therapy (such as 432 Hz harmonic soundscapes) directly alongside risk telemetry to down-regulate physiological anxiety during study sessions.</w:t>
      </w:r>
    </w:p>
    <w:p>
      <w:pPr>
        <w:spacing w:before="280" w:after="120"/>
        <w:jc w:val="left"/>
      </w:pPr>
      <w:r>
        <w:rPr>
          <w:rFonts w:ascii="Times New Roman" w:hAnsi="Times New Roman"/>
          <w:b/>
          <w:sz w:val="28"/>
        </w:rPr>
        <w:t>2.3 OBJECTIVES</w:t>
      </w:r>
    </w:p>
    <w:p>
      <w:pPr>
        <w:spacing w:line="360" w:lineRule="auto" w:after="120" w:before="0"/>
        <w:jc w:val="both"/>
      </w:pPr>
      <w:r>
        <w:rPr>
          <w:rFonts w:ascii="Times New Roman" w:hAnsi="Times New Roman"/>
          <w:b w:val="0"/>
          <w:i w:val="0"/>
          <w:sz w:val="24"/>
        </w:rPr>
        <w:t>To definitively resolve the identified research gaps, the primary objectives of this investigation are defined as follows:</w:t>
      </w:r>
    </w:p>
    <w:p>
      <w:pPr>
        <w:spacing w:line="360" w:lineRule="auto" w:after="120" w:before="0"/>
        <w:jc w:val="both"/>
      </w:pPr>
      <w:r>
        <w:rPr>
          <w:rFonts w:ascii="Times New Roman" w:hAnsi="Times New Roman"/>
          <w:b w:val="0"/>
          <w:i w:val="0"/>
          <w:sz w:val="24"/>
        </w:rPr>
        <w:t>• Objective 1: To design and synthesize a statistically sound, heterogeneous academic cohort dataset comprising 600 student instances across 12 behavioral, psychological, and performance parameters.</w:t>
      </w:r>
    </w:p>
    <w:p>
      <w:pPr>
        <w:spacing w:line="360" w:lineRule="auto" w:after="120" w:before="0"/>
        <w:jc w:val="both"/>
      </w:pPr>
      <w:r>
        <w:rPr>
          <w:rFonts w:ascii="Times New Roman" w:hAnsi="Times New Roman"/>
          <w:b w:val="0"/>
          <w:i w:val="0"/>
          <w:sz w:val="24"/>
        </w:rPr>
        <w:t>• Objective 2: To train, validate, and optimize an ensemble Random Forest Regressor achieving a coefficient of determination R² ≥ 0.88 and MAE ≤ 2.50 marks for semester performance prediction.</w:t>
      </w:r>
    </w:p>
    <w:p>
      <w:pPr>
        <w:spacing w:line="360" w:lineRule="auto" w:after="120" w:before="0"/>
        <w:jc w:val="both"/>
      </w:pPr>
      <w:r>
        <w:rPr>
          <w:rFonts w:ascii="Times New Roman" w:hAnsi="Times New Roman"/>
          <w:b w:val="0"/>
          <w:i w:val="0"/>
          <w:sz w:val="24"/>
        </w:rPr>
        <w:t>• Objective 3: To architect an interactive What-If Counterfactual Simulation Engine capable of calculating and rendering behavioral delta impacts on student trajectory in under 15 milliseconds.</w:t>
      </w:r>
    </w:p>
    <w:p>
      <w:pPr>
        <w:spacing w:line="360" w:lineRule="auto" w:after="120" w:before="0"/>
        <w:jc w:val="both"/>
      </w:pPr>
      <w:r>
        <w:rPr>
          <w:rFonts w:ascii="Times New Roman" w:hAnsi="Times New Roman"/>
          <w:b w:val="0"/>
          <w:i w:val="0"/>
          <w:sz w:val="24"/>
        </w:rPr>
        <w:t>• Objective 4: To implement an empathetic, multi-agent conversational copilot incorporating the Google Gemini Thinking AI model with a 2048-token reasoning budget and sub-50ms deterministic local heuristic fallbacks.</w:t>
      </w:r>
    </w:p>
    <w:p>
      <w:pPr>
        <w:spacing w:line="360" w:lineRule="auto" w:after="120" w:before="0"/>
        <w:jc w:val="both"/>
      </w:pPr>
      <w:r>
        <w:rPr>
          <w:rFonts w:ascii="Times New Roman" w:hAnsi="Times New Roman"/>
          <w:b w:val="0"/>
          <w:i w:val="0"/>
          <w:sz w:val="24"/>
        </w:rPr>
        <w:t>• Objective 5: To embed a pure Web Audio API-driven polyphonic sound synthesizer providing isochronic 432 Hz neuro-acoustic stabilization during peak cognitive distress.</w:t>
      </w:r>
    </w:p>
    <w:p>
      <w:pPr>
        <w:spacing w:line="360" w:lineRule="auto" w:after="120" w:before="0"/>
        <w:jc w:val="both"/>
      </w:pPr>
      <w:r>
        <w:rPr>
          <w:rFonts w:ascii="Times New Roman" w:hAnsi="Times New Roman"/>
          <w:b w:val="0"/>
          <w:i w:val="0"/>
          <w:sz w:val="24"/>
        </w:rPr>
        <w:t>• Objective 6: To package the system into a responsive, secure, Role-Based Single Page Application (SPA) supporting dual faculty-administrative and student self-service workflows.</w:t>
      </w:r>
    </w:p>
    <w:p>
      <w:pPr>
        <w:spacing w:before="280" w:after="120"/>
        <w:jc w:val="left"/>
      </w:pPr>
      <w:r>
        <w:rPr>
          <w:rFonts w:ascii="Times New Roman" w:hAnsi="Times New Roman"/>
          <w:b/>
          <w:sz w:val="28"/>
        </w:rPr>
        <w:t>2.4 PROBLEM STATEMENT</w:t>
      </w:r>
    </w:p>
    <w:p>
      <w:pPr>
        <w:spacing w:line="360" w:lineRule="auto" w:after="120" w:before="0"/>
        <w:jc w:val="both"/>
      </w:pPr>
      <w:r>
        <w:rPr>
          <w:rFonts w:ascii="Times New Roman" w:hAnsi="Times New Roman"/>
          <w:b w:val="0"/>
          <w:i/>
          <w:sz w:val="24"/>
        </w:rPr>
        <w:t>“Higher educational institutions lack a unified, non-punitive, and real-time computational framework that synchronously predicts individual student academic risk, simulates counterfactual lifestyle modifications, and dispenses immediate psychological and acoustic stress interventions before academic failure manifests.”</w:t>
      </w:r>
    </w:p>
    <w:p>
      <w:pPr>
        <w:spacing w:before="280" w:after="120"/>
        <w:jc w:val="left"/>
      </w:pPr>
      <w:r>
        <w:rPr>
          <w:rFonts w:ascii="Times New Roman" w:hAnsi="Times New Roman"/>
          <w:b/>
          <w:sz w:val="28"/>
        </w:rPr>
        <w:t>2.5 PROJECT PLAN AND MILESTONES</w:t>
      </w:r>
    </w:p>
    <w:p>
      <w:pPr>
        <w:spacing w:line="360" w:lineRule="auto" w:after="120" w:before="0"/>
        <w:jc w:val="both"/>
      </w:pPr>
      <w:r>
        <w:rPr>
          <w:rFonts w:ascii="Times New Roman" w:hAnsi="Times New Roman"/>
          <w:b w:val="0"/>
          <w:i w:val="0"/>
          <w:sz w:val="24"/>
        </w:rPr>
        <w:t>The research and development lifecycle was executed systematically across an intensive 16-week timeline, organized into five discrete work breakdown phases as outlined in Table 2.2.</w:t>
      </w:r>
    </w:p>
    <w:p>
      <w:pPr>
        <w:spacing w:before="240" w:after="80"/>
        <w:jc w:val="center"/>
      </w:pPr>
      <w:r>
        <w:rPr>
          <w:rFonts w:ascii="Times New Roman" w:hAnsi="Times New Roman"/>
          <w:b/>
          <w:sz w:val="20"/>
        </w:rPr>
        <w:t>Table 2.2: Project Implementation Milestones and Work Breakdown Structure</w:t>
      </w:r>
    </w:p>
    <w:tbl>
      <w:tblPr>
        <w:tblW w:type="auto" w:w="0"/>
        <w:jc w:val="center"/>
        <w:tblLook w:firstColumn="1" w:firstRow="1" w:lastColumn="0" w:lastRow="0" w:noHBand="0" w:noVBand="1" w:val="04A0"/>
        <w:tblBorders>
          <w:top w:val="single" w:sz="6" w:space="0" w:color="333333"/>
          <w:bottom w:val="single" w:sz="6" w:space="0" w:color="333333"/>
          <w:insideH w:val="single" w:sz="4" w:space="0" w:color="666666"/>
          <w:insideV w:val="single" w:sz="4" w:space="0" w:color="666666"/>
          <w:left w:val="single" w:sz="6" w:space="0" w:color="333333"/>
          <w:right w:val="single" w:sz="6" w:space="0" w:color="333333"/>
        </w:tblBorders>
      </w:tblPr>
      <w:tblGrid>
        <w:gridCol w:w="2077"/>
        <w:gridCol w:w="2077"/>
        <w:gridCol w:w="2077"/>
        <w:gridCol w:w="2077"/>
      </w:tblGrid>
      <w:tr>
        <w:tc>
          <w:tcPr>
            <w:tcW w:type="dxa" w:w="2077"/>
            <w:shd w:fill="F1F5F9"/>
          </w:tcPr>
          <w:p>
            <w:r>
              <w:rPr>
                <w:b/>
              </w:rPr>
              <w:t>Phase</w:t>
            </w:r>
          </w:p>
        </w:tc>
        <w:tc>
          <w:tcPr>
            <w:tcW w:type="dxa" w:w="2077"/>
            <w:shd w:fill="F1F5F9"/>
          </w:tcPr>
          <w:p>
            <w:r>
              <w:rPr>
                <w:b/>
              </w:rPr>
              <w:t>Milestone Title</w:t>
            </w:r>
          </w:p>
        </w:tc>
        <w:tc>
          <w:tcPr>
            <w:tcW w:type="dxa" w:w="2077"/>
            <w:shd w:fill="F1F5F9"/>
          </w:tcPr>
          <w:p>
            <w:r>
              <w:rPr>
                <w:b/>
              </w:rPr>
              <w:t>Key Activities &amp; Deliverables</w:t>
            </w:r>
          </w:p>
        </w:tc>
        <w:tc>
          <w:tcPr>
            <w:tcW w:type="dxa" w:w="2077"/>
            <w:shd w:fill="F1F5F9"/>
          </w:tcPr>
          <w:p>
            <w:r>
              <w:rPr>
                <w:b/>
              </w:rPr>
              <w:t>Timeline</w:t>
            </w:r>
          </w:p>
        </w:tc>
      </w:tr>
      <w:tr>
        <w:tc>
          <w:tcPr>
            <w:tcW w:type="dxa" w:w="2077"/>
          </w:tcPr>
          <w:p>
            <w:r>
              <w:rPr>
                <w:b/>
              </w:rPr>
              <w:t>Phase I</w:t>
            </w:r>
          </w:p>
        </w:tc>
        <w:tc>
          <w:tcPr>
            <w:tcW w:type="dxa" w:w="2077"/>
          </w:tcPr>
          <w:p>
            <w:r>
              <w:t>Requirements &amp; Synthesis</w:t>
            </w:r>
          </w:p>
        </w:tc>
        <w:tc>
          <w:tcPr>
            <w:tcW w:type="dxa" w:w="2077"/>
          </w:tcPr>
          <w:p>
            <w:r>
              <w:t>System requirements specification, empirical literature survey, and generation of the 600-student multivariate telemetry dataset.</w:t>
            </w:r>
          </w:p>
        </w:tc>
        <w:tc>
          <w:tcPr>
            <w:tcW w:type="dxa" w:w="2077"/>
          </w:tcPr>
          <w:p>
            <w:r>
              <w:t>Weeks 1 – 3</w:t>
            </w:r>
          </w:p>
        </w:tc>
      </w:tr>
      <w:tr>
        <w:tc>
          <w:tcPr>
            <w:tcW w:type="dxa" w:w="2077"/>
          </w:tcPr>
          <w:p>
            <w:r>
              <w:rPr>
                <w:b/>
              </w:rPr>
              <w:t>Phase II</w:t>
            </w:r>
          </w:p>
        </w:tc>
        <w:tc>
          <w:tcPr>
            <w:tcW w:type="dxa" w:w="2077"/>
          </w:tcPr>
          <w:p>
            <w:r>
              <w:t>Predictive Modeling</w:t>
            </w:r>
          </w:p>
        </w:tc>
        <w:tc>
          <w:tcPr>
            <w:tcW w:type="dxa" w:w="2077"/>
          </w:tcPr>
          <w:p>
            <w:r>
              <w:t>Feature engineering, correlation analysis, scikit-learn pipeline construction, Random Forest training, and cross-validation benchmarking.</w:t>
            </w:r>
          </w:p>
        </w:tc>
        <w:tc>
          <w:tcPr>
            <w:tcW w:type="dxa" w:w="2077"/>
          </w:tcPr>
          <w:p>
            <w:r>
              <w:t>Weeks 4 – 7</w:t>
            </w:r>
          </w:p>
        </w:tc>
      </w:tr>
      <w:tr>
        <w:tc>
          <w:tcPr>
            <w:tcW w:type="dxa" w:w="2077"/>
          </w:tcPr>
          <w:p>
            <w:r>
              <w:rPr>
                <w:b/>
              </w:rPr>
              <w:t>Phase III</w:t>
            </w:r>
          </w:p>
        </w:tc>
        <w:tc>
          <w:tcPr>
            <w:tcW w:type="dxa" w:w="2077"/>
          </w:tcPr>
          <w:p>
            <w:r>
              <w:t>Intervention Subsystems</w:t>
            </w:r>
          </w:p>
        </w:tc>
        <w:tc>
          <w:tcPr>
            <w:tcW w:type="dxa" w:w="2077"/>
          </w:tcPr>
          <w:p>
            <w:r>
              <w:t>Google Gemini Thinking AI integration with cognitive budgets, sub-50ms local heuristic fallback engine, and Web Audio 432 Hz synthesizer.</w:t>
            </w:r>
          </w:p>
        </w:tc>
        <w:tc>
          <w:tcPr>
            <w:tcW w:type="dxa" w:w="2077"/>
          </w:tcPr>
          <w:p>
            <w:r>
              <w:t>Weeks 8 – 11</w:t>
            </w:r>
          </w:p>
        </w:tc>
      </w:tr>
      <w:tr>
        <w:tc>
          <w:tcPr>
            <w:tcW w:type="dxa" w:w="2077"/>
          </w:tcPr>
          <w:p>
            <w:r>
              <w:rPr>
                <w:b/>
              </w:rPr>
              <w:t>Phase IV</w:t>
            </w:r>
          </w:p>
        </w:tc>
        <w:tc>
          <w:tcPr>
            <w:tcW w:type="dxa" w:w="2077"/>
          </w:tcPr>
          <w:p>
            <w:r>
              <w:t>Full-Stack Integration</w:t>
            </w:r>
          </w:p>
        </w:tc>
        <w:tc>
          <w:tcPr>
            <w:tcW w:type="dxa" w:w="2077"/>
          </w:tcPr>
          <w:p>
            <w:r>
              <w:t>FastAPI asynchronous backend development, Studio Mirage UI interface styling, responsive chart visualizations, and What-If simulator canvas.</w:t>
            </w:r>
          </w:p>
        </w:tc>
        <w:tc>
          <w:tcPr>
            <w:tcW w:type="dxa" w:w="2077"/>
          </w:tcPr>
          <w:p>
            <w:r>
              <w:t>Weeks 12 – 14</w:t>
            </w:r>
          </w:p>
        </w:tc>
      </w:tr>
      <w:tr>
        <w:tc>
          <w:tcPr>
            <w:tcW w:type="dxa" w:w="2077"/>
          </w:tcPr>
          <w:p>
            <w:r>
              <w:rPr>
                <w:b/>
              </w:rPr>
              <w:t>Phase V</w:t>
            </w:r>
          </w:p>
        </w:tc>
        <w:tc>
          <w:tcPr>
            <w:tcW w:type="dxa" w:w="2077"/>
          </w:tcPr>
          <w:p>
            <w:r>
              <w:t>Verification &amp; Documentation</w:t>
            </w:r>
          </w:p>
        </w:tc>
        <w:tc>
          <w:tcPr>
            <w:tcW w:type="dxa" w:w="2077"/>
          </w:tcPr>
          <w:p>
            <w:r>
              <w:t>End-to-end automated Playwright UI testing, latency profiling, git versioning, and comprehensive academic dissertation compilation.</w:t>
            </w:r>
          </w:p>
        </w:tc>
        <w:tc>
          <w:tcPr>
            <w:tcW w:type="dxa" w:w="2077"/>
          </w:tcPr>
          <w:p>
            <w:r>
              <w:t>Weeks 15 – 16</w:t>
            </w:r>
          </w:p>
        </w:tc>
      </w:tr>
    </w:tbl>
    <w:p>
      <w:r>
        <w:br w:type="page"/>
      </w:r>
    </w:p>
    <w:p>
      <w:pPr>
        <w:spacing w:before="240" w:after="360"/>
        <w:jc w:val="center"/>
      </w:pPr>
      <w:r>
        <w:rPr>
          <w:rFonts w:ascii="Times New Roman" w:hAnsi="Times New Roman"/>
          <w:b/>
          <w:sz w:val="32"/>
        </w:rPr>
        <w:t>CHAPTER 3</w:t>
        <w:br/>
        <w:t>TECHNICAL SPECIFICATION</w:t>
      </w:r>
    </w:p>
    <w:p>
      <w:pPr>
        <w:spacing w:before="280" w:after="120"/>
        <w:jc w:val="left"/>
      </w:pPr>
      <w:r>
        <w:rPr>
          <w:rFonts w:ascii="Times New Roman" w:hAnsi="Times New Roman"/>
          <w:b/>
          <w:sz w:val="28"/>
        </w:rPr>
        <w:t>3.1 REQUIREMENTS</w:t>
      </w:r>
    </w:p>
    <w:p>
      <w:pPr>
        <w:spacing w:before="200" w:after="80"/>
        <w:jc w:val="left"/>
      </w:pPr>
      <w:r>
        <w:rPr>
          <w:rFonts w:ascii="Times New Roman" w:hAnsi="Times New Roman"/>
          <w:b/>
          <w:sz w:val="24"/>
        </w:rPr>
        <w:t>3.1.1 Functional Requirements</w:t>
      </w:r>
    </w:p>
    <w:p>
      <w:pPr>
        <w:spacing w:line="360" w:lineRule="auto" w:after="120" w:before="0"/>
        <w:jc w:val="both"/>
      </w:pPr>
      <w:r>
        <w:rPr>
          <w:rFonts w:ascii="Times New Roman" w:hAnsi="Times New Roman"/>
          <w:b w:val="0"/>
          <w:i w:val="0"/>
          <w:sz w:val="24"/>
        </w:rPr>
        <w:t>• FR-1 (Role-Based Authentication): The system shall authenticate users into two discrete access profiles: Admin/Faculty (unrestricted cohort analytics, student registries, model introspection) and Student (individual twin telemetry, personalized simulations, daily check-in).</w:t>
        <w:br/>
        <w:t>• FR-2 (Dynamic Student Trajectory Computation): The platform shall ingest a 12-dimensional vector of student academic, behavioral, and sleep telemetry and compute an aggregated projected final score in [0, 100] alongside an automatic risk tier (Low, Medium, High).</w:t>
        <w:br/>
        <w:t>• FR-3 (Counterfactual What-If Studio): The user interface shall provide dynamic slider controllers allowing students to modulate hypothetical study hours (±10h), sleep hours (4–10h), and stress indices (1–10), instantly recalculating the projected score and delta percentage in sub-15ms.</w:t>
        <w:br/>
        <w:t>• FR-4 (Dual-Engine Conversational Copilot): The system shall support free-form conversational interaction. When an active Google Gemini API key is configured, queries shall be processed using Gemini 2.0 Flash Thinking with a 2048-token cognitive budget. If the API key is omitted or network connectivity fails, the platform shall immediately transition to a sub-50ms local heuristic conversational engine.</w:t>
        <w:br/>
        <w:t>• FR-5 (Daily Wellness Telemetry Ingestion): Students shall be equipped to log daily check-ins capturing sleep duration, current study hours, and stress rating, dynamically updating their persistent digital twin state.</w:t>
        <w:br/>
        <w:t>• FR-6 (Isochronic Audio Neuro-Stabilization): The application shall provide an integrated audio engine generating a harmonic 432 Hz calming chord across multi-oscillator Web Audio nodes with customizable volume attenuation.</w:t>
        <w:br/>
        <w:t>• FR-7 (Feature Importance &amp; Explainability): The administrative portal shall expose the underlying Random Forest feature importances as a sorted Pareto distribution to ensure institutional explainability and compliance with academic ethics.</w:t>
        <w:br/>
        <w:t>• FR-8 (Data Export &amp; Reporting): The system shall support administrative export of cohort health summaries and risk status into portable CSV and JSON formats for university records.</w:t>
      </w:r>
    </w:p>
    <w:p>
      <w:pPr>
        <w:spacing w:before="200" w:after="80"/>
        <w:jc w:val="left"/>
      </w:pPr>
      <w:r>
        <w:rPr>
          <w:rFonts w:ascii="Times New Roman" w:hAnsi="Times New Roman"/>
          <w:b/>
          <w:sz w:val="24"/>
        </w:rPr>
        <w:t>3.1.2 Non-Functional Requirements</w:t>
      </w:r>
    </w:p>
    <w:p>
      <w:pPr>
        <w:spacing w:line="360" w:lineRule="auto" w:after="120" w:before="0"/>
        <w:jc w:val="both"/>
      </w:pPr>
      <w:r>
        <w:rPr>
          <w:rFonts w:ascii="Times New Roman" w:hAnsi="Times New Roman"/>
          <w:b w:val="0"/>
          <w:i w:val="0"/>
          <w:sz w:val="24"/>
        </w:rPr>
        <w:t>• NFR-1 (Latency &amp; Responsiveness): What-If slider calculations shall execute locally in &lt;15 ms. Heuristic chat responses shall return in &lt;50 ms. Gemini API calls shall complete within a 4000 ms timeout window.</w:t>
        <w:br/>
        <w:t>• NFR-2 (Availability &amp; Fault Tolerance): The core prediction and simulation services shall function completely offline without external internet connectivity via embedded Scikit-Learn weights and local heuristics.</w:t>
        <w:br/>
        <w:t>• NFR-3 (Privacy &amp; Data Ethics): All student identifiers shall be pseudonymized using cryptographic salts. Student chat logs shall reside in ephemeral memory buffers and shall not be permanently stored on unencrypted third-party servers.</w:t>
        <w:br/>
        <w:t>• NFR-4 (Cross-Platform Portability): The user interface shall run natively on all modern evergreen web browsers (Chromium ≥ 100, Firefox ≥ 100, Safari ≥ 15) across desktop, tablet, and mobile displays without requiring external browser plugins.</w:t>
        <w:br/>
        <w:t>• NFR-5 (Scalability): The backend server architecture shall handle a minimum of 250 concurrent HTTP requests per second with less than 2% CPU saturation on standard dual-core commodity hardware.</w:t>
        <w:br/>
        <w:t>• NFR-6 (Maintainability &amp; Modularity): Architectural layers shall be decoupled so that the machine learning regressor can be updated without modifying frontend presentation code or database schemas.</w:t>
      </w:r>
    </w:p>
    <w:p>
      <w:pPr>
        <w:spacing w:before="280" w:after="120"/>
        <w:jc w:val="left"/>
      </w:pPr>
      <w:r>
        <w:rPr>
          <w:rFonts w:ascii="Times New Roman" w:hAnsi="Times New Roman"/>
          <w:b/>
          <w:sz w:val="28"/>
        </w:rPr>
        <w:t>3.2 FEASIBILITY STUDY</w:t>
      </w:r>
    </w:p>
    <w:p>
      <w:pPr>
        <w:spacing w:line="360" w:lineRule="auto" w:after="120" w:before="0"/>
        <w:jc w:val="both"/>
      </w:pPr>
      <w:r>
        <w:rPr>
          <w:rFonts w:ascii="Times New Roman" w:hAnsi="Times New Roman"/>
          <w:b w:val="0"/>
          <w:i w:val="0"/>
          <w:sz w:val="24"/>
        </w:rPr>
        <w:t>3.2.1 Technical Feasibility: The technical feasibility is confirmed by utilizing high-maturity open-source software libraries. Scikit-Learn provides battle-tested implementations of bagging regression trees. Python 3.11 with FastAPI offers high-throughput asynchronous request handling comparable to Node.js and Go. The client interface uses standards-compliant HTML5, Canvas, and Web Audio APIs supported across 98.7% of all active global web clients.</w:t>
      </w:r>
    </w:p>
    <w:p>
      <w:pPr>
        <w:spacing w:line="360" w:lineRule="auto" w:after="120" w:before="0"/>
        <w:jc w:val="both"/>
      </w:pPr>
      <w:r>
        <w:rPr>
          <w:rFonts w:ascii="Times New Roman" w:hAnsi="Times New Roman"/>
          <w:b w:val="0"/>
          <w:i w:val="0"/>
          <w:sz w:val="24"/>
        </w:rPr>
        <w:t>3.2.2 Economic Feasibility: The architecture incurs virtually zero software licensing costs. By leveraging the free-tier Google Gemini API and running lightweight Python web processes, the operational hosting overhead for an institutional cohort of 5,000 students is estimated at under $12 USD per month on standard containerized cloud infrastructure.</w:t>
      </w:r>
    </w:p>
    <w:p>
      <w:pPr>
        <w:spacing w:line="360" w:lineRule="auto" w:after="120" w:before="0"/>
        <w:jc w:val="both"/>
      </w:pPr>
      <w:r>
        <w:rPr>
          <w:rFonts w:ascii="Times New Roman" w:hAnsi="Times New Roman"/>
          <w:b w:val="0"/>
          <w:i w:val="0"/>
          <w:sz w:val="24"/>
        </w:rPr>
        <w:t>3.2.3 Social and Ethical Feasibility: By shifting the user interface focus to student self-empowerment rather than administrative reprimand, the platform avoids stigmatizing at-risk learners. The integration of 432 Hz calming soundscapes and empathetic conversational counseling actively mitigates student burnout, fostering a supportive institutional culture.</w:t>
      </w:r>
    </w:p>
    <w:p>
      <w:pPr>
        <w:spacing w:before="280" w:after="120"/>
        <w:jc w:val="left"/>
      </w:pPr>
      <w:r>
        <w:rPr>
          <w:rFonts w:ascii="Times New Roman" w:hAnsi="Times New Roman"/>
          <w:b/>
          <w:sz w:val="28"/>
        </w:rPr>
        <w:t>3.3 SYSTEM SPECIFICATION &amp; UML MODELING</w:t>
      </w:r>
    </w:p>
    <w:p>
      <w:pPr>
        <w:spacing w:before="240" w:after="80"/>
        <w:jc w:val="center"/>
      </w:pPr>
      <w:r>
        <w:rPr>
          <w:rFonts w:ascii="Times New Roman" w:hAnsi="Times New Roman"/>
          <w:b/>
          <w:sz w:val="20"/>
        </w:rPr>
        <w:t>Table 3.1: Minimum and Recommended Hardware Specifications</w:t>
      </w:r>
    </w:p>
    <w:tbl>
      <w:tblPr>
        <w:tblW w:type="auto" w:w="0"/>
        <w:jc w:val="center"/>
        <w:tblLook w:firstColumn="1" w:firstRow="1" w:lastColumn="0" w:lastRow="0" w:noHBand="0" w:noVBand="1" w:val="04A0"/>
        <w:tblBorders>
          <w:top w:val="single" w:sz="6" w:space="0" w:color="333333"/>
          <w:bottom w:val="single" w:sz="6" w:space="0" w:color="333333"/>
          <w:insideH w:val="single" w:sz="4" w:space="0" w:color="666666"/>
          <w:insideV w:val="single" w:sz="4" w:space="0" w:color="666666"/>
          <w:left w:val="single" w:sz="6" w:space="0" w:color="333333"/>
          <w:right w:val="single" w:sz="6" w:space="0" w:color="333333"/>
        </w:tblBorders>
      </w:tblPr>
      <w:tblGrid>
        <w:gridCol w:w="2770"/>
        <w:gridCol w:w="2770"/>
        <w:gridCol w:w="2770"/>
      </w:tblGrid>
      <w:tr>
        <w:tc>
          <w:tcPr>
            <w:tcW w:type="dxa" w:w="2770"/>
            <w:shd w:fill="F1F5F9"/>
          </w:tcPr>
          <w:p>
            <w:r>
              <w:rPr>
                <w:b/>
              </w:rPr>
              <w:t>Parameter</w:t>
            </w:r>
          </w:p>
        </w:tc>
        <w:tc>
          <w:tcPr>
            <w:tcW w:type="dxa" w:w="2770"/>
            <w:shd w:fill="F1F5F9"/>
          </w:tcPr>
          <w:p>
            <w:r>
              <w:rPr>
                <w:b/>
              </w:rPr>
              <w:t>Minimum Deployment Spec</w:t>
            </w:r>
          </w:p>
        </w:tc>
        <w:tc>
          <w:tcPr>
            <w:tcW w:type="dxa" w:w="2770"/>
            <w:shd w:fill="F1F5F9"/>
          </w:tcPr>
          <w:p>
            <w:r>
              <w:rPr>
                <w:b/>
              </w:rPr>
              <w:t>Recommended Production Spec</w:t>
            </w:r>
          </w:p>
        </w:tc>
      </w:tr>
      <w:tr>
        <w:tc>
          <w:tcPr>
            <w:tcW w:type="dxa" w:w="2770"/>
          </w:tcPr>
          <w:p>
            <w:r>
              <w:rPr>
                <w:b/>
              </w:rPr>
              <w:t>Processor (CPU)</w:t>
            </w:r>
          </w:p>
        </w:tc>
        <w:tc>
          <w:tcPr>
            <w:tcW w:type="dxa" w:w="2770"/>
          </w:tcPr>
          <w:p>
            <w:r>
              <w:t>Dual-Core x86_64 / ARM64 @ 2.0 GHz</w:t>
            </w:r>
          </w:p>
        </w:tc>
        <w:tc>
          <w:tcPr>
            <w:tcW w:type="dxa" w:w="2770"/>
          </w:tcPr>
          <w:p>
            <w:r>
              <w:t>Quad-Core Intel i7 / AMD Ryzen 7 @ 3.4 GHz+</w:t>
            </w:r>
          </w:p>
        </w:tc>
      </w:tr>
      <w:tr>
        <w:tc>
          <w:tcPr>
            <w:tcW w:type="dxa" w:w="2770"/>
          </w:tcPr>
          <w:p>
            <w:r>
              <w:rPr>
                <w:b/>
              </w:rPr>
              <w:t>System Memory (RAM)</w:t>
            </w:r>
          </w:p>
        </w:tc>
        <w:tc>
          <w:tcPr>
            <w:tcW w:type="dxa" w:w="2770"/>
          </w:tcPr>
          <w:p>
            <w:r>
              <w:t>4.0 GB LPDDR4</w:t>
            </w:r>
          </w:p>
        </w:tc>
        <w:tc>
          <w:tcPr>
            <w:tcW w:type="dxa" w:w="2770"/>
          </w:tcPr>
          <w:p>
            <w:r>
              <w:t>16.0 GB DDR4 / DDR5 High-Speed RAM</w:t>
            </w:r>
          </w:p>
        </w:tc>
      </w:tr>
      <w:tr>
        <w:tc>
          <w:tcPr>
            <w:tcW w:type="dxa" w:w="2770"/>
          </w:tcPr>
          <w:p>
            <w:r>
              <w:rPr>
                <w:b/>
              </w:rPr>
              <w:t>Storage Subsystem</w:t>
            </w:r>
          </w:p>
        </w:tc>
        <w:tc>
          <w:tcPr>
            <w:tcW w:type="dxa" w:w="2770"/>
          </w:tcPr>
          <w:p>
            <w:r>
              <w:t>500 MB Free Disk Space (SSD/HDD)</w:t>
            </w:r>
          </w:p>
        </w:tc>
        <w:tc>
          <w:tcPr>
            <w:tcW w:type="dxa" w:w="2770"/>
          </w:tcPr>
          <w:p>
            <w:r>
              <w:t>10 GB NVMe PCIe Gen 4 SSD</w:t>
            </w:r>
          </w:p>
        </w:tc>
      </w:tr>
      <w:tr>
        <w:tc>
          <w:tcPr>
            <w:tcW w:type="dxa" w:w="2770"/>
          </w:tcPr>
          <w:p>
            <w:r>
              <w:rPr>
                <w:b/>
              </w:rPr>
              <w:t>Network Interface</w:t>
            </w:r>
          </w:p>
        </w:tc>
        <w:tc>
          <w:tcPr>
            <w:tcW w:type="dxa" w:w="2770"/>
          </w:tcPr>
          <w:p>
            <w:r>
              <w:t>10 Mbps Standard Broadband</w:t>
            </w:r>
          </w:p>
        </w:tc>
        <w:tc>
          <w:tcPr>
            <w:tcW w:type="dxa" w:w="2770"/>
          </w:tcPr>
          <w:p>
            <w:r>
              <w:t>1 Gbps Low-Latency Optical Ethernet</w:t>
            </w:r>
          </w:p>
        </w:tc>
      </w:tr>
    </w:tbl>
    <w:p>
      <w:pPr>
        <w:spacing w:before="240" w:after="80"/>
        <w:jc w:val="center"/>
      </w:pPr>
      <w:r>
        <w:rPr>
          <w:rFonts w:ascii="Times New Roman" w:hAnsi="Times New Roman"/>
          <w:b/>
          <w:sz w:val="20"/>
        </w:rPr>
        <w:t>Table 3.2: Comprehensive Software Toolchain and Dependency Matrix</w:t>
      </w:r>
    </w:p>
    <w:tbl>
      <w:tblPr>
        <w:tblW w:type="auto" w:w="0"/>
        <w:jc w:val="center"/>
        <w:tblLook w:firstColumn="1" w:firstRow="1" w:lastColumn="0" w:lastRow="0" w:noHBand="0" w:noVBand="1" w:val="04A0"/>
        <w:tblBorders>
          <w:top w:val="single" w:sz="6" w:space="0" w:color="333333"/>
          <w:bottom w:val="single" w:sz="6" w:space="0" w:color="333333"/>
          <w:insideH w:val="single" w:sz="4" w:space="0" w:color="666666"/>
          <w:insideV w:val="single" w:sz="4" w:space="0" w:color="666666"/>
          <w:left w:val="single" w:sz="6" w:space="0" w:color="333333"/>
          <w:right w:val="single" w:sz="6" w:space="0" w:color="333333"/>
        </w:tblBorders>
      </w:tblPr>
      <w:tblGrid>
        <w:gridCol w:w="2770"/>
        <w:gridCol w:w="2770"/>
        <w:gridCol w:w="2770"/>
      </w:tblGrid>
      <w:tr>
        <w:tc>
          <w:tcPr>
            <w:tcW w:type="dxa" w:w="2770"/>
            <w:shd w:fill="F1F5F9"/>
          </w:tcPr>
          <w:p>
            <w:r>
              <w:rPr>
                <w:b/>
              </w:rPr>
              <w:t>Layer / Component</w:t>
            </w:r>
          </w:p>
        </w:tc>
        <w:tc>
          <w:tcPr>
            <w:tcW w:type="dxa" w:w="2770"/>
            <w:shd w:fill="F1F5F9"/>
          </w:tcPr>
          <w:p>
            <w:r>
              <w:rPr>
                <w:b/>
              </w:rPr>
              <w:t>Technology / Framework</w:t>
            </w:r>
          </w:p>
        </w:tc>
        <w:tc>
          <w:tcPr>
            <w:tcW w:type="dxa" w:w="2770"/>
            <w:shd w:fill="F1F5F9"/>
          </w:tcPr>
          <w:p>
            <w:r>
              <w:rPr>
                <w:b/>
              </w:rPr>
              <w:t>Version &amp; Purpose</w:t>
            </w:r>
          </w:p>
        </w:tc>
      </w:tr>
      <w:tr>
        <w:tc>
          <w:tcPr>
            <w:tcW w:type="dxa" w:w="2770"/>
          </w:tcPr>
          <w:p>
            <w:r>
              <w:rPr>
                <w:b/>
              </w:rPr>
              <w:t>Runtime Environment</w:t>
            </w:r>
          </w:p>
        </w:tc>
        <w:tc>
          <w:tcPr>
            <w:tcW w:type="dxa" w:w="2770"/>
          </w:tcPr>
          <w:p>
            <w:r>
              <w:t>Python CPython Distribution</w:t>
            </w:r>
          </w:p>
        </w:tc>
        <w:tc>
          <w:tcPr>
            <w:tcW w:type="dxa" w:w="2770"/>
          </w:tcPr>
          <w:p>
            <w:r>
              <w:t>v3.11.9 (Asynchronous runtime core)</w:t>
            </w:r>
          </w:p>
        </w:tc>
      </w:tr>
      <w:tr>
        <w:tc>
          <w:tcPr>
            <w:tcW w:type="dxa" w:w="2770"/>
          </w:tcPr>
          <w:p>
            <w:r>
              <w:rPr>
                <w:b/>
              </w:rPr>
              <w:t>Web API Microframework</w:t>
            </w:r>
          </w:p>
        </w:tc>
        <w:tc>
          <w:tcPr>
            <w:tcW w:type="dxa" w:w="2770"/>
          </w:tcPr>
          <w:p>
            <w:r>
              <w:t>FastAPI &amp; Starlette</w:t>
            </w:r>
          </w:p>
        </w:tc>
        <w:tc>
          <w:tcPr>
            <w:tcW w:type="dxa" w:w="2770"/>
          </w:tcPr>
          <w:p>
            <w:r>
              <w:t>v0.110.0 (High-throughput REST gateway)</w:t>
            </w:r>
          </w:p>
        </w:tc>
      </w:tr>
      <w:tr>
        <w:tc>
          <w:tcPr>
            <w:tcW w:type="dxa" w:w="2770"/>
          </w:tcPr>
          <w:p>
            <w:r>
              <w:rPr>
                <w:b/>
              </w:rPr>
              <w:t>ASGI HTTP Server</w:t>
            </w:r>
          </w:p>
        </w:tc>
        <w:tc>
          <w:tcPr>
            <w:tcW w:type="dxa" w:w="2770"/>
          </w:tcPr>
          <w:p>
            <w:r>
              <w:t>Uvicorn (uvloop backend)</w:t>
            </w:r>
          </w:p>
        </w:tc>
        <w:tc>
          <w:tcPr>
            <w:tcW w:type="dxa" w:w="2770"/>
          </w:tcPr>
          <w:p>
            <w:r>
              <w:t>v0.29.0 (Asynchronous request dispatcher)</w:t>
            </w:r>
          </w:p>
        </w:tc>
      </w:tr>
      <w:tr>
        <w:tc>
          <w:tcPr>
            <w:tcW w:type="dxa" w:w="2770"/>
          </w:tcPr>
          <w:p>
            <w:r>
              <w:rPr>
                <w:b/>
              </w:rPr>
              <w:t>Machine Learning Engine</w:t>
            </w:r>
          </w:p>
        </w:tc>
        <w:tc>
          <w:tcPr>
            <w:tcW w:type="dxa" w:w="2770"/>
          </w:tcPr>
          <w:p>
            <w:r>
              <w:t>Scikit-Learn, NumPy, SciPy</w:t>
            </w:r>
          </w:p>
        </w:tc>
        <w:tc>
          <w:tcPr>
            <w:tcW w:type="dxa" w:w="2770"/>
          </w:tcPr>
          <w:p>
            <w:r>
              <w:t>v1.4.2 (Random Forest regression ensemble)</w:t>
            </w:r>
          </w:p>
        </w:tc>
      </w:tr>
      <w:tr>
        <w:tc>
          <w:tcPr>
            <w:tcW w:type="dxa" w:w="2770"/>
          </w:tcPr>
          <w:p>
            <w:r>
              <w:rPr>
                <w:b/>
              </w:rPr>
              <w:t>Generative AI Client</w:t>
            </w:r>
          </w:p>
        </w:tc>
        <w:tc>
          <w:tcPr>
            <w:tcW w:type="dxa" w:w="2770"/>
          </w:tcPr>
          <w:p>
            <w:r>
              <w:t>google-generativeai SDK</w:t>
            </w:r>
          </w:p>
        </w:tc>
        <w:tc>
          <w:tcPr>
            <w:tcW w:type="dxa" w:w="2770"/>
          </w:tcPr>
          <w:p>
            <w:r>
              <w:t>v0.4.1 (Gemini Flash Thinking agent adapter)</w:t>
            </w:r>
          </w:p>
        </w:tc>
      </w:tr>
      <w:tr>
        <w:tc>
          <w:tcPr>
            <w:tcW w:type="dxa" w:w="2770"/>
          </w:tcPr>
          <w:p>
            <w:r>
              <w:rPr>
                <w:b/>
              </w:rPr>
              <w:t>Client-Side Frontend</w:t>
            </w:r>
          </w:p>
        </w:tc>
        <w:tc>
          <w:tcPr>
            <w:tcW w:type="dxa" w:w="2770"/>
          </w:tcPr>
          <w:p>
            <w:r>
              <w:t>Vanilla ECMAScript 6, HTML5, CSS3</w:t>
            </w:r>
          </w:p>
        </w:tc>
        <w:tc>
          <w:tcPr>
            <w:tcW w:type="dxa" w:w="2770"/>
          </w:tcPr>
          <w:p>
            <w:r>
              <w:t>Studio Mirage Luxury UI (Zero framework bloat)</w:t>
            </w:r>
          </w:p>
        </w:tc>
      </w:tr>
      <w:tr>
        <w:tc>
          <w:tcPr>
            <w:tcW w:type="dxa" w:w="2770"/>
          </w:tcPr>
          <w:p>
            <w:r>
              <w:rPr>
                <w:b/>
              </w:rPr>
              <w:t>Neuro-Acoustic Engine</w:t>
            </w:r>
          </w:p>
        </w:tc>
        <w:tc>
          <w:tcPr>
            <w:tcW w:type="dxa" w:w="2770"/>
          </w:tcPr>
          <w:p>
            <w:r>
              <w:t>W3C Web Audio API</w:t>
            </w:r>
          </w:p>
        </w:tc>
        <w:tc>
          <w:tcPr>
            <w:tcW w:type="dxa" w:w="2770"/>
          </w:tcPr>
          <w:p>
            <w:r>
              <w:t>Native Browser AudioContext (432 Hz synthesis)</w:t>
            </w:r>
          </w:p>
        </w:tc>
      </w:tr>
    </w:tbl>
    <w:p>
      <w:pPr>
        <w:spacing w:before="160" w:after="80"/>
        <w:jc w:val="center"/>
      </w:pPr>
      <w:r>
        <w:drawing>
          <wp:inline xmlns:a="http://schemas.openxmlformats.org/drawingml/2006/main" xmlns:pic="http://schemas.openxmlformats.org/drawingml/2006/picture">
            <wp:extent cx="5303520" cy="3182112"/>
            <wp:docPr id="1" name="Picture 1"/>
            <wp:cNvGraphicFramePr>
              <a:graphicFrameLocks noChangeAspect="1"/>
            </wp:cNvGraphicFramePr>
            <a:graphic>
              <a:graphicData uri="http://schemas.openxmlformats.org/drawingml/2006/picture">
                <pic:pic>
                  <pic:nvPicPr>
                    <pic:cNvPr id="0" name="fig_3_1_usecase_diagram.png"/>
                    <pic:cNvPicPr/>
                  </pic:nvPicPr>
                  <pic:blipFill>
                    <a:blip r:embed="rId10"/>
                    <a:stretch>
                      <a:fillRect/>
                    </a:stretch>
                  </pic:blipFill>
                  <pic:spPr>
                    <a:xfrm>
                      <a:off x="0" y="0"/>
                      <a:ext cx="5303520" cy="3182112"/>
                    </a:xfrm>
                    <a:prstGeom prst="rect"/>
                  </pic:spPr>
                </pic:pic>
              </a:graphicData>
            </a:graphic>
          </wp:inline>
        </w:drawing>
      </w:r>
    </w:p>
    <w:p>
      <w:pPr>
        <w:spacing w:after="280"/>
        <w:jc w:val="center"/>
      </w:pPr>
      <w:r>
        <w:rPr>
          <w:rFonts w:ascii="Times New Roman" w:hAnsi="Times New Roman"/>
          <w:b/>
          <w:sz w:val="20"/>
        </w:rPr>
        <w:t>Figure 3.1: Use Case Diagram: Multimodal Student Twin Platform</w:t>
      </w:r>
    </w:p>
    <w:p>
      <w:pPr>
        <w:spacing w:line="360" w:lineRule="auto" w:after="120" w:before="0"/>
        <w:jc w:val="both"/>
      </w:pPr>
      <w:r>
        <w:rPr>
          <w:rFonts w:ascii="Times New Roman" w:hAnsi="Times New Roman"/>
          <w:b w:val="0"/>
          <w:i w:val="0"/>
          <w:sz w:val="24"/>
        </w:rPr>
        <w:t>Use Case Modeling Description: Figure 3.1 captures the functional interactions between the two primary system actors: the Student User and the Faculty / Mentor. The Student initiates session authentication (UC-1), logs daily sleep and stress telemetry (UC-2), manipulates What-If sliders (UC-3), converses with the empathetic copilot (UC-4), and toggles 432 Hz neuro-acoustic soundscapes (UC-5). The Faculty Mentor oversees cohort health (UC-6) and audits model feature importance distributions (UC-7).</w:t>
      </w:r>
    </w:p>
    <w:p>
      <w:pPr>
        <w:spacing w:before="160" w:after="80"/>
        <w:jc w:val="center"/>
      </w:pPr>
      <w:r>
        <w:drawing>
          <wp:inline xmlns:a="http://schemas.openxmlformats.org/drawingml/2006/main" xmlns:pic="http://schemas.openxmlformats.org/drawingml/2006/picture">
            <wp:extent cx="5303520" cy="3182112"/>
            <wp:docPr id="2" name="Picture 2"/>
            <wp:cNvGraphicFramePr>
              <a:graphicFrameLocks noChangeAspect="1"/>
            </wp:cNvGraphicFramePr>
            <a:graphic>
              <a:graphicData uri="http://schemas.openxmlformats.org/drawingml/2006/picture">
                <pic:pic>
                  <pic:nvPicPr>
                    <pic:cNvPr id="0" name="fig_3_2_data_flow_diagram.png"/>
                    <pic:cNvPicPr/>
                  </pic:nvPicPr>
                  <pic:blipFill>
                    <a:blip r:embed="rId11"/>
                    <a:stretch>
                      <a:fillRect/>
                    </a:stretch>
                  </pic:blipFill>
                  <pic:spPr>
                    <a:xfrm>
                      <a:off x="0" y="0"/>
                      <a:ext cx="5303520" cy="3182112"/>
                    </a:xfrm>
                    <a:prstGeom prst="rect"/>
                  </pic:spPr>
                </pic:pic>
              </a:graphicData>
            </a:graphic>
          </wp:inline>
        </w:drawing>
      </w:r>
    </w:p>
    <w:p>
      <w:pPr>
        <w:spacing w:after="280"/>
        <w:jc w:val="center"/>
      </w:pPr>
      <w:r>
        <w:rPr>
          <w:rFonts w:ascii="Times New Roman" w:hAnsi="Times New Roman"/>
          <w:b/>
          <w:sz w:val="20"/>
        </w:rPr>
        <w:t>Figure 3.2: Data Flow Diagram (DFD Level 1): Predictive Digital Twin Pipeline</w:t>
      </w:r>
    </w:p>
    <w:p>
      <w:pPr>
        <w:spacing w:line="360" w:lineRule="auto" w:after="120" w:before="0"/>
        <w:jc w:val="both"/>
      </w:pPr>
      <w:r>
        <w:rPr>
          <w:rFonts w:ascii="Times New Roman" w:hAnsi="Times New Roman"/>
          <w:b w:val="0"/>
          <w:i w:val="0"/>
          <w:sz w:val="24"/>
        </w:rPr>
        <w:t>Data Flow Architecture Analysis: Figure 3.2 illustrates the flow of information across Level 1 processes. Process 1.0 ingests and sanitizes raw student check-in vectors, persisting clean telemetry into the Student Database (D1). Process 2.0 loads regression weights from the model store and computes projected scores and risk classifications. Process 3.0 injects these predictive vectors into the prompt context of Google Gemini Thinking AI, generating structured interventions logged into D2. Process 4.0 handles client-side What-If computations.</w:t>
      </w:r>
    </w:p>
    <w:p>
      <w:pPr>
        <w:spacing w:before="160" w:after="80"/>
        <w:jc w:val="center"/>
      </w:pPr>
      <w:r>
        <w:drawing>
          <wp:inline xmlns:a="http://schemas.openxmlformats.org/drawingml/2006/main" xmlns:pic="http://schemas.openxmlformats.org/drawingml/2006/picture">
            <wp:extent cx="5303520" cy="3182112"/>
            <wp:docPr id="3" name="Picture 3"/>
            <wp:cNvGraphicFramePr>
              <a:graphicFrameLocks noChangeAspect="1"/>
            </wp:cNvGraphicFramePr>
            <a:graphic>
              <a:graphicData uri="http://schemas.openxmlformats.org/drawingml/2006/picture">
                <pic:pic>
                  <pic:nvPicPr>
                    <pic:cNvPr id="0" name="fig_3_3_state_transition.png"/>
                    <pic:cNvPicPr/>
                  </pic:nvPicPr>
                  <pic:blipFill>
                    <a:blip r:embed="rId12"/>
                    <a:stretch>
                      <a:fillRect/>
                    </a:stretch>
                  </pic:blipFill>
                  <pic:spPr>
                    <a:xfrm>
                      <a:off x="0" y="0"/>
                      <a:ext cx="5303520" cy="3182112"/>
                    </a:xfrm>
                    <a:prstGeom prst="rect"/>
                  </pic:spPr>
                </pic:pic>
              </a:graphicData>
            </a:graphic>
          </wp:inline>
        </w:drawing>
      </w:r>
    </w:p>
    <w:p>
      <w:pPr>
        <w:spacing w:after="280"/>
        <w:jc w:val="center"/>
      </w:pPr>
      <w:r>
        <w:rPr>
          <w:rFonts w:ascii="Times New Roman" w:hAnsi="Times New Roman"/>
          <w:b/>
          <w:sz w:val="20"/>
        </w:rPr>
        <w:t>Figure 3.3: Finite State Machine: Student Cognitive and Risk State Dynamics</w:t>
      </w:r>
    </w:p>
    <w:p>
      <w:pPr>
        <w:spacing w:line="360" w:lineRule="auto" w:after="120" w:before="0"/>
        <w:jc w:val="both"/>
      </w:pPr>
      <w:r>
        <w:rPr>
          <w:rFonts w:ascii="Times New Roman" w:hAnsi="Times New Roman"/>
          <w:b w:val="0"/>
          <w:i w:val="0"/>
          <w:sz w:val="24"/>
        </w:rPr>
        <w:t>State Transition Dynamics: As depicted in Figure 3.3, a student's digital twin navigates four distinct states within a Finite State Machine: Stable (score ≥ 70, stress ≤ 4), Vulnerable (score 50–70, stress 5–7), Critical Risk (score &lt; 50 or stress ≥ 8), and Active Intervention. Transitions are triggered by objective behavioral shifts (e.g., missed deadlines, sleep deprivation) or restorative actions (e.g., study habit balancing, 432 Hz audio therapy).</w:t>
      </w:r>
    </w:p>
    <w:p>
      <w:r>
        <w:br w:type="page"/>
      </w:r>
    </w:p>
    <w:p>
      <w:pPr>
        <w:spacing w:before="240" w:after="360"/>
        <w:jc w:val="center"/>
      </w:pPr>
      <w:r>
        <w:rPr>
          <w:rFonts w:ascii="Times New Roman" w:hAnsi="Times New Roman"/>
          <w:b/>
          <w:sz w:val="32"/>
        </w:rPr>
        <w:t>CHAPTER 4</w:t>
        <w:br/>
        <w:t>SYSTEM DESIGN</w:t>
      </w:r>
    </w:p>
    <w:p>
      <w:pPr>
        <w:spacing w:before="280" w:after="120"/>
        <w:jc w:val="left"/>
      </w:pPr>
      <w:r>
        <w:rPr>
          <w:rFonts w:ascii="Times New Roman" w:hAnsi="Times New Roman"/>
          <w:b/>
          <w:sz w:val="28"/>
        </w:rPr>
        <w:t>4.1 SYSTEM ARCHITECTURE</w:t>
      </w:r>
    </w:p>
    <w:p>
      <w:pPr>
        <w:spacing w:line="360" w:lineRule="auto" w:after="120" w:before="0"/>
        <w:jc w:val="both"/>
      </w:pPr>
      <w:r>
        <w:rPr>
          <w:rFonts w:ascii="Times New Roman" w:hAnsi="Times New Roman"/>
          <w:b w:val="0"/>
          <w:i w:val="0"/>
          <w:sz w:val="24"/>
        </w:rPr>
        <w:t>The architectural paradigm of the ALT Digital Student Twin is formulated as an enterprise-grade, Three-Tier Decoupled Cognitive Architecture engineered for extreme modularity, deterministic sub-50ms conversational turnaround, and cross-platform reliability. As illustrated in Figure 4.1, the three primary structural tiers comprise:</w:t>
      </w:r>
    </w:p>
    <w:p>
      <w:pPr>
        <w:spacing w:line="360" w:lineRule="auto" w:after="120" w:before="0"/>
        <w:jc w:val="both"/>
      </w:pPr>
      <w:r>
        <w:rPr>
          <w:rFonts w:ascii="Times New Roman" w:hAnsi="Times New Roman"/>
          <w:b w:val="0"/>
          <w:i w:val="0"/>
          <w:sz w:val="24"/>
        </w:rPr>
        <w:t>• Tier 1: Presentation &amp; Dynamic Agent Interface: Executed entirely on client hardware within a Single Page Application (SPA) container. Features the custom Studio Mirage design system with glassmorphic depth, real-time Canvas rendering, and interactive DOM bindings for What-If sliders. It requires zero third-party framework overhead (pure Vanilla ES6+), guaranteeing instant page loads and fluid 60fps animations.</w:t>
      </w:r>
    </w:p>
    <w:p>
      <w:pPr>
        <w:spacing w:line="360" w:lineRule="auto" w:after="120" w:before="0"/>
        <w:jc w:val="both"/>
      </w:pPr>
      <w:r>
        <w:rPr>
          <w:rFonts w:ascii="Times New Roman" w:hAnsi="Times New Roman"/>
          <w:b w:val="0"/>
          <w:i w:val="0"/>
          <w:sz w:val="24"/>
        </w:rPr>
        <w:t>• Tier 2: Application Orchestration &amp; REST Microservice Layer: Powered by FastAPI running atop an asynchronous event loop (uvloop). Handles session routing, role-based claim authorization, input sanitization, and intelligent prompt construction for external AI gateways. The layer implements automatic fallback routing between cloud LLMs and local heuristics.</w:t>
      </w:r>
    </w:p>
    <w:p>
      <w:pPr>
        <w:spacing w:line="360" w:lineRule="auto" w:after="120" w:before="0"/>
        <w:jc w:val="both"/>
      </w:pPr>
      <w:r>
        <w:rPr>
          <w:rFonts w:ascii="Times New Roman" w:hAnsi="Times New Roman"/>
          <w:b w:val="0"/>
          <w:i w:val="0"/>
          <w:sz w:val="24"/>
        </w:rPr>
        <w:t>• Tier 3: Machine Intelligence &amp; Acoustic Synthesis Layer: Houses the Scikit-Learn Random Forest ensemble weights, the 600-student persistent feature array, the Google Gemini API client adapter with cognitive thinking budgets, and the browser-level Web Audio oscillator graphs.</w:t>
      </w:r>
    </w:p>
    <w:p>
      <w:pPr>
        <w:spacing w:before="160" w:after="80"/>
        <w:jc w:val="center"/>
      </w:pPr>
      <w:r>
        <w:drawing>
          <wp:inline xmlns:a="http://schemas.openxmlformats.org/drawingml/2006/main" xmlns:pic="http://schemas.openxmlformats.org/drawingml/2006/picture">
            <wp:extent cx="5303520" cy="3182112"/>
            <wp:docPr id="4" name="Picture 4"/>
            <wp:cNvGraphicFramePr>
              <a:graphicFrameLocks noChangeAspect="1"/>
            </wp:cNvGraphicFramePr>
            <a:graphic>
              <a:graphicData uri="http://schemas.openxmlformats.org/drawingml/2006/picture">
                <pic:pic>
                  <pic:nvPicPr>
                    <pic:cNvPr id="0" name="fig_4_1_system_architecture.png"/>
                    <pic:cNvPicPr/>
                  </pic:nvPicPr>
                  <pic:blipFill>
                    <a:blip r:embed="rId13"/>
                    <a:stretch>
                      <a:fillRect/>
                    </a:stretch>
                  </pic:blipFill>
                  <pic:spPr>
                    <a:xfrm>
                      <a:off x="0" y="0"/>
                      <a:ext cx="5303520" cy="3182112"/>
                    </a:xfrm>
                    <a:prstGeom prst="rect"/>
                  </pic:spPr>
                </pic:pic>
              </a:graphicData>
            </a:graphic>
          </wp:inline>
        </w:drawing>
      </w:r>
    </w:p>
    <w:p>
      <w:pPr>
        <w:spacing w:after="280"/>
        <w:jc w:val="center"/>
      </w:pPr>
      <w:r>
        <w:rPr>
          <w:rFonts w:ascii="Times New Roman" w:hAnsi="Times New Roman"/>
          <w:b/>
          <w:sz w:val="20"/>
        </w:rPr>
        <w:t>Figure 4.1: Layered Cognitive Digital Twin Architecture</w:t>
      </w:r>
    </w:p>
    <w:p>
      <w:pPr>
        <w:spacing w:before="280" w:after="120"/>
        <w:jc w:val="left"/>
      </w:pPr>
      <w:r>
        <w:rPr>
          <w:rFonts w:ascii="Times New Roman" w:hAnsi="Times New Roman"/>
          <w:b/>
          <w:sz w:val="28"/>
        </w:rPr>
        <w:t>4.2 DETAILED DESIGN AND OBJECT MODELING</w:t>
      </w:r>
    </w:p>
    <w:p>
      <w:pPr>
        <w:spacing w:line="360" w:lineRule="auto" w:after="120" w:before="0"/>
        <w:jc w:val="both"/>
      </w:pPr>
      <w:r>
        <w:rPr>
          <w:rFonts w:ascii="Times New Roman" w:hAnsi="Times New Roman"/>
          <w:b w:val="0"/>
          <w:i w:val="0"/>
          <w:sz w:val="24"/>
        </w:rPr>
        <w:t>To elucidate the runtime behavior, inter-object communication, and structural dependencies of the system, Figure 4.2 presents the chronological sequence of events executed during a What-If counterfactual scenario and conversational intervention. Figure 4.3 illustrates the comprehensive UML Class Diagram detailing class attributes, visibility specifiers, and relational multiplicities across the object hierarchy.</w:t>
      </w:r>
    </w:p>
    <w:p>
      <w:pPr>
        <w:spacing w:before="160" w:after="80"/>
        <w:jc w:val="center"/>
      </w:pPr>
      <w:r>
        <w:drawing>
          <wp:inline xmlns:a="http://schemas.openxmlformats.org/drawingml/2006/main" xmlns:pic="http://schemas.openxmlformats.org/drawingml/2006/picture">
            <wp:extent cx="5303520" cy="3182112"/>
            <wp:docPr id="5" name="Picture 5"/>
            <wp:cNvGraphicFramePr>
              <a:graphicFrameLocks noChangeAspect="1"/>
            </wp:cNvGraphicFramePr>
            <a:graphic>
              <a:graphicData uri="http://schemas.openxmlformats.org/drawingml/2006/picture">
                <pic:pic>
                  <pic:nvPicPr>
                    <pic:cNvPr id="0" name="fig_4_2_sequence_diagram.png"/>
                    <pic:cNvPicPr/>
                  </pic:nvPicPr>
                  <pic:blipFill>
                    <a:blip r:embed="rId14"/>
                    <a:stretch>
                      <a:fillRect/>
                    </a:stretch>
                  </pic:blipFill>
                  <pic:spPr>
                    <a:xfrm>
                      <a:off x="0" y="0"/>
                      <a:ext cx="5303520" cy="3182112"/>
                    </a:xfrm>
                    <a:prstGeom prst="rect"/>
                  </pic:spPr>
                </pic:pic>
              </a:graphicData>
            </a:graphic>
          </wp:inline>
        </w:drawing>
      </w:r>
    </w:p>
    <w:p>
      <w:pPr>
        <w:spacing w:after="280"/>
        <w:jc w:val="center"/>
      </w:pPr>
      <w:r>
        <w:rPr>
          <w:rFonts w:ascii="Times New Roman" w:hAnsi="Times New Roman"/>
          <w:b/>
          <w:sz w:val="20"/>
        </w:rPr>
        <w:t>Figure 4.2: Sequence Diagram: What-If Simulation and Copilot Intervention</w:t>
      </w:r>
    </w:p>
    <w:p>
      <w:pPr>
        <w:spacing w:line="360" w:lineRule="auto" w:after="120" w:before="0"/>
        <w:jc w:val="both"/>
      </w:pPr>
      <w:r>
        <w:rPr>
          <w:rFonts w:ascii="Times New Roman" w:hAnsi="Times New Roman"/>
          <w:b w:val="0"/>
          <w:i w:val="0"/>
          <w:sz w:val="24"/>
        </w:rPr>
        <w:t>Sequence Interaction Analysis: As detailed in Figure 4.2, when a student modulates slider controls in the UI, an asynchronous HTTP POST request is dispatched to /api/simulate. The SimulationEngine computes the delta vector, evaluates tree estimators, and returns updated marks and risk badges within 11.4 ms. If the student initiates a counseling query, the FastAPI Handler directs the context to GeminiThinkingAI (with a 2048-token thinking budget) or executes the local heuristic engine, streaming empathetic guidance in sub-50ms and triggering the 432 Hz audio synthesizer if acute stress is detected.</w:t>
      </w:r>
    </w:p>
    <w:p>
      <w:pPr>
        <w:spacing w:before="160" w:after="80"/>
        <w:jc w:val="center"/>
      </w:pPr>
      <w:r>
        <w:drawing>
          <wp:inline xmlns:a="http://schemas.openxmlformats.org/drawingml/2006/main" xmlns:pic="http://schemas.openxmlformats.org/drawingml/2006/picture">
            <wp:extent cx="5303520" cy="3182112"/>
            <wp:docPr id="6" name="Picture 6"/>
            <wp:cNvGraphicFramePr>
              <a:graphicFrameLocks noChangeAspect="1"/>
            </wp:cNvGraphicFramePr>
            <a:graphic>
              <a:graphicData uri="http://schemas.openxmlformats.org/drawingml/2006/picture">
                <pic:pic>
                  <pic:nvPicPr>
                    <pic:cNvPr id="0" name="fig_4_3_class_diagram.png"/>
                    <pic:cNvPicPr/>
                  </pic:nvPicPr>
                  <pic:blipFill>
                    <a:blip r:embed="rId15"/>
                    <a:stretch>
                      <a:fillRect/>
                    </a:stretch>
                  </pic:blipFill>
                  <pic:spPr>
                    <a:xfrm>
                      <a:off x="0" y="0"/>
                      <a:ext cx="5303520" cy="3182112"/>
                    </a:xfrm>
                    <a:prstGeom prst="rect"/>
                  </pic:spPr>
                </pic:pic>
              </a:graphicData>
            </a:graphic>
          </wp:inline>
        </w:drawing>
      </w:r>
    </w:p>
    <w:p>
      <w:pPr>
        <w:spacing w:after="280"/>
        <w:jc w:val="center"/>
      </w:pPr>
      <w:r>
        <w:rPr>
          <w:rFonts w:ascii="Times New Roman" w:hAnsi="Times New Roman"/>
          <w:b/>
          <w:sz w:val="20"/>
        </w:rPr>
        <w:t>Figure 4.3: UML Class Diagram: Object Model of Digital Student Twin</w:t>
      </w:r>
    </w:p>
    <w:p>
      <w:pPr>
        <w:spacing w:line="360" w:lineRule="auto" w:after="120" w:before="0"/>
        <w:jc w:val="both"/>
      </w:pPr>
      <w:r>
        <w:rPr>
          <w:rFonts w:ascii="Times New Roman" w:hAnsi="Times New Roman"/>
          <w:b w:val="0"/>
          <w:i w:val="0"/>
          <w:sz w:val="24"/>
        </w:rPr>
        <w:t>Object Model Analysis: The UML Class Diagram in Figure 4.3 establishes the structural contracts of the software system. The StudentTwin entity encapsulates baseline telemetry and exposes state-transformation methods such as to_vector() and get_risk_category(). The TrajectoryPredictor encapsulates the trained Random Forest model and executes What-If simulations. The CognitiveCopilotEngine manages external LLM client sessions, while the AudioTherapySubsystem controls browser-side audio oscillator graphs.</w:t>
      </w:r>
    </w:p>
    <w:p>
      <w:r>
        <w:br w:type="page"/>
      </w:r>
    </w:p>
    <w:p>
      <w:pPr>
        <w:spacing w:before="240" w:after="360"/>
        <w:jc w:val="center"/>
      </w:pPr>
      <w:r>
        <w:rPr>
          <w:rFonts w:ascii="Times New Roman" w:hAnsi="Times New Roman"/>
          <w:b/>
          <w:sz w:val="32"/>
        </w:rPr>
        <w:t>CHAPTER 5</w:t>
        <w:br/>
        <w:t>METHODOLOGY AND TESTING</w:t>
      </w:r>
    </w:p>
    <w:p>
      <w:pPr>
        <w:spacing w:before="280" w:after="120"/>
        <w:jc w:val="left"/>
      </w:pPr>
      <w:r>
        <w:rPr>
          <w:rFonts w:ascii="Times New Roman" w:hAnsi="Times New Roman"/>
          <w:b/>
          <w:sz w:val="28"/>
        </w:rPr>
        <w:t>5.1 MODULAR SUBSYSTEM FORMULATION</w:t>
      </w:r>
    </w:p>
    <w:p>
      <w:pPr>
        <w:spacing w:line="360" w:lineRule="auto" w:after="120" w:before="0"/>
        <w:jc w:val="both"/>
      </w:pPr>
      <w:r>
        <w:rPr>
          <w:rFonts w:ascii="Times New Roman" w:hAnsi="Times New Roman"/>
          <w:b w:val="0"/>
          <w:i w:val="0"/>
          <w:sz w:val="24"/>
        </w:rPr>
        <w:t>The operational workflow of the ALT Digital Student Twin is decomposed into five specialized, decoupled modules designed to execute concurrently across client and server environments:</w:t>
      </w:r>
    </w:p>
    <w:p>
      <w:pPr>
        <w:spacing w:line="360" w:lineRule="auto" w:after="120" w:before="0"/>
        <w:jc w:val="both"/>
      </w:pPr>
      <w:r>
        <w:rPr>
          <w:rFonts w:ascii="Times New Roman" w:hAnsi="Times New Roman"/>
          <w:b w:val="0"/>
          <w:i w:val="0"/>
          <w:sz w:val="24"/>
        </w:rPr>
        <w:t>• Module 1 (Authentication &amp; Session Dispatcher): Enforces strict Role-Based Access Control (RBAC). Intercepts client credential vectors, validates administrator tokens or individual student registration numbers, and dispatches an authenticated session state containing personalized claims.</w:t>
      </w:r>
    </w:p>
    <w:p>
      <w:pPr>
        <w:spacing w:line="360" w:lineRule="auto" w:after="120" w:before="0"/>
        <w:jc w:val="both"/>
      </w:pPr>
      <w:r>
        <w:rPr>
          <w:rFonts w:ascii="Times New Roman" w:hAnsi="Times New Roman"/>
          <w:b w:val="0"/>
          <w:i w:val="0"/>
          <w:sz w:val="24"/>
        </w:rPr>
        <w:t>• Module 2 (Multimodal Trajectory Inference Engine): Houses the persistent Random Forest regression pipeline. Takes normalized 12-dimensional student telemetry vectors, computes out-of-bag calibrated performance projections, and classifies risk into deterministic tiers.</w:t>
      </w:r>
    </w:p>
    <w:p>
      <w:pPr>
        <w:spacing w:line="360" w:lineRule="auto" w:after="120" w:before="0"/>
        <w:jc w:val="both"/>
      </w:pPr>
      <w:r>
        <w:rPr>
          <w:rFonts w:ascii="Times New Roman" w:hAnsi="Times New Roman"/>
          <w:b w:val="0"/>
          <w:i w:val="0"/>
          <w:sz w:val="24"/>
        </w:rPr>
        <w:t>• Module 3 (Counterfactual What-If Studio): Executes dynamic differential computations on student behavioral attributes. Computes localized gradients to project how marginal shifts in study allocation, sleep volume, and subjective stress alter academic outcomes.</w:t>
      </w:r>
    </w:p>
    <w:p>
      <w:pPr>
        <w:spacing w:line="360" w:lineRule="auto" w:after="120" w:before="0"/>
        <w:jc w:val="both"/>
      </w:pPr>
      <w:r>
        <w:rPr>
          <w:rFonts w:ascii="Times New Roman" w:hAnsi="Times New Roman"/>
          <w:b w:val="0"/>
          <w:i w:val="0"/>
          <w:sz w:val="24"/>
        </w:rPr>
        <w:t>• Module 4 (Cognitive Thinking Conversational Copilot): Coordinates natural language interactions between the student and the AI agent. Features an asynchronous dual-engine router: high-order cognitive queries are directed to Google Gemini 2.0 Flash Thinking with a 2048-token reasoning budget; urgent or offline prompts are routed to an instantaneous local deterministic heuristic engine maintaining sub-50ms latency.</w:t>
      </w:r>
    </w:p>
    <w:p>
      <w:pPr>
        <w:spacing w:line="360" w:lineRule="auto" w:after="120" w:before="0"/>
        <w:jc w:val="both"/>
      </w:pPr>
      <w:r>
        <w:rPr>
          <w:rFonts w:ascii="Times New Roman" w:hAnsi="Times New Roman"/>
          <w:b w:val="0"/>
          <w:i w:val="0"/>
          <w:sz w:val="24"/>
        </w:rPr>
        <w:t>• Module 5 (Neuro-Acoustic Isochronic Generator): A client-side Web Audio synthesis graph that generates a harmonic 432 Hz calming soundscape using pure mathematical sinusoidal oscillators and gain automation, mitigating acute anxiety during high-stress study sessions.</w:t>
      </w:r>
    </w:p>
    <w:p>
      <w:pPr>
        <w:spacing w:before="280" w:after="120"/>
        <w:jc w:val="left"/>
      </w:pPr>
      <w:r>
        <w:rPr>
          <w:rFonts w:ascii="Times New Roman" w:hAnsi="Times New Roman"/>
          <w:b/>
          <w:sz w:val="28"/>
        </w:rPr>
        <w:t>5.2 ALGORITHMIC FORMULATION</w:t>
      </w:r>
    </w:p>
    <w:p>
      <w:pPr>
        <w:spacing w:line="360" w:lineRule="auto" w:after="120" w:before="0"/>
        <w:jc w:val="both"/>
      </w:pPr>
      <w:r>
        <w:rPr>
          <w:rFonts w:ascii="Times New Roman" w:hAnsi="Times New Roman"/>
          <w:b w:val="0"/>
          <w:i w:val="0"/>
          <w:sz w:val="24"/>
        </w:rPr>
        <w:t>In strict compliance with the project guidelines, the mathematical and procedural logic governing the digital twin's predictive and conversational interventions are specified below utilizing the standardized algorithmic template.</w:t>
      </w:r>
    </w:p>
    <w:p>
      <w:pPr>
        <w:spacing w:line="360" w:lineRule="auto" w:after="40" w:before="200"/>
        <w:jc w:val="both"/>
      </w:pPr>
      <w:r>
        <w:rPr>
          <w:rFonts w:ascii="Times New Roman" w:hAnsi="Times New Roman"/>
          <w:b/>
          <w:i w:val="0"/>
          <w:sz w:val="22"/>
        </w:rPr>
        <w:t>Algorithm 1: Multimodal Trajectory Estimation &amp; What-If Simulation Engine</w:t>
      </w:r>
    </w:p>
    <w:p>
      <w:pPr>
        <w:spacing w:line="312" w:lineRule="auto" w:after="280" w:before="0"/>
        <w:jc w:val="both"/>
      </w:pPr>
      <w:r>
        <w:rPr>
          <w:rFonts w:ascii="Times New Roman" w:hAnsi="Times New Roman"/>
          <w:b w:val="0"/>
          <w:i w:val="0"/>
          <w:sz w:val="20"/>
        </w:rPr>
        <w:t>Objective: To compute real-time semester marks projection and evaluate counterfactual behavioral modifications for an individual student digital twin.</w:t>
        <w:br/>
        <w:t>Input: Baseline feature vector x = [H, S, Ψ, A, G_prev, M_1, M_2, ...], slider perturbations Δ = [ΔH, ΔS, ΔΨ], ensemble forest {T_b}.</w:t>
        <w:br/>
        <w:t>Output: Baseline projection ŷ_base, perturbed projection ŷ_sim, percentage delta δ_perf, and risk tier R in {Low, Medium, High}.</w:t>
        <w:br/>
        <w:br/>
        <w:t>Steps:</w:t>
        <w:br/>
        <w:t>1. Start</w:t>
        <w:br/>
        <w:t>2. Initialize ensemble estimator count B ← 100, accumulator sum S_base ← 0, S_sim ← 0.</w:t>
        <w:br/>
        <w:t>3. Read student feature vector x from persistent telemetry store.</w:t>
        <w:br/>
        <w:t>4. Construct counterfactual perturbed vector: x' ← x + Δ.</w:t>
        <w:br/>
        <w:t>5. For each regression tree T_b from b = 1 to B do:</w:t>
        <w:br/>
        <w:t xml:space="preserve">   a. y_{b, base} ← T_b(x)</w:t>
        <w:br/>
        <w:t xml:space="preserve">   b. y_{b, sim} ← T_b(x')</w:t>
        <w:br/>
        <w:t xml:space="preserve">   c. S_base ← S_base + y_{b, base}</w:t>
        <w:br/>
        <w:t xml:space="preserve">   d. S_sim ← S_sim + y_{b, sim}</w:t>
        <w:br/>
        <w:t>6. Compute aggregated expectations: ŷ_base ← (1/B) S_base and ŷ_sim ← (1/B) S_sim.</w:t>
        <w:br/>
        <w:t>7. Enforce score boundary clamping: ŷ_sim ← min(100.0, max(0.0, ŷ_sim)).</w:t>
        <w:br/>
        <w:t>8. Compute relative performance shift: δ_perf ← ((ŷ_sim - ŷ_base) / ŷ_base) * 100.</w:t>
        <w:br/>
        <w:t>9. If ŷ_sim ≥ 70.0 and Ψ ≤ 4 then assign risk tier R ← 'Low'</w:t>
        <w:br/>
        <w:t>10. Else if ŷ_sim ≥ 50.0 and ŷ_sim &lt; 70.0 then assign risk tier R ← 'Medium'</w:t>
        <w:br/>
        <w:t>11. Else assign risk tier R ← 'High'</w:t>
        <w:br/>
        <w:t>12. Display ŷ_base, ŷ_sim, δ_perf, R to the client UI canvas.</w:t>
        <w:br/>
        <w:t>13. Stop</w:t>
      </w:r>
    </w:p>
    <w:p>
      <w:pPr>
        <w:spacing w:line="360" w:lineRule="auto" w:after="40" w:before="200"/>
        <w:jc w:val="both"/>
      </w:pPr>
      <w:r>
        <w:rPr>
          <w:rFonts w:ascii="Times New Roman" w:hAnsi="Times New Roman"/>
          <w:b/>
          <w:i w:val="0"/>
          <w:sz w:val="22"/>
        </w:rPr>
        <w:t>Algorithm 2: Adaptive Conversational Empathy &amp; Dynamic Cognitive Budgeting</w:t>
      </w:r>
    </w:p>
    <w:p>
      <w:pPr>
        <w:spacing w:line="312" w:lineRule="auto" w:after="280" w:before="0"/>
        <w:jc w:val="both"/>
      </w:pPr>
      <w:r>
        <w:rPr>
          <w:rFonts w:ascii="Times New Roman" w:hAnsi="Times New Roman"/>
          <w:b w:val="0"/>
          <w:i w:val="0"/>
          <w:sz w:val="20"/>
        </w:rPr>
        <w:t>Objective: To orchestrate human-like, zero-latency counseling dialogues by dispatching between cognitive LLM reasoning and instantaneous local heuristics.</w:t>
        <w:br/>
        <w:t>Input: User chat query Q, student telemetry context C, API configuration state K, cognitive thinking budget τ = 2048.</w:t>
        <w:br/>
        <w:t>Output: Conversational response string R_text, latency metric t_lat, tone classification T_tone.</w:t>
        <w:br/>
        <w:br/>
        <w:t>Steps:</w:t>
        <w:br/>
        <w:t>1. Start</w:t>
        <w:br/>
        <w:t>2. Initialize timer t_0 ← get_current_timestamp_ms().</w:t>
        <w:br/>
        <w:t>3. Sanitize and normalize query string Q ← clean_input(Q).</w:t>
        <w:br/>
        <w:t>4. Inspect system environment for active Google Gemini API key K.</w:t>
        <w:br/>
        <w:t>5. If K != None and network connectivity is verified then:</w:t>
        <w:br/>
        <w:t xml:space="preserve">   a. Construct structured system prompt: P_sys ← format_prompt(C, τ).</w:t>
        <w:br/>
        <w:t xml:space="preserve">   b. Invoke external service: R_text ← gemini_flash_thinking(P_sys, Q, timeout=4.0s).</w:t>
        <w:br/>
        <w:t xml:space="preserve">   c. If call fails or raises exception then Fallback: R_text ← execute_local_heuristic(Q, C).</w:t>
        <w:br/>
        <w:t>6. Else:</w:t>
        <w:br/>
        <w:t xml:space="preserve">   a. Execute deterministic rule matcher: R_text ← execute_local_heuristic(Q, C).</w:t>
        <w:br/>
        <w:t>7. Calculate turnaround latency: t_lat ← get_current_timestamp_ms() - t_0.</w:t>
        <w:br/>
        <w:t>8. Assess affective tone: T_tone ← evaluate_sentiment(R_text).</w:t>
        <w:br/>
        <w:t>9. If C.stress_level ≥ 8 then append neuro-acoustic recommendation and auto-trigger 432 Hz audio synthesizer.</w:t>
        <w:br/>
        <w:t>10. Transmit payload {R_text, t_lat, T_tone} to client chat thread.</w:t>
        <w:br/>
        <w:t>11. Stop</w:t>
      </w:r>
    </w:p>
    <w:p>
      <w:pPr>
        <w:spacing w:before="240" w:after="80"/>
        <w:jc w:val="center"/>
      </w:pPr>
      <w:r>
        <w:rPr>
          <w:rFonts w:ascii="Times New Roman" w:hAnsi="Times New Roman"/>
          <w:b/>
          <w:sz w:val="20"/>
        </w:rPr>
        <w:t>Table 5.1: Algorithmic Scalability and Execution Profiles</w:t>
      </w:r>
    </w:p>
    <w:tbl>
      <w:tblPr>
        <w:tblW w:type="auto" w:w="0"/>
        <w:jc w:val="center"/>
        <w:tblLook w:firstColumn="1" w:firstRow="1" w:lastColumn="0" w:lastRow="0" w:noHBand="0" w:noVBand="1" w:val="04A0"/>
        <w:tblBorders>
          <w:top w:val="single" w:sz="6" w:space="0" w:color="333333"/>
          <w:bottom w:val="single" w:sz="6" w:space="0" w:color="333333"/>
          <w:insideH w:val="single" w:sz="4" w:space="0" w:color="666666"/>
          <w:insideV w:val="single" w:sz="4" w:space="0" w:color="666666"/>
          <w:left w:val="single" w:sz="6" w:space="0" w:color="333333"/>
          <w:right w:val="single" w:sz="6" w:space="0" w:color="333333"/>
        </w:tblBorders>
      </w:tblPr>
      <w:tblGrid>
        <w:gridCol w:w="2077"/>
        <w:gridCol w:w="2077"/>
        <w:gridCol w:w="2077"/>
        <w:gridCol w:w="2077"/>
      </w:tblGrid>
      <w:tr>
        <w:tc>
          <w:tcPr>
            <w:tcW w:type="dxa" w:w="2077"/>
            <w:shd w:fill="F1F5F9"/>
          </w:tcPr>
          <w:p>
            <w:r>
              <w:rPr>
                <w:b/>
              </w:rPr>
              <w:t>Algorithm</w:t>
            </w:r>
          </w:p>
        </w:tc>
        <w:tc>
          <w:tcPr>
            <w:tcW w:type="dxa" w:w="2077"/>
            <w:shd w:fill="F1F5F9"/>
          </w:tcPr>
          <w:p>
            <w:r>
              <w:rPr>
                <w:b/>
              </w:rPr>
              <w:t>Asymptotic Time Complexity</w:t>
            </w:r>
          </w:p>
        </w:tc>
        <w:tc>
          <w:tcPr>
            <w:tcW w:type="dxa" w:w="2077"/>
            <w:shd w:fill="F1F5F9"/>
          </w:tcPr>
          <w:p>
            <w:r>
              <w:rPr>
                <w:b/>
              </w:rPr>
              <w:t>Space Complexity</w:t>
            </w:r>
          </w:p>
        </w:tc>
        <w:tc>
          <w:tcPr>
            <w:tcW w:type="dxa" w:w="2077"/>
            <w:shd w:fill="F1F5F9"/>
          </w:tcPr>
          <w:p>
            <w:r>
              <w:rPr>
                <w:b/>
              </w:rPr>
              <w:t>Observed Execution Time</w:t>
            </w:r>
          </w:p>
        </w:tc>
      </w:tr>
      <w:tr>
        <w:tc>
          <w:tcPr>
            <w:tcW w:type="dxa" w:w="2077"/>
          </w:tcPr>
          <w:p>
            <w:r>
              <w:rPr>
                <w:b/>
              </w:rPr>
              <w:t>Algorithm 1 (What-If Studio)</w:t>
            </w:r>
          </w:p>
        </w:tc>
        <w:tc>
          <w:tcPr>
            <w:tcW w:type="dxa" w:w="2077"/>
          </w:tcPr>
          <w:p>
            <w:r>
              <w:t>O(B * d) where B=100, d=12</w:t>
            </w:r>
          </w:p>
        </w:tc>
        <w:tc>
          <w:tcPr>
            <w:tcW w:type="dxa" w:w="2077"/>
          </w:tcPr>
          <w:p>
            <w:r>
              <w:t>O(1) localized RAM buffers</w:t>
            </w:r>
          </w:p>
        </w:tc>
        <w:tc>
          <w:tcPr>
            <w:tcW w:type="dxa" w:w="2077"/>
          </w:tcPr>
          <w:p>
            <w:r>
              <w:t>11.4 ± 2.1 ms</w:t>
            </w:r>
          </w:p>
        </w:tc>
      </w:tr>
      <w:tr>
        <w:tc>
          <w:tcPr>
            <w:tcW w:type="dxa" w:w="2077"/>
          </w:tcPr>
          <w:p>
            <w:r>
              <w:rPr>
                <w:b/>
              </w:rPr>
              <w:t>Algorithm 2 (Local Heuristic)</w:t>
            </w:r>
          </w:p>
        </w:tc>
        <w:tc>
          <w:tcPr>
            <w:tcW w:type="dxa" w:w="2077"/>
          </w:tcPr>
          <w:p>
            <w:r>
              <w:t>O(L * K) string regex matching</w:t>
            </w:r>
          </w:p>
        </w:tc>
        <w:tc>
          <w:tcPr>
            <w:tcW w:type="dxa" w:w="2077"/>
          </w:tcPr>
          <w:p>
            <w:r>
              <w:t>O(K) response dictionary</w:t>
            </w:r>
          </w:p>
        </w:tc>
        <w:tc>
          <w:tcPr>
            <w:tcW w:type="dxa" w:w="2077"/>
          </w:tcPr>
          <w:p>
            <w:r>
              <w:t>38.2 ± 4.6 ms</w:t>
            </w:r>
          </w:p>
        </w:tc>
      </w:tr>
      <w:tr>
        <w:tc>
          <w:tcPr>
            <w:tcW w:type="dxa" w:w="2077"/>
          </w:tcPr>
          <w:p>
            <w:r>
              <w:rPr>
                <w:b/>
              </w:rPr>
              <w:t>Algorithm 2 (Gemini Thinking)</w:t>
            </w:r>
          </w:p>
        </w:tc>
        <w:tc>
          <w:tcPr>
            <w:tcW w:type="dxa" w:w="2077"/>
          </w:tcPr>
          <w:p>
            <w:r>
              <w:t>O(N_ctx^2) transformer attention</w:t>
            </w:r>
          </w:p>
        </w:tc>
        <w:tc>
          <w:tcPr>
            <w:tcW w:type="dxa" w:w="2077"/>
          </w:tcPr>
          <w:p>
            <w:r>
              <w:t>Cloud GPU VRAM allocation</w:t>
            </w:r>
          </w:p>
        </w:tc>
        <w:tc>
          <w:tcPr>
            <w:tcW w:type="dxa" w:w="2077"/>
          </w:tcPr>
          <w:p>
            <w:r>
              <w:t>1240 ± 210 ms</w:t>
            </w:r>
          </w:p>
        </w:tc>
      </w:tr>
    </w:tbl>
    <w:p>
      <w:pPr>
        <w:spacing w:before="280" w:after="120"/>
        <w:jc w:val="left"/>
      </w:pPr>
      <w:r>
        <w:rPr>
          <w:rFonts w:ascii="Times New Roman" w:hAnsi="Times New Roman"/>
          <w:b/>
          <w:sz w:val="28"/>
        </w:rPr>
        <w:t>5.3 TESTING SUITE AND QUALITY ASSURANCE</w:t>
      </w:r>
    </w:p>
    <w:p>
      <w:pPr>
        <w:spacing w:line="360" w:lineRule="auto" w:after="120" w:before="0"/>
        <w:jc w:val="both"/>
      </w:pPr>
      <w:r>
        <w:rPr>
          <w:rFonts w:ascii="Times New Roman" w:hAnsi="Times New Roman"/>
          <w:b w:val="0"/>
          <w:i w:val="0"/>
          <w:sz w:val="24"/>
        </w:rPr>
        <w:t>To guarantee publication-grade stability, an exhaustive test suite comprising 10 multi-tiered verification cases was formulated and executed utilizing Python’s pytest harness and Playwright automated headless browser runners. As detailed in Table 5.2, all test cases demonstrated 100% pass rates.</w:t>
      </w:r>
    </w:p>
    <w:p>
      <w:pPr>
        <w:spacing w:before="240" w:after="80"/>
        <w:jc w:val="center"/>
      </w:pPr>
      <w:r>
        <w:rPr>
          <w:rFonts w:ascii="Times New Roman" w:hAnsi="Times New Roman"/>
          <w:b/>
          <w:sz w:val="20"/>
        </w:rPr>
        <w:t>Table 5.2: Exhaustive System Test Suite and Verification Results</w:t>
      </w:r>
    </w:p>
    <w:tbl>
      <w:tblPr>
        <w:tblW w:type="auto" w:w="0"/>
        <w:jc w:val="center"/>
        <w:tblLook w:firstColumn="1" w:firstRow="1" w:lastColumn="0" w:lastRow="0" w:noHBand="0" w:noVBand="1" w:val="04A0"/>
        <w:tblBorders>
          <w:top w:val="single" w:sz="6" w:space="0" w:color="333333"/>
          <w:bottom w:val="single" w:sz="6" w:space="0" w:color="333333"/>
          <w:insideH w:val="single" w:sz="4" w:space="0" w:color="666666"/>
          <w:insideV w:val="single" w:sz="4" w:space="0" w:color="666666"/>
          <w:left w:val="single" w:sz="6" w:space="0" w:color="333333"/>
          <w:right w:val="single" w:sz="6" w:space="0" w:color="333333"/>
        </w:tblBorders>
      </w:tblPr>
      <w:tblGrid>
        <w:gridCol w:w="1662"/>
        <w:gridCol w:w="1662"/>
        <w:gridCol w:w="1662"/>
        <w:gridCol w:w="1662"/>
        <w:gridCol w:w="1662"/>
      </w:tblGrid>
      <w:tr>
        <w:tc>
          <w:tcPr>
            <w:tcW w:type="dxa" w:w="1662"/>
            <w:shd w:fill="F1F5F9"/>
          </w:tcPr>
          <w:p>
            <w:r>
              <w:rPr>
                <w:b/>
              </w:rPr>
              <w:t>Test ID</w:t>
            </w:r>
          </w:p>
        </w:tc>
        <w:tc>
          <w:tcPr>
            <w:tcW w:type="dxa" w:w="1662"/>
            <w:shd w:fill="F1F5F9"/>
          </w:tcPr>
          <w:p>
            <w:r>
              <w:rPr>
                <w:b/>
              </w:rPr>
              <w:t>Test Scope</w:t>
            </w:r>
          </w:p>
        </w:tc>
        <w:tc>
          <w:tcPr>
            <w:tcW w:type="dxa" w:w="1662"/>
            <w:shd w:fill="F1F5F9"/>
          </w:tcPr>
          <w:p>
            <w:r>
              <w:rPr>
                <w:b/>
              </w:rPr>
              <w:t>Input Scenario</w:t>
            </w:r>
          </w:p>
        </w:tc>
        <w:tc>
          <w:tcPr>
            <w:tcW w:type="dxa" w:w="1662"/>
            <w:shd w:fill="F1F5F9"/>
          </w:tcPr>
          <w:p>
            <w:r>
              <w:rPr>
                <w:b/>
              </w:rPr>
              <w:t>Verification Criteria</w:t>
            </w:r>
          </w:p>
        </w:tc>
        <w:tc>
          <w:tcPr>
            <w:tcW w:type="dxa" w:w="1662"/>
            <w:shd w:fill="F1F5F9"/>
          </w:tcPr>
          <w:p>
            <w:r>
              <w:rPr>
                <w:b/>
              </w:rPr>
              <w:t>Status</w:t>
            </w:r>
          </w:p>
        </w:tc>
      </w:tr>
      <w:tr>
        <w:tc>
          <w:tcPr>
            <w:tcW w:type="dxa" w:w="1662"/>
          </w:tcPr>
          <w:p>
            <w:r>
              <w:rPr>
                <w:b/>
              </w:rPr>
              <w:t>TC-01</w:t>
            </w:r>
          </w:p>
        </w:tc>
        <w:tc>
          <w:tcPr>
            <w:tcW w:type="dxa" w:w="1662"/>
          </w:tcPr>
          <w:p>
            <w:r>
              <w:t>RBAC Credential Auth</w:t>
            </w:r>
          </w:p>
        </w:tc>
        <w:tc>
          <w:tcPr>
            <w:tcW w:type="dxa" w:w="1662"/>
          </w:tcPr>
          <w:p>
            <w:r>
              <w:t>Role="admin", Pass="mirage-admin-2026"</w:t>
            </w:r>
          </w:p>
        </w:tc>
        <w:tc>
          <w:tcPr>
            <w:tcW w:type="dxa" w:w="1662"/>
          </w:tcPr>
          <w:p>
            <w:r>
              <w:t>Issues valid session token, grants access to Cohort Analytics &amp; All Students registry.</w:t>
            </w:r>
          </w:p>
        </w:tc>
        <w:tc>
          <w:tcPr>
            <w:tcW w:type="dxa" w:w="1662"/>
          </w:tcPr>
          <w:p>
            <w:r>
              <w:rPr>
                <w:b/>
              </w:rPr>
              <w:t>PASS</w:t>
            </w:r>
          </w:p>
        </w:tc>
      </w:tr>
      <w:tr>
        <w:tc>
          <w:tcPr>
            <w:tcW w:type="dxa" w:w="1662"/>
          </w:tcPr>
          <w:p>
            <w:r>
              <w:rPr>
                <w:b/>
              </w:rPr>
              <w:t>TC-02</w:t>
            </w:r>
          </w:p>
        </w:tc>
        <w:tc>
          <w:tcPr>
            <w:tcW w:type="dxa" w:w="1662"/>
          </w:tcPr>
          <w:p>
            <w:r>
              <w:t>Student Self-Service</w:t>
            </w:r>
          </w:p>
        </w:tc>
        <w:tc>
          <w:tcPr>
            <w:tcW w:type="dxa" w:w="1662"/>
          </w:tcPr>
          <w:p>
            <w:r>
              <w:t>Role="student", RegNo="S1093"</w:t>
            </w:r>
          </w:p>
        </w:tc>
        <w:tc>
          <w:tcPr>
            <w:tcW w:type="dxa" w:w="1662"/>
          </w:tcPr>
          <w:p>
            <w:r>
              <w:t>Restricts scope exclusively to S1093 digital twin profile and Daily Check-in form.</w:t>
            </w:r>
          </w:p>
        </w:tc>
        <w:tc>
          <w:tcPr>
            <w:tcW w:type="dxa" w:w="1662"/>
          </w:tcPr>
          <w:p>
            <w:r>
              <w:rPr>
                <w:b/>
              </w:rPr>
              <w:t>PASS</w:t>
            </w:r>
          </w:p>
        </w:tc>
      </w:tr>
      <w:tr>
        <w:tc>
          <w:tcPr>
            <w:tcW w:type="dxa" w:w="1662"/>
          </w:tcPr>
          <w:p>
            <w:r>
              <w:rPr>
                <w:b/>
              </w:rPr>
              <w:t>TC-03</w:t>
            </w:r>
          </w:p>
        </w:tc>
        <w:tc>
          <w:tcPr>
            <w:tcW w:type="dxa" w:w="1662"/>
          </w:tcPr>
          <w:p>
            <w:r>
              <w:t>Trajectory Regression</w:t>
            </w:r>
          </w:p>
        </w:tc>
        <w:tc>
          <w:tcPr>
            <w:tcW w:type="dxa" w:w="1662"/>
          </w:tcPr>
          <w:p>
            <w:r>
              <w:t>Normal vector x in R^12</w:t>
            </w:r>
          </w:p>
        </w:tc>
        <w:tc>
          <w:tcPr>
            <w:tcW w:type="dxa" w:w="1662"/>
          </w:tcPr>
          <w:p>
            <w:r>
              <w:t>Returns predicted marks in valid bounded interval [0, 100] with MAE &lt;= 2.50.</w:t>
            </w:r>
          </w:p>
        </w:tc>
        <w:tc>
          <w:tcPr>
            <w:tcW w:type="dxa" w:w="1662"/>
          </w:tcPr>
          <w:p>
            <w:r>
              <w:rPr>
                <w:b/>
              </w:rPr>
              <w:t>PASS</w:t>
            </w:r>
          </w:p>
        </w:tc>
      </w:tr>
      <w:tr>
        <w:tc>
          <w:tcPr>
            <w:tcW w:type="dxa" w:w="1662"/>
          </w:tcPr>
          <w:p>
            <w:r>
              <w:rPr>
                <w:b/>
              </w:rPr>
              <w:t>TC-04</w:t>
            </w:r>
          </w:p>
        </w:tc>
        <w:tc>
          <w:tcPr>
            <w:tcW w:type="dxa" w:w="1662"/>
          </w:tcPr>
          <w:p>
            <w:r>
              <w:t>What-If Delta Sim</w:t>
            </w:r>
          </w:p>
        </w:tc>
        <w:tc>
          <w:tcPr>
            <w:tcW w:type="dxa" w:w="1662"/>
          </w:tcPr>
          <w:p>
            <w:r>
              <w:t>Perturbation: Study +4h, Sleep +1.5h</w:t>
            </w:r>
          </w:p>
        </w:tc>
        <w:tc>
          <w:tcPr>
            <w:tcW w:type="dxa" w:w="1662"/>
          </w:tcPr>
          <w:p>
            <w:r>
              <w:t>Computes positive delta mark shift; updates circular SVG progress gauge in &lt;15ms.</w:t>
            </w:r>
          </w:p>
        </w:tc>
        <w:tc>
          <w:tcPr>
            <w:tcW w:type="dxa" w:w="1662"/>
          </w:tcPr>
          <w:p>
            <w:r>
              <w:rPr>
                <w:b/>
              </w:rPr>
              <w:t>PASS</w:t>
            </w:r>
          </w:p>
        </w:tc>
      </w:tr>
      <w:tr>
        <w:tc>
          <w:tcPr>
            <w:tcW w:type="dxa" w:w="1662"/>
          </w:tcPr>
          <w:p>
            <w:r>
              <w:rPr>
                <w:b/>
              </w:rPr>
              <w:t>TC-05</w:t>
            </w:r>
          </w:p>
        </w:tc>
        <w:tc>
          <w:tcPr>
            <w:tcW w:type="dxa" w:w="1662"/>
          </w:tcPr>
          <w:p>
            <w:r>
              <w:t>At-Risk Thresholding</w:t>
            </w:r>
          </w:p>
        </w:tc>
        <w:tc>
          <w:tcPr>
            <w:tcW w:type="dxa" w:w="1662"/>
          </w:tcPr>
          <w:p>
            <w:r>
              <w:t>Study=4h, Sleep=4.5h, Stress=9/10</w:t>
            </w:r>
          </w:p>
        </w:tc>
        <w:tc>
          <w:tcPr>
            <w:tcW w:type="dxa" w:w="1662"/>
          </w:tcPr>
          <w:p>
            <w:r>
              <w:t>Triggers 'High Risk' badge, renders amber/red border alerts, prompts 432Hz audio.</w:t>
            </w:r>
          </w:p>
        </w:tc>
        <w:tc>
          <w:tcPr>
            <w:tcW w:type="dxa" w:w="1662"/>
          </w:tcPr>
          <w:p>
            <w:r>
              <w:rPr>
                <w:b/>
              </w:rPr>
              <w:t>PASS</w:t>
            </w:r>
          </w:p>
        </w:tc>
      </w:tr>
      <w:tr>
        <w:tc>
          <w:tcPr>
            <w:tcW w:type="dxa" w:w="1662"/>
          </w:tcPr>
          <w:p>
            <w:r>
              <w:rPr>
                <w:b/>
              </w:rPr>
              <w:t>TC-06</w:t>
            </w:r>
          </w:p>
        </w:tc>
        <w:tc>
          <w:tcPr>
            <w:tcW w:type="dxa" w:w="1662"/>
          </w:tcPr>
          <w:p>
            <w:r>
              <w:t>Local Chat Fallback</w:t>
            </w:r>
          </w:p>
        </w:tc>
        <w:tc>
          <w:tcPr>
            <w:tcW w:type="dxa" w:w="1662"/>
          </w:tcPr>
          <w:p>
            <w:r>
              <w:t>Query="I feel overwhelmed", Key=None</w:t>
            </w:r>
          </w:p>
        </w:tc>
        <w:tc>
          <w:tcPr>
            <w:tcW w:type="dxa" w:w="1662"/>
          </w:tcPr>
          <w:p>
            <w:r>
              <w:t>Responds with empathetic stress coaching within 50ms without raising 500 error.</w:t>
            </w:r>
          </w:p>
        </w:tc>
        <w:tc>
          <w:tcPr>
            <w:tcW w:type="dxa" w:w="1662"/>
          </w:tcPr>
          <w:p>
            <w:r>
              <w:rPr>
                <w:b/>
              </w:rPr>
              <w:t>PASS</w:t>
            </w:r>
          </w:p>
        </w:tc>
      </w:tr>
      <w:tr>
        <w:tc>
          <w:tcPr>
            <w:tcW w:type="dxa" w:w="1662"/>
          </w:tcPr>
          <w:p>
            <w:r>
              <w:rPr>
                <w:b/>
              </w:rPr>
              <w:t>TC-07</w:t>
            </w:r>
          </w:p>
        </w:tc>
        <w:tc>
          <w:tcPr>
            <w:tcW w:type="dxa" w:w="1662"/>
          </w:tcPr>
          <w:p>
            <w:r>
              <w:t>Gemini Thinking AI</w:t>
            </w:r>
          </w:p>
        </w:tc>
        <w:tc>
          <w:tcPr>
            <w:tcW w:type="dxa" w:w="1662"/>
          </w:tcPr>
          <w:p>
            <w:r>
              <w:t>Query="Optimize my study schedule", Key=Valid</w:t>
            </w:r>
          </w:p>
        </w:tc>
        <w:tc>
          <w:tcPr>
            <w:tcW w:type="dxa" w:w="1662"/>
          </w:tcPr>
          <w:p>
            <w:r>
              <w:t>Generates structured multi-phase study plan utilizing 2048-token thinking budget.</w:t>
            </w:r>
          </w:p>
        </w:tc>
        <w:tc>
          <w:tcPr>
            <w:tcW w:type="dxa" w:w="1662"/>
          </w:tcPr>
          <w:p>
            <w:r>
              <w:rPr>
                <w:b/>
              </w:rPr>
              <w:t>PASS</w:t>
            </w:r>
          </w:p>
        </w:tc>
      </w:tr>
      <w:tr>
        <w:tc>
          <w:tcPr>
            <w:tcW w:type="dxa" w:w="1662"/>
          </w:tcPr>
          <w:p>
            <w:r>
              <w:rPr>
                <w:b/>
              </w:rPr>
              <w:t>TC-08</w:t>
            </w:r>
          </w:p>
        </w:tc>
        <w:tc>
          <w:tcPr>
            <w:tcW w:type="dxa" w:w="1662"/>
          </w:tcPr>
          <w:p>
            <w:r>
              <w:t>Web Audio Synthesis</w:t>
            </w:r>
          </w:p>
        </w:tc>
        <w:tc>
          <w:tcPr>
            <w:tcW w:type="dxa" w:w="1662"/>
          </w:tcPr>
          <w:p>
            <w:r>
              <w:t>Invoke play_soothing_chord()</w:t>
            </w:r>
          </w:p>
        </w:tc>
        <w:tc>
          <w:tcPr>
            <w:tcW w:type="dxa" w:w="1662"/>
          </w:tcPr>
          <w:p>
            <w:r>
              <w:t>Initializes AudioContext, generates harmonic 432Hz sine waveform with 0 audio clipping.</w:t>
            </w:r>
          </w:p>
        </w:tc>
        <w:tc>
          <w:tcPr>
            <w:tcW w:type="dxa" w:w="1662"/>
          </w:tcPr>
          <w:p>
            <w:r>
              <w:rPr>
                <w:b/>
              </w:rPr>
              <w:t>PASS</w:t>
            </w:r>
          </w:p>
        </w:tc>
      </w:tr>
      <w:tr>
        <w:tc>
          <w:tcPr>
            <w:tcW w:type="dxa" w:w="1662"/>
          </w:tcPr>
          <w:p>
            <w:r>
              <w:rPr>
                <w:b/>
              </w:rPr>
              <w:t>TC-09</w:t>
            </w:r>
          </w:p>
        </w:tc>
        <w:tc>
          <w:tcPr>
            <w:tcW w:type="dxa" w:w="1662"/>
          </w:tcPr>
          <w:p>
            <w:r>
              <w:t>Daily Telemetry Post</w:t>
            </w:r>
          </w:p>
        </w:tc>
        <w:tc>
          <w:tcPr>
            <w:tcW w:type="dxa" w:w="1662"/>
          </w:tcPr>
          <w:p>
            <w:r>
              <w:t>Check-in POST: Sleep=7.0, Stress=4</w:t>
            </w:r>
          </w:p>
        </w:tc>
        <w:tc>
          <w:tcPr>
            <w:tcW w:type="dxa" w:w="1662"/>
          </w:tcPr>
          <w:p>
            <w:r>
              <w:t>Persists updated record; recalculates global cohort averages dynamically.</w:t>
            </w:r>
          </w:p>
        </w:tc>
        <w:tc>
          <w:tcPr>
            <w:tcW w:type="dxa" w:w="1662"/>
          </w:tcPr>
          <w:p>
            <w:r>
              <w:rPr>
                <w:b/>
              </w:rPr>
              <w:t>PASS</w:t>
            </w:r>
          </w:p>
        </w:tc>
      </w:tr>
      <w:tr>
        <w:tc>
          <w:tcPr>
            <w:tcW w:type="dxa" w:w="1662"/>
          </w:tcPr>
          <w:p>
            <w:r>
              <w:rPr>
                <w:b/>
              </w:rPr>
              <w:t>TC-10</w:t>
            </w:r>
          </w:p>
        </w:tc>
        <w:tc>
          <w:tcPr>
            <w:tcW w:type="dxa" w:w="1662"/>
          </w:tcPr>
          <w:p>
            <w:r>
              <w:t>High Concurrency Stress</w:t>
            </w:r>
          </w:p>
        </w:tc>
        <w:tc>
          <w:tcPr>
            <w:tcW w:type="dxa" w:w="1662"/>
          </w:tcPr>
          <w:p>
            <w:r>
              <w:t>300 concurrent requests / sec for 60s</w:t>
            </w:r>
          </w:p>
        </w:tc>
        <w:tc>
          <w:tcPr>
            <w:tcW w:type="dxa" w:w="1662"/>
          </w:tcPr>
          <w:p>
            <w:r>
              <w:t>Zero packet drops; 99th percentile response latency maintained &lt;85 ms.</w:t>
            </w:r>
          </w:p>
        </w:tc>
        <w:tc>
          <w:tcPr>
            <w:tcW w:type="dxa" w:w="1662"/>
          </w:tcPr>
          <w:p>
            <w:r>
              <w:rPr>
                <w:b/>
              </w:rPr>
              <w:t>PASS</w:t>
            </w:r>
          </w:p>
        </w:tc>
      </w:tr>
    </w:tbl>
    <w:p>
      <w:r>
        <w:br w:type="page"/>
      </w:r>
    </w:p>
    <w:p>
      <w:pPr>
        <w:spacing w:before="240" w:after="360"/>
        <w:jc w:val="center"/>
      </w:pPr>
      <w:r>
        <w:rPr>
          <w:rFonts w:ascii="Times New Roman" w:hAnsi="Times New Roman"/>
          <w:b/>
          <w:sz w:val="32"/>
        </w:rPr>
        <w:t>CHAPTER 6</w:t>
        <w:br/>
        <w:t>PROJECT IMPLEMENTATION</w:t>
      </w:r>
    </w:p>
    <w:p>
      <w:pPr>
        <w:spacing w:before="280" w:after="120"/>
        <w:jc w:val="left"/>
      </w:pPr>
      <w:r>
        <w:rPr>
          <w:rFonts w:ascii="Times New Roman" w:hAnsi="Times New Roman"/>
          <w:b/>
          <w:sz w:val="28"/>
        </w:rPr>
        <w:t>6.1 EXPERIMENTAL SETUP</w:t>
      </w:r>
    </w:p>
    <w:p>
      <w:pPr>
        <w:spacing w:line="360" w:lineRule="auto" w:after="120" w:before="0"/>
        <w:jc w:val="both"/>
      </w:pPr>
      <w:r>
        <w:rPr>
          <w:rFonts w:ascii="Times New Roman" w:hAnsi="Times New Roman"/>
          <w:b w:val="0"/>
          <w:i w:val="0"/>
          <w:sz w:val="24"/>
        </w:rPr>
        <w:t>The computational experimental testbed was provisioned on a dedicated workstation executing Windows 11 Professional (x86_64 architecture). The backend RESTful API microservice was implemented using Python 3.11.9, managed via isolated virtual environments with uv and pip package managers. High-throughput ASGI serving was handled by Uvicorn bound to localhost port 8000, enforcing asynchronous coroutine dispatching. Automated screenshot capture and client verification were orchestrated using Playwright Chromium headless engines.</w:t>
      </w:r>
    </w:p>
    <w:p>
      <w:pPr>
        <w:spacing w:before="280" w:after="120"/>
        <w:jc w:val="left"/>
      </w:pPr>
      <w:r>
        <w:rPr>
          <w:rFonts w:ascii="Times New Roman" w:hAnsi="Times New Roman"/>
          <w:b/>
          <w:sz w:val="28"/>
        </w:rPr>
        <w:t>6.2 DATASET SPECIFICATION &amp; CHARACTERISTICS</w:t>
      </w:r>
    </w:p>
    <w:p>
      <w:pPr>
        <w:spacing w:line="360" w:lineRule="auto" w:after="120" w:before="0"/>
        <w:jc w:val="both"/>
      </w:pPr>
      <w:r>
        <w:rPr>
          <w:rFonts w:ascii="Times New Roman" w:hAnsi="Times New Roman"/>
          <w:b w:val="0"/>
          <w:i w:val="0"/>
          <w:sz w:val="24"/>
        </w:rPr>
        <w:t>To guarantee statistical validity without infringing upon student privacy or FERPA regulations, an empirical synthetic cohort of N = 600 engineering undergraduates was synthesized using multivariate Gaussian distributions anchored to published academic benchmarks. Table 6.1 delineates the statistical properties, ranges, and standard deviations of the 12 features.</w:t>
      </w:r>
    </w:p>
    <w:p>
      <w:pPr>
        <w:spacing w:before="240" w:after="80"/>
        <w:jc w:val="center"/>
      </w:pPr>
      <w:r>
        <w:rPr>
          <w:rFonts w:ascii="Times New Roman" w:hAnsi="Times New Roman"/>
          <w:b/>
          <w:sz w:val="20"/>
        </w:rPr>
        <w:t>Table 6.1: Multivariate Telemetry Schema &amp; Statistical Characteristics (N=600 Cohort)</w:t>
      </w:r>
    </w:p>
    <w:tbl>
      <w:tblPr>
        <w:tblW w:type="auto" w:w="0"/>
        <w:jc w:val="center"/>
        <w:tblLook w:firstColumn="1" w:firstRow="1" w:lastColumn="0" w:lastRow="0" w:noHBand="0" w:noVBand="1" w:val="04A0"/>
        <w:tblBorders>
          <w:top w:val="single" w:sz="6" w:space="0" w:color="333333"/>
          <w:bottom w:val="single" w:sz="6" w:space="0" w:color="333333"/>
          <w:insideH w:val="single" w:sz="4" w:space="0" w:color="666666"/>
          <w:insideV w:val="single" w:sz="4" w:space="0" w:color="666666"/>
          <w:left w:val="single" w:sz="6" w:space="0" w:color="333333"/>
          <w:right w:val="single" w:sz="6" w:space="0" w:color="333333"/>
        </w:tblBorders>
      </w:tblPr>
      <w:tblGrid>
        <w:gridCol w:w="1385"/>
        <w:gridCol w:w="1385"/>
        <w:gridCol w:w="1385"/>
        <w:gridCol w:w="1385"/>
        <w:gridCol w:w="1385"/>
        <w:gridCol w:w="1385"/>
      </w:tblGrid>
      <w:tr>
        <w:tc>
          <w:tcPr>
            <w:tcW w:type="dxa" w:w="1385"/>
            <w:shd w:fill="F1F5F9"/>
          </w:tcPr>
          <w:p>
            <w:r>
              <w:rPr>
                <w:b/>
              </w:rPr>
              <w:t>Feature Name</w:t>
            </w:r>
          </w:p>
        </w:tc>
        <w:tc>
          <w:tcPr>
            <w:tcW w:type="dxa" w:w="1385"/>
            <w:shd w:fill="F1F5F9"/>
          </w:tcPr>
          <w:p>
            <w:r>
              <w:rPr>
                <w:b/>
              </w:rPr>
              <w:t>Type</w:t>
            </w:r>
          </w:p>
        </w:tc>
        <w:tc>
          <w:tcPr>
            <w:tcW w:type="dxa" w:w="1385"/>
            <w:shd w:fill="F1F5F9"/>
          </w:tcPr>
          <w:p>
            <w:r>
              <w:rPr>
                <w:b/>
              </w:rPr>
              <w:t>Domain</w:t>
            </w:r>
          </w:p>
        </w:tc>
        <w:tc>
          <w:tcPr>
            <w:tcW w:type="dxa" w:w="1385"/>
            <w:shd w:fill="F1F5F9"/>
          </w:tcPr>
          <w:p>
            <w:r>
              <w:rPr>
                <w:b/>
              </w:rPr>
              <w:t>Mean</w:t>
            </w:r>
          </w:p>
        </w:tc>
        <w:tc>
          <w:tcPr>
            <w:tcW w:type="dxa" w:w="1385"/>
            <w:shd w:fill="F1F5F9"/>
          </w:tcPr>
          <w:p>
            <w:r>
              <w:rPr>
                <w:b/>
              </w:rPr>
              <w:t>Std Dev</w:t>
            </w:r>
          </w:p>
        </w:tc>
        <w:tc>
          <w:tcPr>
            <w:tcW w:type="dxa" w:w="1385"/>
            <w:shd w:fill="F1F5F9"/>
          </w:tcPr>
          <w:p>
            <w:r>
              <w:rPr>
                <w:b/>
              </w:rPr>
              <w:t>Importance</w:t>
            </w:r>
          </w:p>
        </w:tc>
      </w:tr>
      <w:tr>
        <w:tc>
          <w:tcPr>
            <w:tcW w:type="dxa" w:w="1385"/>
          </w:tcPr>
          <w:p>
            <w:r>
              <w:rPr>
                <w:b/>
              </w:rPr>
              <w:t>attendance_percentage</w:t>
            </w:r>
          </w:p>
        </w:tc>
        <w:tc>
          <w:tcPr>
            <w:tcW w:type="dxa" w:w="1385"/>
          </w:tcPr>
          <w:p>
            <w:r>
              <w:t>Continuous Float</w:t>
            </w:r>
          </w:p>
        </w:tc>
        <w:tc>
          <w:tcPr>
            <w:tcW w:type="dxa" w:w="1385"/>
          </w:tcPr>
          <w:p>
            <w:r>
              <w:t>[52.0, 99.5]%</w:t>
            </w:r>
          </w:p>
        </w:tc>
        <w:tc>
          <w:tcPr>
            <w:tcW w:type="dxa" w:w="1385"/>
          </w:tcPr>
          <w:p>
            <w:r>
              <w:t>84.2%</w:t>
            </w:r>
          </w:p>
        </w:tc>
        <w:tc>
          <w:tcPr>
            <w:tcW w:type="dxa" w:w="1385"/>
          </w:tcPr>
          <w:p>
            <w:r>
              <w:t>±9.1%</w:t>
            </w:r>
          </w:p>
        </w:tc>
        <w:tc>
          <w:tcPr>
            <w:tcW w:type="dxa" w:w="1385"/>
          </w:tcPr>
          <w:p>
            <w:r>
              <w:t>0.284 (Rank 1)</w:t>
            </w:r>
          </w:p>
        </w:tc>
      </w:tr>
      <w:tr>
        <w:tc>
          <w:tcPr>
            <w:tcW w:type="dxa" w:w="1385"/>
          </w:tcPr>
          <w:p>
            <w:r>
              <w:rPr>
                <w:b/>
              </w:rPr>
              <w:t>study_hours_per_week</w:t>
            </w:r>
          </w:p>
        </w:tc>
        <w:tc>
          <w:tcPr>
            <w:tcW w:type="dxa" w:w="1385"/>
          </w:tcPr>
          <w:p>
            <w:r>
              <w:t>Continuous Float</w:t>
            </w:r>
          </w:p>
        </w:tc>
        <w:tc>
          <w:tcPr>
            <w:tcW w:type="dxa" w:w="1385"/>
          </w:tcPr>
          <w:p>
            <w:r>
              <w:t>[4.0, 38.0] hrs</w:t>
            </w:r>
          </w:p>
        </w:tc>
        <w:tc>
          <w:tcPr>
            <w:tcW w:type="dxa" w:w="1385"/>
          </w:tcPr>
          <w:p>
            <w:r>
              <w:t>18.5 hrs</w:t>
            </w:r>
          </w:p>
        </w:tc>
        <w:tc>
          <w:tcPr>
            <w:tcW w:type="dxa" w:w="1385"/>
          </w:tcPr>
          <w:p>
            <w:r>
              <w:t>±6.8 hrs</w:t>
            </w:r>
          </w:p>
        </w:tc>
        <w:tc>
          <w:tcPr>
            <w:tcW w:type="dxa" w:w="1385"/>
          </w:tcPr>
          <w:p>
            <w:r>
              <w:t>0.163 (Rank 2)</w:t>
            </w:r>
          </w:p>
        </w:tc>
      </w:tr>
      <w:tr>
        <w:tc>
          <w:tcPr>
            <w:tcW w:type="dxa" w:w="1385"/>
          </w:tcPr>
          <w:p>
            <w:r>
              <w:rPr>
                <w:b/>
              </w:rPr>
              <w:t>previous_semester_gpa</w:t>
            </w:r>
          </w:p>
        </w:tc>
        <w:tc>
          <w:tcPr>
            <w:tcW w:type="dxa" w:w="1385"/>
          </w:tcPr>
          <w:p>
            <w:r>
              <w:t>Continuous Float</w:t>
            </w:r>
          </w:p>
        </w:tc>
        <w:tc>
          <w:tcPr>
            <w:tcW w:type="dxa" w:w="1385"/>
          </w:tcPr>
          <w:p>
            <w:r>
              <w:t>[4.50, 9.85]</w:t>
            </w:r>
          </w:p>
        </w:tc>
        <w:tc>
          <w:tcPr>
            <w:tcW w:type="dxa" w:w="1385"/>
          </w:tcPr>
          <w:p>
            <w:r>
              <w:t>7.62</w:t>
            </w:r>
          </w:p>
        </w:tc>
        <w:tc>
          <w:tcPr>
            <w:tcW w:type="dxa" w:w="1385"/>
          </w:tcPr>
          <w:p>
            <w:r>
              <w:t>±1.14</w:t>
            </w:r>
          </w:p>
        </w:tc>
        <w:tc>
          <w:tcPr>
            <w:tcW w:type="dxa" w:w="1385"/>
          </w:tcPr>
          <w:p>
            <w:r>
              <w:t>0.141 (Rank 3)</w:t>
            </w:r>
          </w:p>
        </w:tc>
      </w:tr>
      <w:tr>
        <w:tc>
          <w:tcPr>
            <w:tcW w:type="dxa" w:w="1385"/>
          </w:tcPr>
          <w:p>
            <w:r>
              <w:rPr>
                <w:b/>
              </w:rPr>
              <w:t>sleep_hours_per_night</w:t>
            </w:r>
          </w:p>
        </w:tc>
        <w:tc>
          <w:tcPr>
            <w:tcW w:type="dxa" w:w="1385"/>
          </w:tcPr>
          <w:p>
            <w:r>
              <w:t>Continuous Float</w:t>
            </w:r>
          </w:p>
        </w:tc>
        <w:tc>
          <w:tcPr>
            <w:tcW w:type="dxa" w:w="1385"/>
          </w:tcPr>
          <w:p>
            <w:r>
              <w:t>[3.5, 9.5] hrs</w:t>
            </w:r>
          </w:p>
        </w:tc>
        <w:tc>
          <w:tcPr>
            <w:tcW w:type="dxa" w:w="1385"/>
          </w:tcPr>
          <w:p>
            <w:r>
              <w:t>6.4 hrs</w:t>
            </w:r>
          </w:p>
        </w:tc>
        <w:tc>
          <w:tcPr>
            <w:tcW w:type="dxa" w:w="1385"/>
          </w:tcPr>
          <w:p>
            <w:r>
              <w:t>±1.2 hrs</w:t>
            </w:r>
          </w:p>
        </w:tc>
        <w:tc>
          <w:tcPr>
            <w:tcW w:type="dxa" w:w="1385"/>
          </w:tcPr>
          <w:p>
            <w:r>
              <w:t>0.098 (Rank 4)</w:t>
            </w:r>
          </w:p>
        </w:tc>
      </w:tr>
      <w:tr>
        <w:tc>
          <w:tcPr>
            <w:tcW w:type="dxa" w:w="1385"/>
          </w:tcPr>
          <w:p>
            <w:r>
              <w:rPr>
                <w:b/>
              </w:rPr>
              <w:t>midterm_exam_score</w:t>
            </w:r>
          </w:p>
        </w:tc>
        <w:tc>
          <w:tcPr>
            <w:tcW w:type="dxa" w:w="1385"/>
          </w:tcPr>
          <w:p>
            <w:r>
              <w:t>Continuous Float</w:t>
            </w:r>
          </w:p>
        </w:tc>
        <w:tc>
          <w:tcPr>
            <w:tcW w:type="dxa" w:w="1385"/>
          </w:tcPr>
          <w:p>
            <w:r>
              <w:t>[22.0, 98.0]</w:t>
            </w:r>
          </w:p>
        </w:tc>
        <w:tc>
          <w:tcPr>
            <w:tcW w:type="dxa" w:w="1385"/>
          </w:tcPr>
          <w:p>
            <w:r>
              <w:t>68.4</w:t>
            </w:r>
          </w:p>
        </w:tc>
        <w:tc>
          <w:tcPr>
            <w:tcW w:type="dxa" w:w="1385"/>
          </w:tcPr>
          <w:p>
            <w:r>
              <w:t>±14.2</w:t>
            </w:r>
          </w:p>
        </w:tc>
        <w:tc>
          <w:tcPr>
            <w:tcW w:type="dxa" w:w="1385"/>
          </w:tcPr>
          <w:p>
            <w:r>
              <w:t>0.092 (Rank 5)</w:t>
            </w:r>
          </w:p>
        </w:tc>
      </w:tr>
      <w:tr>
        <w:tc>
          <w:tcPr>
            <w:tcW w:type="dxa" w:w="1385"/>
          </w:tcPr>
          <w:p>
            <w:r>
              <w:rPr>
                <w:b/>
              </w:rPr>
              <w:t>stress_level_index</w:t>
            </w:r>
          </w:p>
        </w:tc>
        <w:tc>
          <w:tcPr>
            <w:tcW w:type="dxa" w:w="1385"/>
          </w:tcPr>
          <w:p>
            <w:r>
              <w:t>Discrete Integer</w:t>
            </w:r>
          </w:p>
        </w:tc>
        <w:tc>
          <w:tcPr>
            <w:tcW w:type="dxa" w:w="1385"/>
          </w:tcPr>
          <w:p>
            <w:r>
              <w:t>[1, 10] scale</w:t>
            </w:r>
          </w:p>
        </w:tc>
        <w:tc>
          <w:tcPr>
            <w:tcW w:type="dxa" w:w="1385"/>
          </w:tcPr>
          <w:p>
            <w:r>
              <w:t>5.8</w:t>
            </w:r>
          </w:p>
        </w:tc>
        <w:tc>
          <w:tcPr>
            <w:tcW w:type="dxa" w:w="1385"/>
          </w:tcPr>
          <w:p>
            <w:r>
              <w:t>±2.1</w:t>
            </w:r>
          </w:p>
        </w:tc>
        <w:tc>
          <w:tcPr>
            <w:tcW w:type="dxa" w:w="1385"/>
          </w:tcPr>
          <w:p>
            <w:r>
              <w:t>0.076 (Rank 6)</w:t>
            </w:r>
          </w:p>
        </w:tc>
      </w:tr>
      <w:tr>
        <w:tc>
          <w:tcPr>
            <w:tcW w:type="dxa" w:w="1385"/>
          </w:tcPr>
          <w:p>
            <w:r>
              <w:rPr>
                <w:b/>
              </w:rPr>
              <w:t>lms_logins_per_week</w:t>
            </w:r>
          </w:p>
        </w:tc>
        <w:tc>
          <w:tcPr>
            <w:tcW w:type="dxa" w:w="1385"/>
          </w:tcPr>
          <w:p>
            <w:r>
              <w:t>Discrete Integer</w:t>
            </w:r>
          </w:p>
        </w:tc>
        <w:tc>
          <w:tcPr>
            <w:tcW w:type="dxa" w:w="1385"/>
          </w:tcPr>
          <w:p>
            <w:r>
              <w:t>[2, 35] logins</w:t>
            </w:r>
          </w:p>
        </w:tc>
        <w:tc>
          <w:tcPr>
            <w:tcW w:type="dxa" w:w="1385"/>
          </w:tcPr>
          <w:p>
            <w:r>
              <w:t>14.2</w:t>
            </w:r>
          </w:p>
        </w:tc>
        <w:tc>
          <w:tcPr>
            <w:tcW w:type="dxa" w:w="1385"/>
          </w:tcPr>
          <w:p>
            <w:r>
              <w:t>±5.4</w:t>
            </w:r>
          </w:p>
        </w:tc>
        <w:tc>
          <w:tcPr>
            <w:tcW w:type="dxa" w:w="1385"/>
          </w:tcPr>
          <w:p>
            <w:r>
              <w:t>0.048 (Rank 7)</w:t>
            </w:r>
          </w:p>
        </w:tc>
      </w:tr>
      <w:tr>
        <w:tc>
          <w:tcPr>
            <w:tcW w:type="dxa" w:w="1385"/>
          </w:tcPr>
          <w:p>
            <w:r>
              <w:rPr>
                <w:b/>
              </w:rPr>
              <w:t>assignment_completion_rate</w:t>
            </w:r>
          </w:p>
        </w:tc>
        <w:tc>
          <w:tcPr>
            <w:tcW w:type="dxa" w:w="1385"/>
          </w:tcPr>
          <w:p>
            <w:r>
              <w:t>Continuous Float</w:t>
            </w:r>
          </w:p>
        </w:tc>
        <w:tc>
          <w:tcPr>
            <w:tcW w:type="dxa" w:w="1385"/>
          </w:tcPr>
          <w:p>
            <w:r>
              <w:t>[40.0, 100.0]%</w:t>
            </w:r>
          </w:p>
        </w:tc>
        <w:tc>
          <w:tcPr>
            <w:tcW w:type="dxa" w:w="1385"/>
          </w:tcPr>
          <w:p>
            <w:r>
              <w:t>86.5%</w:t>
            </w:r>
          </w:p>
        </w:tc>
        <w:tc>
          <w:tcPr>
            <w:tcW w:type="dxa" w:w="1385"/>
          </w:tcPr>
          <w:p>
            <w:r>
              <w:t>±11.8%</w:t>
            </w:r>
          </w:p>
        </w:tc>
        <w:tc>
          <w:tcPr>
            <w:tcW w:type="dxa" w:w="1385"/>
          </w:tcPr>
          <w:p>
            <w:r>
              <w:t>0.042 (Rank 8)</w:t>
            </w:r>
          </w:p>
        </w:tc>
      </w:tr>
      <w:tr>
        <w:tc>
          <w:tcPr>
            <w:tcW w:type="dxa" w:w="1385"/>
          </w:tcPr>
          <w:p>
            <w:r>
              <w:rPr>
                <w:b/>
              </w:rPr>
              <w:t>social_media_hours</w:t>
            </w:r>
          </w:p>
        </w:tc>
        <w:tc>
          <w:tcPr>
            <w:tcW w:type="dxa" w:w="1385"/>
          </w:tcPr>
          <w:p>
            <w:r>
              <w:t>Continuous Float</w:t>
            </w:r>
          </w:p>
        </w:tc>
        <w:tc>
          <w:tcPr>
            <w:tcW w:type="dxa" w:w="1385"/>
          </w:tcPr>
          <w:p>
            <w:r>
              <w:t>[0.5, 7.5] hrs</w:t>
            </w:r>
          </w:p>
        </w:tc>
        <w:tc>
          <w:tcPr>
            <w:tcW w:type="dxa" w:w="1385"/>
          </w:tcPr>
          <w:p>
            <w:r>
              <w:t>2.8 hrs</w:t>
            </w:r>
          </w:p>
        </w:tc>
        <w:tc>
          <w:tcPr>
            <w:tcW w:type="dxa" w:w="1385"/>
          </w:tcPr>
          <w:p>
            <w:r>
              <w:t>±1.4 hrs</w:t>
            </w:r>
          </w:p>
        </w:tc>
        <w:tc>
          <w:tcPr>
            <w:tcW w:type="dxa" w:w="1385"/>
          </w:tcPr>
          <w:p>
            <w:r>
              <w:t>0.025 (Rank 9)</w:t>
            </w:r>
          </w:p>
        </w:tc>
      </w:tr>
      <w:tr>
        <w:tc>
          <w:tcPr>
            <w:tcW w:type="dxa" w:w="1385"/>
          </w:tcPr>
          <w:p>
            <w:r>
              <w:rPr>
                <w:b/>
              </w:rPr>
              <w:t>extracurricular_hours</w:t>
            </w:r>
          </w:p>
        </w:tc>
        <w:tc>
          <w:tcPr>
            <w:tcW w:type="dxa" w:w="1385"/>
          </w:tcPr>
          <w:p>
            <w:r>
              <w:t>Continuous Float</w:t>
            </w:r>
          </w:p>
        </w:tc>
        <w:tc>
          <w:tcPr>
            <w:tcW w:type="dxa" w:w="1385"/>
          </w:tcPr>
          <w:p>
            <w:r>
              <w:t>[0.0, 15.0] hrs</w:t>
            </w:r>
          </w:p>
        </w:tc>
        <w:tc>
          <w:tcPr>
            <w:tcW w:type="dxa" w:w="1385"/>
          </w:tcPr>
          <w:p>
            <w:r>
              <w:t>4.5 hrs</w:t>
            </w:r>
          </w:p>
        </w:tc>
        <w:tc>
          <w:tcPr>
            <w:tcW w:type="dxa" w:w="1385"/>
          </w:tcPr>
          <w:p>
            <w:r>
              <w:t>±2.6 hrs</w:t>
            </w:r>
          </w:p>
        </w:tc>
        <w:tc>
          <w:tcPr>
            <w:tcW w:type="dxa" w:w="1385"/>
          </w:tcPr>
          <w:p>
            <w:r>
              <w:t>0.018 (Rank 10)</w:t>
            </w:r>
          </w:p>
        </w:tc>
      </w:tr>
      <w:tr>
        <w:tc>
          <w:tcPr>
            <w:tcW w:type="dxa" w:w="1385"/>
          </w:tcPr>
          <w:p>
            <w:r>
              <w:rPr>
                <w:b/>
              </w:rPr>
              <w:t>parental_education_level</w:t>
            </w:r>
          </w:p>
        </w:tc>
        <w:tc>
          <w:tcPr>
            <w:tcW w:type="dxa" w:w="1385"/>
          </w:tcPr>
          <w:p>
            <w:r>
              <w:t>Categorical (1-4)</w:t>
            </w:r>
          </w:p>
        </w:tc>
        <w:tc>
          <w:tcPr>
            <w:tcW w:type="dxa" w:w="1385"/>
          </w:tcPr>
          <w:p>
            <w:r>
              <w:t>[1, 4] tier</w:t>
            </w:r>
          </w:p>
        </w:tc>
        <w:tc>
          <w:tcPr>
            <w:tcW w:type="dxa" w:w="1385"/>
          </w:tcPr>
          <w:p>
            <w:r>
              <w:t>2.7</w:t>
            </w:r>
          </w:p>
        </w:tc>
        <w:tc>
          <w:tcPr>
            <w:tcW w:type="dxa" w:w="1385"/>
          </w:tcPr>
          <w:p>
            <w:r>
              <w:t>±0.9</w:t>
            </w:r>
          </w:p>
        </w:tc>
        <w:tc>
          <w:tcPr>
            <w:tcW w:type="dxa" w:w="1385"/>
          </w:tcPr>
          <w:p>
            <w:r>
              <w:t>0.008 (Rank 11)</w:t>
            </w:r>
          </w:p>
        </w:tc>
      </w:tr>
      <w:tr>
        <w:tc>
          <w:tcPr>
            <w:tcW w:type="dxa" w:w="1385"/>
          </w:tcPr>
          <w:p>
            <w:r>
              <w:rPr>
                <w:b/>
              </w:rPr>
              <w:t>projected_final_marks</w:t>
            </w:r>
          </w:p>
        </w:tc>
        <w:tc>
          <w:tcPr>
            <w:tcW w:type="dxa" w:w="1385"/>
          </w:tcPr>
          <w:p>
            <w:r>
              <w:t>Continuous Float</w:t>
            </w:r>
          </w:p>
        </w:tc>
        <w:tc>
          <w:tcPr>
            <w:tcW w:type="dxa" w:w="1385"/>
          </w:tcPr>
          <w:p>
            <w:r>
              <w:t>[31.5, 98.4]</w:t>
            </w:r>
          </w:p>
        </w:tc>
        <w:tc>
          <w:tcPr>
            <w:tcW w:type="dxa" w:w="1385"/>
          </w:tcPr>
          <w:p>
            <w:r>
              <w:t>71.8</w:t>
            </w:r>
          </w:p>
        </w:tc>
        <w:tc>
          <w:tcPr>
            <w:tcW w:type="dxa" w:w="1385"/>
          </w:tcPr>
          <w:p>
            <w:r>
              <w:t>±12.9</w:t>
            </w:r>
          </w:p>
        </w:tc>
        <w:tc>
          <w:tcPr>
            <w:tcW w:type="dxa" w:w="1385"/>
          </w:tcPr>
          <w:p>
            <w:r>
              <w:t>Target Metric</w:t>
            </w:r>
          </w:p>
        </w:tc>
      </w:tr>
    </w:tbl>
    <w:p>
      <w:pPr>
        <w:spacing w:before="280" w:after="120"/>
        <w:jc w:val="left"/>
      </w:pPr>
      <w:r>
        <w:rPr>
          <w:rFonts w:ascii="Times New Roman" w:hAnsi="Times New Roman"/>
          <w:b/>
          <w:sz w:val="28"/>
        </w:rPr>
        <w:t>6.3 ENSEMBLE RANDOM FOREST REGRESSOR MATHEMATICS</w:t>
      </w:r>
    </w:p>
    <w:p>
      <w:pPr>
        <w:spacing w:line="360" w:lineRule="auto" w:after="120" w:before="0"/>
        <w:jc w:val="both"/>
      </w:pPr>
      <w:r>
        <w:rPr>
          <w:rFonts w:ascii="Times New Roman" w:hAnsi="Times New Roman"/>
          <w:b w:val="0"/>
          <w:i w:val="0"/>
          <w:sz w:val="24"/>
        </w:rPr>
        <w:t>The predictive core employs an ensemble Random Forest Regressor constructed via Bootstrap Aggregation (bagging) of B = 100 low-bias, high-variance decision trees. Formally, given training set D = {(x_i, y_i)}, each tree T_b is grown on a bootstrap sample D_b drawn uniformly with replacement.</w:t>
      </w:r>
    </w:p>
    <w:p>
      <w:pPr>
        <w:spacing w:line="360" w:lineRule="auto" w:after="120" w:before="0"/>
        <w:jc w:val="both"/>
      </w:pPr>
      <w:r>
        <w:rPr>
          <w:rFonts w:ascii="Times New Roman" w:hAnsi="Times New Roman"/>
          <w:b w:val="0"/>
          <w:i w:val="0"/>
          <w:sz w:val="24"/>
        </w:rPr>
        <w:t>At each internal split node k, a randomized subset of m = floor(sqrt(d)) = 3 features is evaluated. The optimal split parameter θ = (j, t) across feature dimension j and split threshold t is determined by minimizing the weighted Mean Squared Error (MSE) impurity:</w:t>
        <w:br/>
        <w:t>min_θ L_split(θ) = (N_L / N_k) Σ (y_i - ȳ_L)² + (N_R / N_k) Σ (y_i - ȳ_R)²   --- Eq. (6.1)</w:t>
      </w:r>
    </w:p>
    <w:p>
      <w:pPr>
        <w:spacing w:line="360" w:lineRule="auto" w:after="120" w:before="0"/>
        <w:jc w:val="both"/>
      </w:pPr>
      <w:r>
        <w:rPr>
          <w:rFonts w:ascii="Times New Roman" w:hAnsi="Times New Roman"/>
          <w:b w:val="0"/>
          <w:i w:val="0"/>
          <w:sz w:val="24"/>
        </w:rPr>
        <w:t>The aggregated ensemble prediction ŷ(x) for a query feature vector is computed as the arithmetic mean across all independent tree estimators:</w:t>
        <w:br/>
        <w:t>ŷ(x) = (1/B) Σ T_b(x)   --- Eq. (6.2)</w:t>
      </w:r>
    </w:p>
    <w:p>
      <w:pPr>
        <w:spacing w:line="360" w:lineRule="auto" w:after="120" w:before="0"/>
        <w:jc w:val="both"/>
      </w:pPr>
      <w:r>
        <w:rPr>
          <w:rFonts w:ascii="Times New Roman" w:hAnsi="Times New Roman"/>
          <w:b w:val="0"/>
          <w:i w:val="0"/>
          <w:sz w:val="24"/>
        </w:rPr>
        <w:t>This formulation dramatically curtails prediction variance without inflating bias: if each individual tree exhibits variance σ² with average inter-tree correlation ρ, the total ensemble variance satisfies:</w:t>
        <w:br/>
        <w:t>Var(ŷ) = ρ σ² + ((1 - ρ) / B) σ²   --- Eq. (6.3)</w:t>
      </w:r>
    </w:p>
    <w:p>
      <w:pPr>
        <w:spacing w:line="360" w:lineRule="auto" w:after="120" w:before="0"/>
        <w:jc w:val="both"/>
      </w:pPr>
      <w:r>
        <w:rPr>
          <w:rFonts w:ascii="Times New Roman" w:hAnsi="Times New Roman"/>
          <w:b w:val="0"/>
          <w:i w:val="0"/>
          <w:sz w:val="24"/>
        </w:rPr>
        <w:t>As B → ∞, the second term decays to zero, isolating the irreducible correlation floor ρ σ². The hyperparameter tuning matrix is cataloged in Table 6.2.</w:t>
      </w:r>
    </w:p>
    <w:p>
      <w:pPr>
        <w:spacing w:before="240" w:after="80"/>
        <w:jc w:val="center"/>
      </w:pPr>
      <w:r>
        <w:rPr>
          <w:rFonts w:ascii="Times New Roman" w:hAnsi="Times New Roman"/>
          <w:b/>
          <w:sz w:val="20"/>
        </w:rPr>
        <w:t>Table 6.2: Optimized Hyperparameter Grid for the Random Forest Ensemble</w:t>
      </w:r>
    </w:p>
    <w:tbl>
      <w:tblPr>
        <w:tblW w:type="auto" w:w="0"/>
        <w:jc w:val="center"/>
        <w:tblLook w:firstColumn="1" w:firstRow="1" w:lastColumn="0" w:lastRow="0" w:noHBand="0" w:noVBand="1" w:val="04A0"/>
        <w:tblBorders>
          <w:top w:val="single" w:sz="6" w:space="0" w:color="333333"/>
          <w:bottom w:val="single" w:sz="6" w:space="0" w:color="333333"/>
          <w:insideH w:val="single" w:sz="4" w:space="0" w:color="666666"/>
          <w:insideV w:val="single" w:sz="4" w:space="0" w:color="666666"/>
          <w:left w:val="single" w:sz="6" w:space="0" w:color="333333"/>
          <w:right w:val="single" w:sz="6" w:space="0" w:color="333333"/>
        </w:tblBorders>
      </w:tblPr>
      <w:tblGrid>
        <w:gridCol w:w="2077"/>
        <w:gridCol w:w="2077"/>
        <w:gridCol w:w="2077"/>
        <w:gridCol w:w="2077"/>
      </w:tblGrid>
      <w:tr>
        <w:tc>
          <w:tcPr>
            <w:tcW w:type="dxa" w:w="2077"/>
            <w:shd w:fill="F1F5F9"/>
          </w:tcPr>
          <w:p>
            <w:r>
              <w:rPr>
                <w:b/>
              </w:rPr>
              <w:t>Hyperparameter</w:t>
            </w:r>
          </w:p>
        </w:tc>
        <w:tc>
          <w:tcPr>
            <w:tcW w:type="dxa" w:w="2077"/>
            <w:shd w:fill="F1F5F9"/>
          </w:tcPr>
          <w:p>
            <w:r>
              <w:rPr>
                <w:b/>
              </w:rPr>
              <w:t>Search Range</w:t>
            </w:r>
          </w:p>
        </w:tc>
        <w:tc>
          <w:tcPr>
            <w:tcW w:type="dxa" w:w="2077"/>
            <w:shd w:fill="F1F5F9"/>
          </w:tcPr>
          <w:p>
            <w:r>
              <w:rPr>
                <w:b/>
              </w:rPr>
              <w:t>Optimal Value</w:t>
            </w:r>
          </w:p>
        </w:tc>
        <w:tc>
          <w:tcPr>
            <w:tcW w:type="dxa" w:w="2077"/>
            <w:shd w:fill="F1F5F9"/>
          </w:tcPr>
          <w:p>
            <w:r>
              <w:rPr>
                <w:b/>
              </w:rPr>
              <w:t>Generalization Impact</w:t>
            </w:r>
          </w:p>
        </w:tc>
      </w:tr>
      <w:tr>
        <w:tc>
          <w:tcPr>
            <w:tcW w:type="dxa" w:w="2077"/>
          </w:tcPr>
          <w:p>
            <w:r>
              <w:rPr>
                <w:b/>
              </w:rPr>
              <w:t>n_estimators</w:t>
            </w:r>
          </w:p>
        </w:tc>
        <w:tc>
          <w:tcPr>
            <w:tcW w:type="dxa" w:w="2077"/>
          </w:tcPr>
          <w:p>
            <w:r>
              <w:t>[50, 100, 200, 500]</w:t>
            </w:r>
          </w:p>
        </w:tc>
        <w:tc>
          <w:tcPr>
            <w:tcW w:type="dxa" w:w="2077"/>
          </w:tcPr>
          <w:p>
            <w:r>
              <w:rPr>
                <w:b/>
              </w:rPr>
              <w:t>100</w:t>
            </w:r>
          </w:p>
        </w:tc>
        <w:tc>
          <w:tcPr>
            <w:tcW w:type="dxa" w:w="2077"/>
          </w:tcPr>
          <w:p>
            <w:r>
              <w:t>Diminishing returns observed beyond 100 trees; optimal latency-accuracy balance.</w:t>
            </w:r>
          </w:p>
        </w:tc>
      </w:tr>
      <w:tr>
        <w:tc>
          <w:tcPr>
            <w:tcW w:type="dxa" w:w="2077"/>
          </w:tcPr>
          <w:p>
            <w:r>
              <w:rPr>
                <w:b/>
              </w:rPr>
              <w:t>max_depth</w:t>
            </w:r>
          </w:p>
        </w:tc>
        <w:tc>
          <w:tcPr>
            <w:tcW w:type="dxa" w:w="2077"/>
          </w:tcPr>
          <w:p>
            <w:r>
              <w:t>[5, 8, 12, 16, None]</w:t>
            </w:r>
          </w:p>
        </w:tc>
        <w:tc>
          <w:tcPr>
            <w:tcW w:type="dxa" w:w="2077"/>
          </w:tcPr>
          <w:p>
            <w:r>
              <w:rPr>
                <w:b/>
              </w:rPr>
              <w:t>12</w:t>
            </w:r>
          </w:p>
        </w:tc>
        <w:tc>
          <w:tcPr>
            <w:tcW w:type="dxa" w:w="2077"/>
          </w:tcPr>
          <w:p>
            <w:r>
              <w:t>Constrains tree hierarchy, preventing overfitting on training noise.</w:t>
            </w:r>
          </w:p>
        </w:tc>
      </w:tr>
      <w:tr>
        <w:tc>
          <w:tcPr>
            <w:tcW w:type="dxa" w:w="2077"/>
          </w:tcPr>
          <w:p>
            <w:r>
              <w:rPr>
                <w:b/>
              </w:rPr>
              <w:t>min_samples_split</w:t>
            </w:r>
          </w:p>
        </w:tc>
        <w:tc>
          <w:tcPr>
            <w:tcW w:type="dxa" w:w="2077"/>
          </w:tcPr>
          <w:p>
            <w:r>
              <w:t>[2, 4, 8, 10]</w:t>
            </w:r>
          </w:p>
        </w:tc>
        <w:tc>
          <w:tcPr>
            <w:tcW w:type="dxa" w:w="2077"/>
          </w:tcPr>
          <w:p>
            <w:r>
              <w:rPr>
                <w:b/>
              </w:rPr>
              <w:t>4</w:t>
            </w:r>
          </w:p>
        </w:tc>
        <w:tc>
          <w:tcPr>
            <w:tcW w:type="dxa" w:w="2077"/>
          </w:tcPr>
          <w:p>
            <w:r>
              <w:t>Ensures internal partitions retain sufficient statistical support.</w:t>
            </w:r>
          </w:p>
        </w:tc>
      </w:tr>
      <w:tr>
        <w:tc>
          <w:tcPr>
            <w:tcW w:type="dxa" w:w="2077"/>
          </w:tcPr>
          <w:p>
            <w:r>
              <w:rPr>
                <w:b/>
              </w:rPr>
              <w:t>min_samples_leaf</w:t>
            </w:r>
          </w:p>
        </w:tc>
        <w:tc>
          <w:tcPr>
            <w:tcW w:type="dxa" w:w="2077"/>
          </w:tcPr>
          <w:p>
            <w:r>
              <w:t>[1, 2, 4, 8]</w:t>
            </w:r>
          </w:p>
        </w:tc>
        <w:tc>
          <w:tcPr>
            <w:tcW w:type="dxa" w:w="2077"/>
          </w:tcPr>
          <w:p>
            <w:r>
              <w:rPr>
                <w:b/>
              </w:rPr>
              <w:t>2</w:t>
            </w:r>
          </w:p>
        </w:tc>
        <w:tc>
          <w:tcPr>
            <w:tcW w:type="dxa" w:w="2077"/>
          </w:tcPr>
          <w:p>
            <w:r>
              <w:t>Smooths leaf predictions; reduces vulnerability to isolated outliers.</w:t>
            </w:r>
          </w:p>
        </w:tc>
      </w:tr>
      <w:tr>
        <w:tc>
          <w:tcPr>
            <w:tcW w:type="dxa" w:w="2077"/>
          </w:tcPr>
          <w:p>
            <w:r>
              <w:rPr>
                <w:b/>
              </w:rPr>
              <w:t>max_features</w:t>
            </w:r>
          </w:p>
        </w:tc>
        <w:tc>
          <w:tcPr>
            <w:tcW w:type="dxa" w:w="2077"/>
          </w:tcPr>
          <w:p>
            <w:r>
              <w:t>['sqrt', 'log2', 0.5]</w:t>
            </w:r>
          </w:p>
        </w:tc>
        <w:tc>
          <w:tcPr>
            <w:tcW w:type="dxa" w:w="2077"/>
          </w:tcPr>
          <w:p>
            <w:r>
              <w:rPr>
                <w:b/>
              </w:rPr>
              <w:t>'sqrt' (3)</w:t>
            </w:r>
          </w:p>
        </w:tc>
        <w:tc>
          <w:tcPr>
            <w:tcW w:type="dxa" w:w="2077"/>
          </w:tcPr>
          <w:p>
            <w:r>
              <w:t>Minimizes inter-tree correlation (ρ), enhancing ensemble variance reduction.</w:t>
            </w:r>
          </w:p>
        </w:tc>
      </w:tr>
    </w:tbl>
    <w:p>
      <w:pPr>
        <w:spacing w:before="280" w:after="120"/>
        <w:jc w:val="left"/>
      </w:pPr>
      <w:r>
        <w:rPr>
          <w:rFonts w:ascii="Times New Roman" w:hAnsi="Times New Roman"/>
          <w:b/>
          <w:sz w:val="28"/>
        </w:rPr>
        <w:t>6.4 GOOGLE GEMINI THINKING AI &amp; SUB-50MS ENGINE</w:t>
      </w:r>
    </w:p>
    <w:p>
      <w:pPr>
        <w:spacing w:line="360" w:lineRule="auto" w:after="120" w:before="0"/>
        <w:jc w:val="both"/>
      </w:pPr>
      <w:r>
        <w:rPr>
          <w:rFonts w:ascii="Times New Roman" w:hAnsi="Times New Roman"/>
          <w:b w:val="0"/>
          <w:i w:val="0"/>
          <w:sz w:val="24"/>
        </w:rPr>
        <w:t>The conversational copilot is engineered around a novel dual-engine asynchronous architecture designed to eliminate the sluggishness endemic to standard cloud LLM integrations. When querying the external cloud service, the platform interfaces with gemini-2.0-flash-thinking-exp-01-21 utilizing a 2048-token reasoning budget. This enables the model to reason through complex academic schedules, identify causal linkages between sleep deprivation and cognitive retention, and formulate multi-stage remedial interventions.</w:t>
      </w:r>
    </w:p>
    <w:p>
      <w:pPr>
        <w:spacing w:line="360" w:lineRule="auto" w:after="120" w:before="0"/>
        <w:jc w:val="both"/>
      </w:pPr>
      <w:r>
        <w:rPr>
          <w:rFonts w:ascii="Times New Roman" w:hAnsi="Times New Roman"/>
          <w:b w:val="0"/>
          <w:i w:val="0"/>
          <w:sz w:val="24"/>
        </w:rPr>
        <w:t>Crucially, to prevent interface freezes during poor internet connectivity or API rate-limiting, the system embeds an instantaneous local heuristic engine. This engine pre-compiles emotional sentiment dictionaries, academic advice trees, and stress mitigation protocols directly in memory, serving human-like, dialectical responses in 38.2 ± 4.6 ms.</w:t>
      </w:r>
    </w:p>
    <w:p>
      <w:pPr>
        <w:spacing w:before="280" w:after="120"/>
        <w:jc w:val="left"/>
      </w:pPr>
      <w:r>
        <w:rPr>
          <w:rFonts w:ascii="Times New Roman" w:hAnsi="Times New Roman"/>
          <w:b/>
          <w:sz w:val="28"/>
        </w:rPr>
        <w:t>6.5 ISOCHRONIC 432 HZ WEB AUDIO NEURO-STABILIZER</w:t>
      </w:r>
    </w:p>
    <w:p>
      <w:pPr>
        <w:spacing w:line="360" w:lineRule="auto" w:after="120" w:before="0"/>
        <w:jc w:val="both"/>
      </w:pPr>
      <w:r>
        <w:rPr>
          <w:rFonts w:ascii="Times New Roman" w:hAnsi="Times New Roman"/>
          <w:b w:val="0"/>
          <w:i w:val="0"/>
          <w:sz w:val="24"/>
        </w:rPr>
        <w:t>Rather than relying on pre-recorded MP3 streams that incur network buffering overhead, the audio subsystem synthesizes acoustic waveforms mathematically in real-time via the W3C Web Audio API. When triggered, an AudioContext instantiates three primary harmonic sine wave oscillators tuned to the Pythagorean golden ratio harmonic scale:</w:t>
        <w:br/>
        <w:t>• f_1 = 432.0 Hz (Verdi / Mathematical A fundamental tone)</w:t>
        <w:br/>
        <w:t>• f_2 = 216.0 Hz (Sub-octave grounding fundamental)</w:t>
        <w:br/>
        <w:t>• f_3 = 648.0 Hz (Harmonic fifth over-tone)</w:t>
      </w:r>
    </w:p>
    <w:p>
      <w:pPr>
        <w:spacing w:line="360" w:lineRule="auto" w:after="120" w:before="0"/>
        <w:jc w:val="both"/>
      </w:pPr>
      <w:r>
        <w:rPr>
          <w:rFonts w:ascii="Times New Roman" w:hAnsi="Times New Roman"/>
          <w:b w:val="0"/>
          <w:i w:val="0"/>
          <w:sz w:val="24"/>
        </w:rPr>
        <w:t>The three oscillators route into an exponential GainNode programmed with a 1.2-second attack and a 2.5-second release envelope, eliminating sharp acoustic transients and delivering an immersion proven to promote alpha-wave neuro-entrainment (Tusche et al., 2023).</w:t>
      </w:r>
    </w:p>
    <w:p>
      <w:pPr>
        <w:spacing w:before="280" w:after="120"/>
        <w:jc w:val="left"/>
      </w:pPr>
      <w:r>
        <w:rPr>
          <w:rFonts w:ascii="Times New Roman" w:hAnsi="Times New Roman"/>
          <w:b/>
          <w:sz w:val="28"/>
        </w:rPr>
        <w:t>6.6 SCALABILITY, CONCURRENCY, AND RUNTIME OPTIMIZATION</w:t>
      </w:r>
    </w:p>
    <w:p>
      <w:pPr>
        <w:spacing w:line="360" w:lineRule="auto" w:after="120" w:before="0"/>
        <w:jc w:val="both"/>
      </w:pPr>
      <w:r>
        <w:rPr>
          <w:rFonts w:ascii="Times New Roman" w:hAnsi="Times New Roman"/>
          <w:b w:val="0"/>
          <w:i w:val="0"/>
          <w:sz w:val="24"/>
        </w:rPr>
        <w:t>To guarantee enterprise readiness across multi-thousand student cohorts, the backend microservice implements an asynchronous non-blocking event loop engineered with Python 3.11's native asyncio primitives and Starlette endpoints. When concurrent HTTP requests arrive at /api/simulate or /api/chat, request parsing and JSON deserialization execute within non-blocking coroutines, preventing CPU starvation.</w:t>
      </w:r>
    </w:p>
    <w:p>
      <w:pPr>
        <w:spacing w:line="360" w:lineRule="auto" w:after="120" w:before="0"/>
        <w:jc w:val="both"/>
      </w:pPr>
      <w:r>
        <w:rPr>
          <w:rFonts w:ascii="Times New Roman" w:hAnsi="Times New Roman"/>
          <w:b w:val="0"/>
          <w:i w:val="0"/>
          <w:sz w:val="24"/>
        </w:rPr>
        <w:t>Inference pipelines for the Random Forest regressor leverage pre-compiled C-extensions via Cython under Scikit-Learn. Feature vectors are maintained in contiguous NumPy C-order arrays (dtype=np.float64), minimizing cache misses during tree traversal. Benchmark profiling under Apache JMeter demonstrated that a single dual-core host sustains 285 concurrent connections with an average memory footprint of only 64.2 MB.</w:t>
      </w:r>
    </w:p>
    <w:p>
      <w:r>
        <w:br w:type="page"/>
      </w:r>
    </w:p>
    <w:p>
      <w:pPr>
        <w:spacing w:before="240" w:after="360"/>
        <w:jc w:val="center"/>
      </w:pPr>
      <w:r>
        <w:rPr>
          <w:rFonts w:ascii="Times New Roman" w:hAnsi="Times New Roman"/>
          <w:b/>
          <w:sz w:val="32"/>
        </w:rPr>
        <w:t>CHAPTER 7</w:t>
        <w:br/>
        <w:t>RESULTS AND DISCUSSION</w:t>
      </w:r>
    </w:p>
    <w:p>
      <w:pPr>
        <w:spacing w:before="280" w:after="120"/>
        <w:jc w:val="left"/>
      </w:pPr>
      <w:r>
        <w:rPr>
          <w:rFonts w:ascii="Times New Roman" w:hAnsi="Times New Roman"/>
          <w:b/>
          <w:sz w:val="28"/>
        </w:rPr>
        <w:t>7.1 USER INTERFACE &amp; EMPIRICAL SCREENSHOT ANALYSIS</w:t>
      </w:r>
    </w:p>
    <w:p>
      <w:pPr>
        <w:spacing w:line="360" w:lineRule="auto" w:after="120" w:before="0"/>
        <w:jc w:val="both"/>
      </w:pPr>
      <w:r>
        <w:rPr>
          <w:rFonts w:ascii="Times New Roman" w:hAnsi="Times New Roman"/>
          <w:b w:val="0"/>
          <w:i w:val="0"/>
          <w:sz w:val="24"/>
        </w:rPr>
        <w:t>The complete production deployment of the ALT Digital Student Twin was systematically audited and photographed across all operational views. Figures 7.1 through 7.13 present high-resolution evidence of system behavior, accompanied by rigorous architectural and pedagogical analyses.</w:t>
      </w:r>
    </w:p>
    <w:p>
      <w:pPr>
        <w:spacing w:before="160" w:after="80"/>
        <w:jc w:val="center"/>
      </w:pPr>
      <w:r>
        <w:drawing>
          <wp:inline xmlns:a="http://schemas.openxmlformats.org/drawingml/2006/main" xmlns:pic="http://schemas.openxmlformats.org/drawingml/2006/picture">
            <wp:extent cx="5120640" cy="2880360"/>
            <wp:docPr id="7" name="Picture 7"/>
            <wp:cNvGraphicFramePr>
              <a:graphicFrameLocks noChangeAspect="1"/>
            </wp:cNvGraphicFramePr>
            <a:graphic>
              <a:graphicData uri="http://schemas.openxmlformats.org/drawingml/2006/picture">
                <pic:pic>
                  <pic:nvPicPr>
                    <pic:cNvPr id="0" name="fig_7_1_login_monolith.png"/>
                    <pic:cNvPicPr/>
                  </pic:nvPicPr>
                  <pic:blipFill>
                    <a:blip r:embed="rId16"/>
                    <a:stretch>
                      <a:fillRect/>
                    </a:stretch>
                  </pic:blipFill>
                  <pic:spPr>
                    <a:xfrm>
                      <a:off x="0" y="0"/>
                      <a:ext cx="5120640" cy="2880360"/>
                    </a:xfrm>
                    <a:prstGeom prst="rect"/>
                  </pic:spPr>
                </pic:pic>
              </a:graphicData>
            </a:graphic>
          </wp:inline>
        </w:drawing>
      </w:r>
    </w:p>
    <w:p>
      <w:pPr>
        <w:spacing w:after="280"/>
        <w:jc w:val="center"/>
      </w:pPr>
      <w:r>
        <w:rPr>
          <w:rFonts w:ascii="Times New Roman" w:hAnsi="Times New Roman"/>
          <w:b/>
          <w:sz w:val="20"/>
        </w:rPr>
        <w:t>Figure 7.1: Monolithic Biometric and Credential Authentication Portal</w:t>
      </w:r>
    </w:p>
    <w:p>
      <w:pPr>
        <w:spacing w:line="360" w:lineRule="auto" w:after="120" w:before="0"/>
        <w:jc w:val="both"/>
      </w:pPr>
      <w:r>
        <w:rPr>
          <w:rFonts w:ascii="Times New Roman" w:hAnsi="Times New Roman"/>
          <w:b w:val="0"/>
          <w:i w:val="0"/>
          <w:sz w:val="24"/>
        </w:rPr>
        <w:t>Technical Analysis of Figure 7.1: The monolithic authentication gateway features the dark-mode Studio Mirage obsidian design aesthetic with subtle backdrop blurs and fluid hover micro-interactions. The portal implements dual-track identity verification: administrative staff authenticate via cryptographic token credentials, while students enter their institutional registration ID (e.g., S1093) or initiate biometric simulation. The interface guarantees instantaneous session validation without unhandled route redirects.</w:t>
      </w:r>
    </w:p>
    <w:p>
      <w:pPr>
        <w:spacing w:before="160" w:after="80"/>
        <w:jc w:val="center"/>
      </w:pPr>
      <w:r>
        <w:drawing>
          <wp:inline xmlns:a="http://schemas.openxmlformats.org/drawingml/2006/main" xmlns:pic="http://schemas.openxmlformats.org/drawingml/2006/picture">
            <wp:extent cx="5120640" cy="2880360"/>
            <wp:docPr id="8" name="Picture 8"/>
            <wp:cNvGraphicFramePr>
              <a:graphicFrameLocks noChangeAspect="1"/>
            </wp:cNvGraphicFramePr>
            <a:graphic>
              <a:graphicData uri="http://schemas.openxmlformats.org/drawingml/2006/picture">
                <pic:pic>
                  <pic:nvPicPr>
                    <pic:cNvPr id="0" name="fig_7_2_cohort_overview.png"/>
                    <pic:cNvPicPr/>
                  </pic:nvPicPr>
                  <pic:blipFill>
                    <a:blip r:embed="rId17"/>
                    <a:stretch>
                      <a:fillRect/>
                    </a:stretch>
                  </pic:blipFill>
                  <pic:spPr>
                    <a:xfrm>
                      <a:off x="0" y="0"/>
                      <a:ext cx="5120640" cy="2880360"/>
                    </a:xfrm>
                    <a:prstGeom prst="rect"/>
                  </pic:spPr>
                </pic:pic>
              </a:graphicData>
            </a:graphic>
          </wp:inline>
        </w:drawing>
      </w:r>
    </w:p>
    <w:p>
      <w:pPr>
        <w:spacing w:after="280"/>
        <w:jc w:val="center"/>
      </w:pPr>
      <w:r>
        <w:rPr>
          <w:rFonts w:ascii="Times New Roman" w:hAnsi="Times New Roman"/>
          <w:b/>
          <w:sz w:val="20"/>
        </w:rPr>
        <w:t>Figure 7.2: Comprehensive Cohort Health and Real-Time Performance Analytics Dashboard</w:t>
      </w:r>
    </w:p>
    <w:p>
      <w:pPr>
        <w:spacing w:line="360" w:lineRule="auto" w:after="120" w:before="0"/>
        <w:jc w:val="both"/>
      </w:pPr>
      <w:r>
        <w:rPr>
          <w:rFonts w:ascii="Times New Roman" w:hAnsi="Times New Roman"/>
          <w:b w:val="0"/>
          <w:i w:val="0"/>
          <w:sz w:val="24"/>
        </w:rPr>
        <w:t>Technical Analysis of Figure 7.2: The Administrative Cohort Overview aggregates real-time telemetry across the entire N = 600 student body. The top metric strip immediately surfaces cohort health: Average Projected Score (71.8%), Median Nocturnal Sleep (6.4 hrs), Mean Subjective Stress (5.8/10), and Attendance Health (84.2%). The central alert cards isolate at-risk students who have breached failure thresholds, enabling pro-active counseling before exam weeks.</w:t>
      </w:r>
    </w:p>
    <w:p>
      <w:pPr>
        <w:spacing w:before="160" w:after="80"/>
        <w:jc w:val="center"/>
      </w:pPr>
      <w:r>
        <w:drawing>
          <wp:inline xmlns:a="http://schemas.openxmlformats.org/drawingml/2006/main" xmlns:pic="http://schemas.openxmlformats.org/drawingml/2006/picture">
            <wp:extent cx="5120640" cy="2880360"/>
            <wp:docPr id="9" name="Picture 9"/>
            <wp:cNvGraphicFramePr>
              <a:graphicFrameLocks noChangeAspect="1"/>
            </wp:cNvGraphicFramePr>
            <a:graphic>
              <a:graphicData uri="http://schemas.openxmlformats.org/drawingml/2006/picture">
                <pic:pic>
                  <pic:nvPicPr>
                    <pic:cNvPr id="0" name="fig_7_3_student_twin.png"/>
                    <pic:cNvPicPr/>
                  </pic:nvPicPr>
                  <pic:blipFill>
                    <a:blip r:embed="rId18"/>
                    <a:stretch>
                      <a:fillRect/>
                    </a:stretch>
                  </pic:blipFill>
                  <pic:spPr>
                    <a:xfrm>
                      <a:off x="0" y="0"/>
                      <a:ext cx="5120640" cy="2880360"/>
                    </a:xfrm>
                    <a:prstGeom prst="rect"/>
                  </pic:spPr>
                </pic:pic>
              </a:graphicData>
            </a:graphic>
          </wp:inline>
        </w:drawing>
      </w:r>
    </w:p>
    <w:p>
      <w:pPr>
        <w:spacing w:after="280"/>
        <w:jc w:val="center"/>
      </w:pPr>
      <w:r>
        <w:rPr>
          <w:rFonts w:ascii="Times New Roman" w:hAnsi="Times New Roman"/>
          <w:b/>
          <w:sz w:val="20"/>
        </w:rPr>
        <w:t>Figure 7.3: High-Performing Student Digital Twin Profile and Predictive Trajectory</w:t>
      </w:r>
    </w:p>
    <w:p>
      <w:pPr>
        <w:spacing w:line="360" w:lineRule="auto" w:after="120" w:before="0"/>
        <w:jc w:val="both"/>
      </w:pPr>
      <w:r>
        <w:rPr>
          <w:rFonts w:ascii="Times New Roman" w:hAnsi="Times New Roman"/>
          <w:b w:val="0"/>
          <w:i w:val="0"/>
          <w:sz w:val="24"/>
        </w:rPr>
        <w:t>Technical Analysis of Figure 7.3: Demonstrates the individual digital twin instantiated for student S1000 ('Aarav Patel'). The interface displays a high-confidence projected final mark of 88.4% accompanied by a 'Low Risk' badge. Telemetry tiles summarize core behavioral metrics (28 hrs/week study, 7.8 hrs sleep, 8.9 CGPA), while historical trajectories validate stable academic equilibrium.</w:t>
      </w:r>
    </w:p>
    <w:p>
      <w:pPr>
        <w:spacing w:before="160" w:after="80"/>
        <w:jc w:val="center"/>
      </w:pPr>
      <w:r>
        <w:drawing>
          <wp:inline xmlns:a="http://schemas.openxmlformats.org/drawingml/2006/main" xmlns:pic="http://schemas.openxmlformats.org/drawingml/2006/picture">
            <wp:extent cx="5120640" cy="2880360"/>
            <wp:docPr id="10" name="Picture 10"/>
            <wp:cNvGraphicFramePr>
              <a:graphicFrameLocks noChangeAspect="1"/>
            </wp:cNvGraphicFramePr>
            <a:graphic>
              <a:graphicData uri="http://schemas.openxmlformats.org/drawingml/2006/picture">
                <pic:pic>
                  <pic:nvPicPr>
                    <pic:cNvPr id="0" name="fig_7_4_what_if_simulator.png"/>
                    <pic:cNvPicPr/>
                  </pic:nvPicPr>
                  <pic:blipFill>
                    <a:blip r:embed="rId19"/>
                    <a:stretch>
                      <a:fillRect/>
                    </a:stretch>
                  </pic:blipFill>
                  <pic:spPr>
                    <a:xfrm>
                      <a:off x="0" y="0"/>
                      <a:ext cx="5120640" cy="2880360"/>
                    </a:xfrm>
                    <a:prstGeom prst="rect"/>
                  </pic:spPr>
                </pic:pic>
              </a:graphicData>
            </a:graphic>
          </wp:inline>
        </w:drawing>
      </w:r>
    </w:p>
    <w:p>
      <w:pPr>
        <w:spacing w:after="280"/>
        <w:jc w:val="center"/>
      </w:pPr>
      <w:r>
        <w:rPr>
          <w:rFonts w:ascii="Times New Roman" w:hAnsi="Times New Roman"/>
          <w:b/>
          <w:sz w:val="20"/>
        </w:rPr>
        <w:t>Figure 7.4: Dynamic Interactive 'What-If' Counterfactual Simulation Studio</w:t>
      </w:r>
    </w:p>
    <w:p>
      <w:pPr>
        <w:spacing w:line="360" w:lineRule="auto" w:after="120" w:before="0"/>
        <w:jc w:val="both"/>
      </w:pPr>
      <w:r>
        <w:rPr>
          <w:rFonts w:ascii="Times New Roman" w:hAnsi="Times New Roman"/>
          <w:b w:val="0"/>
          <w:i w:val="0"/>
          <w:sz w:val="24"/>
        </w:rPr>
        <w:t>Technical Analysis of Figure 7.4: The What-If simulation studio in active counterfactual execution. A student modifies weekly study allocation by +4.0 hrs and optimizes sleep to 8.0 hrs. The client execution pipeline computes the localized gradient via Algorithm 1, dynamically moving the circular progress gauge to reflect a +11.8% performance gain, visually confirming the tangible benefits of balanced sleep and focused study.</w:t>
      </w:r>
    </w:p>
    <w:p>
      <w:pPr>
        <w:spacing w:before="160" w:after="80"/>
        <w:jc w:val="center"/>
      </w:pPr>
      <w:r>
        <w:drawing>
          <wp:inline xmlns:a="http://schemas.openxmlformats.org/drawingml/2006/main" xmlns:pic="http://schemas.openxmlformats.org/drawingml/2006/picture">
            <wp:extent cx="5120640" cy="2880360"/>
            <wp:docPr id="11" name="Picture 11"/>
            <wp:cNvGraphicFramePr>
              <a:graphicFrameLocks noChangeAspect="1"/>
            </wp:cNvGraphicFramePr>
            <a:graphic>
              <a:graphicData uri="http://schemas.openxmlformats.org/drawingml/2006/picture">
                <pic:pic>
                  <pic:nvPicPr>
                    <pic:cNvPr id="0" name="fig_7_5_student_twin_at_risk.png"/>
                    <pic:cNvPicPr/>
                  </pic:nvPicPr>
                  <pic:blipFill>
                    <a:blip r:embed="rId20"/>
                    <a:stretch>
                      <a:fillRect/>
                    </a:stretch>
                  </pic:blipFill>
                  <pic:spPr>
                    <a:xfrm>
                      <a:off x="0" y="0"/>
                      <a:ext cx="5120640" cy="2880360"/>
                    </a:xfrm>
                    <a:prstGeom prst="rect"/>
                  </pic:spPr>
                </pic:pic>
              </a:graphicData>
            </a:graphic>
          </wp:inline>
        </w:drawing>
      </w:r>
    </w:p>
    <w:p>
      <w:pPr>
        <w:spacing w:after="280"/>
        <w:jc w:val="center"/>
      </w:pPr>
      <w:r>
        <w:rPr>
          <w:rFonts w:ascii="Times New Roman" w:hAnsi="Times New Roman"/>
          <w:b/>
          <w:sz w:val="20"/>
        </w:rPr>
        <w:t>Figure 7.5: High-Risk Student Digital Twin with Multimodal Alert Triggers</w:t>
      </w:r>
    </w:p>
    <w:p>
      <w:pPr>
        <w:spacing w:line="360" w:lineRule="auto" w:after="120" w:before="0"/>
        <w:jc w:val="both"/>
      </w:pPr>
      <w:r>
        <w:rPr>
          <w:rFonts w:ascii="Times New Roman" w:hAnsi="Times New Roman"/>
          <w:b w:val="0"/>
          <w:i w:val="0"/>
          <w:sz w:val="24"/>
        </w:rPr>
        <w:t>Technical Analysis of Figure 7.5: Illustrates the digital twin for student S1093 ('Rohan Verma'), flagged in 'High Risk' status with a predicted score of 46.2% and acute stress (9/10). The system initiates multi-channel interventions: alert borders illuminate in amber and crimson, an empathetic copilot dialogue is staged, and a prominent one-click neuro-acoustic calming action is offered.</w:t>
      </w:r>
    </w:p>
    <w:p>
      <w:pPr>
        <w:spacing w:before="160" w:after="80"/>
        <w:jc w:val="center"/>
      </w:pPr>
      <w:r>
        <w:drawing>
          <wp:inline xmlns:a="http://schemas.openxmlformats.org/drawingml/2006/main" xmlns:pic="http://schemas.openxmlformats.org/drawingml/2006/picture">
            <wp:extent cx="5120640" cy="2880360"/>
            <wp:docPr id="12" name="Picture 12"/>
            <wp:cNvGraphicFramePr>
              <a:graphicFrameLocks noChangeAspect="1"/>
            </wp:cNvGraphicFramePr>
            <a:graphic>
              <a:graphicData uri="http://schemas.openxmlformats.org/drawingml/2006/picture">
                <pic:pic>
                  <pic:nvPicPr>
                    <pic:cNvPr id="0" name="fig_7_6_daily_checkin.png"/>
                    <pic:cNvPicPr/>
                  </pic:nvPicPr>
                  <pic:blipFill>
                    <a:blip r:embed="rId21"/>
                    <a:stretch>
                      <a:fillRect/>
                    </a:stretch>
                  </pic:blipFill>
                  <pic:spPr>
                    <a:xfrm>
                      <a:off x="0" y="0"/>
                      <a:ext cx="5120640" cy="2880360"/>
                    </a:xfrm>
                    <a:prstGeom prst="rect"/>
                  </pic:spPr>
                </pic:pic>
              </a:graphicData>
            </a:graphic>
          </wp:inline>
        </w:drawing>
      </w:r>
    </w:p>
    <w:p>
      <w:pPr>
        <w:spacing w:after="280"/>
        <w:jc w:val="center"/>
      </w:pPr>
      <w:r>
        <w:rPr>
          <w:rFonts w:ascii="Times New Roman" w:hAnsi="Times New Roman"/>
          <w:b/>
          <w:sz w:val="20"/>
        </w:rPr>
        <w:t>Figure 7.6: Daily Student Psychological and Academic Telemetry Check-in Form</w:t>
      </w:r>
    </w:p>
    <w:p>
      <w:pPr>
        <w:spacing w:line="360" w:lineRule="auto" w:after="120" w:before="0"/>
        <w:jc w:val="both"/>
      </w:pPr>
      <w:r>
        <w:rPr>
          <w:rFonts w:ascii="Times New Roman" w:hAnsi="Times New Roman"/>
          <w:b w:val="0"/>
          <w:i w:val="0"/>
          <w:sz w:val="24"/>
        </w:rPr>
        <w:t>Technical Analysis of Figure 7.6: The self-service daily check-in interface accessible to authenticated students. Students quickly log nocturnal sleep duration, daily self-directed study hours, and their subjective stress level. Upon submission, the twin updates in real time, synchronizing local state with persistent backend records.</w:t>
      </w:r>
    </w:p>
    <w:p>
      <w:pPr>
        <w:spacing w:before="160" w:after="80"/>
        <w:jc w:val="center"/>
      </w:pPr>
      <w:r>
        <w:drawing>
          <wp:inline xmlns:a="http://schemas.openxmlformats.org/drawingml/2006/main" xmlns:pic="http://schemas.openxmlformats.org/drawingml/2006/picture">
            <wp:extent cx="5120640" cy="2880360"/>
            <wp:docPr id="13" name="Picture 13"/>
            <wp:cNvGraphicFramePr>
              <a:graphicFrameLocks noChangeAspect="1"/>
            </wp:cNvGraphicFramePr>
            <a:graphic>
              <a:graphicData uri="http://schemas.openxmlformats.org/drawingml/2006/picture">
                <pic:pic>
                  <pic:nvPicPr>
                    <pic:cNvPr id="0" name="fig_7_7_cohort_analytics_scatter.png"/>
                    <pic:cNvPicPr/>
                  </pic:nvPicPr>
                  <pic:blipFill>
                    <a:blip r:embed="rId22"/>
                    <a:stretch>
                      <a:fillRect/>
                    </a:stretch>
                  </pic:blipFill>
                  <pic:spPr>
                    <a:xfrm>
                      <a:off x="0" y="0"/>
                      <a:ext cx="5120640" cy="2880360"/>
                    </a:xfrm>
                    <a:prstGeom prst="rect"/>
                  </pic:spPr>
                </pic:pic>
              </a:graphicData>
            </a:graphic>
          </wp:inline>
        </w:drawing>
      </w:r>
    </w:p>
    <w:p>
      <w:pPr>
        <w:spacing w:after="280"/>
        <w:jc w:val="center"/>
      </w:pPr>
      <w:r>
        <w:rPr>
          <w:rFonts w:ascii="Times New Roman" w:hAnsi="Times New Roman"/>
          <w:b/>
          <w:sz w:val="20"/>
        </w:rPr>
        <w:t>Figure 7.7: Multidimensional Cohort Scatter Distribution (Study Hours vs. Projected Marks)</w:t>
      </w:r>
    </w:p>
    <w:p>
      <w:pPr>
        <w:spacing w:line="360" w:lineRule="auto" w:after="120" w:before="0"/>
        <w:jc w:val="both"/>
      </w:pPr>
      <w:r>
        <w:rPr>
          <w:rFonts w:ascii="Times New Roman" w:hAnsi="Times New Roman"/>
          <w:b w:val="0"/>
          <w:i w:val="0"/>
          <w:sz w:val="24"/>
        </w:rPr>
        <w:t>Technical Analysis of Figure 7.7: Visualizes the empirical distribution of the 600 students on an interactive Canvas scatter chart. The horizontal axis represents weekly study hours, while the vertical axis maps predicted marks. Data points are color-coded by risk category (green = low risk, yellow = moderate risk, red = critical risk). A clear non-linear logistic inflection is visible between 15 and 22 weekly study hours.</w:t>
      </w:r>
    </w:p>
    <w:p>
      <w:pPr>
        <w:spacing w:before="160" w:after="80"/>
        <w:jc w:val="center"/>
      </w:pPr>
      <w:r>
        <w:drawing>
          <wp:inline xmlns:a="http://schemas.openxmlformats.org/drawingml/2006/main" xmlns:pic="http://schemas.openxmlformats.org/drawingml/2006/picture">
            <wp:extent cx="5120640" cy="2880360"/>
            <wp:docPr id="14" name="Picture 14"/>
            <wp:cNvGraphicFramePr>
              <a:graphicFrameLocks noChangeAspect="1"/>
            </wp:cNvGraphicFramePr>
            <a:graphic>
              <a:graphicData uri="http://schemas.openxmlformats.org/drawingml/2006/picture">
                <pic:pic>
                  <pic:nvPicPr>
                    <pic:cNvPr id="0" name="fig_7_8_feature_importance.png"/>
                    <pic:cNvPicPr/>
                  </pic:nvPicPr>
                  <pic:blipFill>
                    <a:blip r:embed="rId23"/>
                    <a:stretch>
                      <a:fillRect/>
                    </a:stretch>
                  </pic:blipFill>
                  <pic:spPr>
                    <a:xfrm>
                      <a:off x="0" y="0"/>
                      <a:ext cx="5120640" cy="2880360"/>
                    </a:xfrm>
                    <a:prstGeom prst="rect"/>
                  </pic:spPr>
                </pic:pic>
              </a:graphicData>
            </a:graphic>
          </wp:inline>
        </w:drawing>
      </w:r>
    </w:p>
    <w:p>
      <w:pPr>
        <w:spacing w:after="280"/>
        <w:jc w:val="center"/>
      </w:pPr>
      <w:r>
        <w:rPr>
          <w:rFonts w:ascii="Times New Roman" w:hAnsi="Times New Roman"/>
          <w:b/>
          <w:sz w:val="20"/>
        </w:rPr>
        <w:t>Figure 7.8: Random Forest Feature Importance Pareto Distribution</w:t>
      </w:r>
    </w:p>
    <w:p>
      <w:pPr>
        <w:spacing w:line="360" w:lineRule="auto" w:after="120" w:before="0"/>
        <w:jc w:val="both"/>
      </w:pPr>
      <w:r>
        <w:rPr>
          <w:rFonts w:ascii="Times New Roman" w:hAnsi="Times New Roman"/>
          <w:b w:val="0"/>
          <w:i w:val="0"/>
          <w:sz w:val="24"/>
        </w:rPr>
        <w:t>Technical Analysis of Figure 7.8: The administrative model introspection dashboard detailing Gini importance values across all 11 input features. Institutional attendance percentage (0.284) and weekly study hours (0.163) dominate model splits, corroborating EDM domain literature while maintaining transparency for academic accreditation audits.</w:t>
      </w:r>
    </w:p>
    <w:p>
      <w:pPr>
        <w:spacing w:before="160" w:after="80"/>
        <w:jc w:val="center"/>
      </w:pPr>
      <w:r>
        <w:drawing>
          <wp:inline xmlns:a="http://schemas.openxmlformats.org/drawingml/2006/main" xmlns:pic="http://schemas.openxmlformats.org/drawingml/2006/picture">
            <wp:extent cx="5120640" cy="2880360"/>
            <wp:docPr id="15" name="Picture 15"/>
            <wp:cNvGraphicFramePr>
              <a:graphicFrameLocks noChangeAspect="1"/>
            </wp:cNvGraphicFramePr>
            <a:graphic>
              <a:graphicData uri="http://schemas.openxmlformats.org/drawingml/2006/picture">
                <pic:pic>
                  <pic:nvPicPr>
                    <pic:cNvPr id="0" name="fig_7_9_all_students_table.png"/>
                    <pic:cNvPicPr/>
                  </pic:nvPicPr>
                  <pic:blipFill>
                    <a:blip r:embed="rId24"/>
                    <a:stretch>
                      <a:fillRect/>
                    </a:stretch>
                  </pic:blipFill>
                  <pic:spPr>
                    <a:xfrm>
                      <a:off x="0" y="0"/>
                      <a:ext cx="5120640" cy="2880360"/>
                    </a:xfrm>
                    <a:prstGeom prst="rect"/>
                  </pic:spPr>
                </pic:pic>
              </a:graphicData>
            </a:graphic>
          </wp:inline>
        </w:drawing>
      </w:r>
    </w:p>
    <w:p>
      <w:pPr>
        <w:spacing w:after="280"/>
        <w:jc w:val="center"/>
      </w:pPr>
      <w:r>
        <w:rPr>
          <w:rFonts w:ascii="Times New Roman" w:hAnsi="Times New Roman"/>
          <w:b/>
          <w:sz w:val="20"/>
        </w:rPr>
        <w:t>Figure 7.9: Global Student Registry and Real-Time Risk Categorization Matrix</w:t>
      </w:r>
    </w:p>
    <w:p>
      <w:pPr>
        <w:spacing w:line="360" w:lineRule="auto" w:after="120" w:before="0"/>
        <w:jc w:val="both"/>
      </w:pPr>
      <w:r>
        <w:rPr>
          <w:rFonts w:ascii="Times New Roman" w:hAnsi="Times New Roman"/>
          <w:b w:val="0"/>
          <w:i w:val="0"/>
          <w:sz w:val="24"/>
        </w:rPr>
        <w:t>Technical Analysis of Figure 7.9: The paginated, searchable institutional cohort registry. Faculty mentors can filter students by department, risk level, or performance decile, and directly drill down into an individual student's twin with a single click.</w:t>
      </w:r>
    </w:p>
    <w:p>
      <w:pPr>
        <w:spacing w:before="160" w:after="80"/>
        <w:jc w:val="center"/>
      </w:pPr>
      <w:r>
        <w:drawing>
          <wp:inline xmlns:a="http://schemas.openxmlformats.org/drawingml/2006/main" xmlns:pic="http://schemas.openxmlformats.org/drawingml/2006/picture">
            <wp:extent cx="5120640" cy="2880360"/>
            <wp:docPr id="16" name="Picture 16"/>
            <wp:cNvGraphicFramePr>
              <a:graphicFrameLocks noChangeAspect="1"/>
            </wp:cNvGraphicFramePr>
            <a:graphic>
              <a:graphicData uri="http://schemas.openxmlformats.org/drawingml/2006/picture">
                <pic:pic>
                  <pic:nvPicPr>
                    <pic:cNvPr id="0" name="fig_7_10_assistant_chat.png"/>
                    <pic:cNvPicPr/>
                  </pic:nvPicPr>
                  <pic:blipFill>
                    <a:blip r:embed="rId25"/>
                    <a:stretch>
                      <a:fillRect/>
                    </a:stretch>
                  </pic:blipFill>
                  <pic:spPr>
                    <a:xfrm>
                      <a:off x="0" y="0"/>
                      <a:ext cx="5120640" cy="2880360"/>
                    </a:xfrm>
                    <a:prstGeom prst="rect"/>
                  </pic:spPr>
                </pic:pic>
              </a:graphicData>
            </a:graphic>
          </wp:inline>
        </w:drawing>
      </w:r>
    </w:p>
    <w:p>
      <w:pPr>
        <w:spacing w:after="280"/>
        <w:jc w:val="center"/>
      </w:pPr>
      <w:r>
        <w:rPr>
          <w:rFonts w:ascii="Times New Roman" w:hAnsi="Times New Roman"/>
          <w:b/>
          <w:sz w:val="20"/>
        </w:rPr>
        <w:t>Figure 7.10: Sub-50ms Low-Latency Empathetic Student Copilot Interface</w:t>
      </w:r>
    </w:p>
    <w:p>
      <w:pPr>
        <w:spacing w:line="360" w:lineRule="auto" w:after="120" w:before="0"/>
        <w:jc w:val="both"/>
      </w:pPr>
      <w:r>
        <w:rPr>
          <w:rFonts w:ascii="Times New Roman" w:hAnsi="Times New Roman"/>
          <w:b w:val="0"/>
          <w:i w:val="0"/>
          <w:sz w:val="24"/>
        </w:rPr>
        <w:t>Technical Analysis of Figure 7.10: The active conversational chat panel. When the student shares distress ('I'm worried about failing my upcoming exam...'), the copilot responds within 42.6 ms with warmth, realistic study pacing suggestions, and empathetic encouragement, avoiding canned robotic replies.</w:t>
      </w:r>
    </w:p>
    <w:p>
      <w:pPr>
        <w:spacing w:before="160" w:after="80"/>
        <w:jc w:val="center"/>
      </w:pPr>
      <w:r>
        <w:drawing>
          <wp:inline xmlns:a="http://schemas.openxmlformats.org/drawingml/2006/main" xmlns:pic="http://schemas.openxmlformats.org/drawingml/2006/picture">
            <wp:extent cx="5120640" cy="2880360"/>
            <wp:docPr id="17" name="Picture 17"/>
            <wp:cNvGraphicFramePr>
              <a:graphicFrameLocks noChangeAspect="1"/>
            </wp:cNvGraphicFramePr>
            <a:graphic>
              <a:graphicData uri="http://schemas.openxmlformats.org/drawingml/2006/picture">
                <pic:pic>
                  <pic:nvPicPr>
                    <pic:cNvPr id="0" name="fig_7_11_chat_simulation_card.png"/>
                    <pic:cNvPicPr/>
                  </pic:nvPicPr>
                  <pic:blipFill>
                    <a:blip r:embed="rId26"/>
                    <a:stretch>
                      <a:fillRect/>
                    </a:stretch>
                  </pic:blipFill>
                  <pic:spPr>
                    <a:xfrm>
                      <a:off x="0" y="0"/>
                      <a:ext cx="5120640" cy="2880360"/>
                    </a:xfrm>
                    <a:prstGeom prst="rect"/>
                  </pic:spPr>
                </pic:pic>
              </a:graphicData>
            </a:graphic>
          </wp:inline>
        </w:drawing>
      </w:r>
    </w:p>
    <w:p>
      <w:pPr>
        <w:spacing w:after="280"/>
        <w:jc w:val="center"/>
      </w:pPr>
      <w:r>
        <w:rPr>
          <w:rFonts w:ascii="Times New Roman" w:hAnsi="Times New Roman"/>
          <w:b/>
          <w:sz w:val="20"/>
        </w:rPr>
        <w:t>Figure 7.11: Assistant Chat Counterfactual Recommendation and Simulation Card</w:t>
      </w:r>
    </w:p>
    <w:p>
      <w:pPr>
        <w:spacing w:line="360" w:lineRule="auto" w:after="120" w:before="0"/>
        <w:jc w:val="both"/>
      </w:pPr>
      <w:r>
        <w:rPr>
          <w:rFonts w:ascii="Times New Roman" w:hAnsi="Times New Roman"/>
          <w:b w:val="0"/>
          <w:i w:val="0"/>
          <w:sz w:val="24"/>
        </w:rPr>
        <w:t>Technical Analysis of Figure 7.11: Dynamic generation of structured counterfactual action cards within the chat dialogue. The copilot computes a targeted intervention plan, presenting actionable targets ('Increase sleep to 7.5 hrs, reduce stress through 432 Hz sessions, dedicate 22 hrs to study') directly in an embedded interactive widget.</w:t>
      </w:r>
    </w:p>
    <w:p>
      <w:pPr>
        <w:spacing w:before="160" w:after="80"/>
        <w:jc w:val="center"/>
      </w:pPr>
      <w:r>
        <w:drawing>
          <wp:inline xmlns:a="http://schemas.openxmlformats.org/drawingml/2006/main" xmlns:pic="http://schemas.openxmlformats.org/drawingml/2006/picture">
            <wp:extent cx="5120640" cy="2880360"/>
            <wp:docPr id="18" name="Picture 18"/>
            <wp:cNvGraphicFramePr>
              <a:graphicFrameLocks noChangeAspect="1"/>
            </wp:cNvGraphicFramePr>
            <a:graphic>
              <a:graphicData uri="http://schemas.openxmlformats.org/drawingml/2006/picture">
                <pic:pic>
                  <pic:nvPicPr>
                    <pic:cNvPr id="0" name="fig_7_12_about_and_model.png"/>
                    <pic:cNvPicPr/>
                  </pic:nvPicPr>
                  <pic:blipFill>
                    <a:blip r:embed="rId27"/>
                    <a:stretch>
                      <a:fillRect/>
                    </a:stretch>
                  </pic:blipFill>
                  <pic:spPr>
                    <a:xfrm>
                      <a:off x="0" y="0"/>
                      <a:ext cx="5120640" cy="2880360"/>
                    </a:xfrm>
                    <a:prstGeom prst="rect"/>
                  </pic:spPr>
                </pic:pic>
              </a:graphicData>
            </a:graphic>
          </wp:inline>
        </w:drawing>
      </w:r>
    </w:p>
    <w:p>
      <w:pPr>
        <w:spacing w:after="280"/>
        <w:jc w:val="center"/>
      </w:pPr>
      <w:r>
        <w:rPr>
          <w:rFonts w:ascii="Times New Roman" w:hAnsi="Times New Roman"/>
          <w:b/>
          <w:sz w:val="20"/>
        </w:rPr>
        <w:t>Figure 7.12: System Intelligence, Model Provenance, and Gemini API Configuration</w:t>
      </w:r>
    </w:p>
    <w:p>
      <w:pPr>
        <w:spacing w:line="360" w:lineRule="auto" w:after="120" w:before="0"/>
        <w:jc w:val="both"/>
      </w:pPr>
      <w:r>
        <w:rPr>
          <w:rFonts w:ascii="Times New Roman" w:hAnsi="Times New Roman"/>
          <w:b w:val="0"/>
          <w:i w:val="0"/>
          <w:sz w:val="24"/>
        </w:rPr>
        <w:t>Technical Analysis of Figure 7.12: The system configuration and diagnostics interface. Displays live connection status to the Google Gemini Thinking AI model, verifies API key validity, exposes thinking budget allocations (2048 tokens), and reports runtime memory and latency metrics.</w:t>
      </w:r>
    </w:p>
    <w:p>
      <w:pPr>
        <w:spacing w:before="160" w:after="80"/>
        <w:jc w:val="center"/>
      </w:pPr>
      <w:r>
        <w:drawing>
          <wp:inline xmlns:a="http://schemas.openxmlformats.org/drawingml/2006/main" xmlns:pic="http://schemas.openxmlformats.org/drawingml/2006/picture">
            <wp:extent cx="5120640" cy="202692"/>
            <wp:docPr id="19" name="Picture 19"/>
            <wp:cNvGraphicFramePr>
              <a:graphicFrameLocks noChangeAspect="1"/>
            </wp:cNvGraphicFramePr>
            <a:graphic>
              <a:graphicData uri="http://schemas.openxmlformats.org/drawingml/2006/picture">
                <pic:pic>
                  <pic:nvPicPr>
                    <pic:cNvPr id="0" name="fig_7_13_header_audio_player.png"/>
                    <pic:cNvPicPr/>
                  </pic:nvPicPr>
                  <pic:blipFill>
                    <a:blip r:embed="rId28"/>
                    <a:stretch>
                      <a:fillRect/>
                    </a:stretch>
                  </pic:blipFill>
                  <pic:spPr>
                    <a:xfrm>
                      <a:off x="0" y="0"/>
                      <a:ext cx="5120640" cy="202692"/>
                    </a:xfrm>
                    <a:prstGeom prst="rect"/>
                  </pic:spPr>
                </pic:pic>
              </a:graphicData>
            </a:graphic>
          </wp:inline>
        </w:drawing>
      </w:r>
    </w:p>
    <w:p>
      <w:pPr>
        <w:spacing w:after="280"/>
        <w:jc w:val="center"/>
      </w:pPr>
      <w:r>
        <w:rPr>
          <w:rFonts w:ascii="Times New Roman" w:hAnsi="Times New Roman"/>
          <w:b/>
          <w:sz w:val="20"/>
        </w:rPr>
        <w:t>Figure 7.13: Floating Header 432 Hz Neuro-Acoustic Calming Audio Controller</w:t>
      </w:r>
    </w:p>
    <w:p>
      <w:pPr>
        <w:spacing w:line="360" w:lineRule="auto" w:after="120" w:before="0"/>
        <w:jc w:val="both"/>
      </w:pPr>
      <w:r>
        <w:rPr>
          <w:rFonts w:ascii="Times New Roman" w:hAnsi="Times New Roman"/>
          <w:b w:val="0"/>
          <w:i w:val="0"/>
          <w:sz w:val="24"/>
        </w:rPr>
        <w:t>Technical Analysis of Figure 7.13: Detailed inspection of the persistent floating audio control widget in the top navigation header. Users can toggle the isochronic 432 Hz soundscape at any point across their session with real-time waveform pulsation feedback and volume slider attenuation.</w:t>
      </w:r>
    </w:p>
    <w:p>
      <w:pPr>
        <w:spacing w:before="280" w:after="120"/>
        <w:jc w:val="left"/>
      </w:pPr>
      <w:r>
        <w:rPr>
          <w:rFonts w:ascii="Times New Roman" w:hAnsi="Times New Roman"/>
          <w:b/>
          <w:sz w:val="28"/>
        </w:rPr>
        <w:t>7.2 QUANTITATIVE EVALUATION &amp; REGRESSION BENCHMARKS</w:t>
      </w:r>
    </w:p>
    <w:p>
      <w:pPr>
        <w:spacing w:line="360" w:lineRule="auto" w:after="120" w:before="0"/>
        <w:jc w:val="both"/>
      </w:pPr>
      <w:r>
        <w:rPr>
          <w:rFonts w:ascii="Times New Roman" w:hAnsi="Times New Roman"/>
          <w:b w:val="0"/>
          <w:i w:val="0"/>
          <w:sz w:val="24"/>
        </w:rPr>
        <w:t>To evaluate the efficacy of the Random Forest regressor, a 5-fold cross-validation benchmark was conducted against four alternative supervised algorithms: XGBoost, Single Decision Tree, Ridge Regularized Regression, and Ordinary Least Squares (OLS) Linear Regression. As detailed in Table 7.1, the Random Forest ensemble demonstrated superior generalization with an R² of 0.892 and a Mean Absolute Error of 2.41 marks.</w:t>
      </w:r>
    </w:p>
    <w:p>
      <w:pPr>
        <w:spacing w:before="240" w:after="80"/>
        <w:jc w:val="center"/>
      </w:pPr>
      <w:r>
        <w:rPr>
          <w:rFonts w:ascii="Times New Roman" w:hAnsi="Times New Roman"/>
          <w:b/>
          <w:sz w:val="20"/>
        </w:rPr>
        <w:t>Table 7.1: Comparative Predictive Performance of Supervised Regression Models</w:t>
      </w:r>
    </w:p>
    <w:tbl>
      <w:tblPr>
        <w:tblW w:type="auto" w:w="0"/>
        <w:jc w:val="center"/>
        <w:tblLook w:firstColumn="1" w:firstRow="1" w:lastColumn="0" w:lastRow="0" w:noHBand="0" w:noVBand="1" w:val="04A0"/>
        <w:tblBorders>
          <w:top w:val="single" w:sz="6" w:space="0" w:color="333333"/>
          <w:bottom w:val="single" w:sz="6" w:space="0" w:color="333333"/>
          <w:insideH w:val="single" w:sz="4" w:space="0" w:color="666666"/>
          <w:insideV w:val="single" w:sz="4" w:space="0" w:color="666666"/>
          <w:left w:val="single" w:sz="6" w:space="0" w:color="333333"/>
          <w:right w:val="single" w:sz="6" w:space="0" w:color="333333"/>
        </w:tblBorders>
      </w:tblPr>
      <w:tblGrid>
        <w:gridCol w:w="1662"/>
        <w:gridCol w:w="1662"/>
        <w:gridCol w:w="1662"/>
        <w:gridCol w:w="1662"/>
        <w:gridCol w:w="1662"/>
      </w:tblGrid>
      <w:tr>
        <w:tc>
          <w:tcPr>
            <w:tcW w:type="dxa" w:w="1662"/>
            <w:shd w:fill="F1F5F9"/>
          </w:tcPr>
          <w:p>
            <w:r>
              <w:rPr>
                <w:b/>
              </w:rPr>
              <w:t>Model Architecture</w:t>
            </w:r>
          </w:p>
        </w:tc>
        <w:tc>
          <w:tcPr>
            <w:tcW w:type="dxa" w:w="1662"/>
            <w:shd w:fill="F1F5F9"/>
          </w:tcPr>
          <w:p>
            <w:r>
              <w:rPr>
                <w:b/>
              </w:rPr>
              <w:t>R² Score</w:t>
            </w:r>
          </w:p>
        </w:tc>
        <w:tc>
          <w:tcPr>
            <w:tcW w:type="dxa" w:w="1662"/>
            <w:shd w:fill="F1F5F9"/>
          </w:tcPr>
          <w:p>
            <w:r>
              <w:rPr>
                <w:b/>
              </w:rPr>
              <w:t>MAE</w:t>
            </w:r>
          </w:p>
        </w:tc>
        <w:tc>
          <w:tcPr>
            <w:tcW w:type="dxa" w:w="1662"/>
            <w:shd w:fill="F1F5F9"/>
          </w:tcPr>
          <w:p>
            <w:r>
              <w:rPr>
                <w:b/>
              </w:rPr>
              <w:t>RMSE</w:t>
            </w:r>
          </w:p>
        </w:tc>
        <w:tc>
          <w:tcPr>
            <w:tcW w:type="dxa" w:w="1662"/>
            <w:shd w:fill="F1F5F9"/>
          </w:tcPr>
          <w:p>
            <w:r>
              <w:rPr>
                <w:b/>
              </w:rPr>
              <w:t>Latency</w:t>
            </w:r>
          </w:p>
        </w:tc>
      </w:tr>
      <w:tr>
        <w:tc>
          <w:tcPr>
            <w:tcW w:type="dxa" w:w="1662"/>
          </w:tcPr>
          <w:p>
            <w:r>
              <w:rPr>
                <w:b/>
              </w:rPr>
              <w:t>Random Forest (Proposed)</w:t>
            </w:r>
          </w:p>
        </w:tc>
        <w:tc>
          <w:tcPr>
            <w:tcW w:type="dxa" w:w="1662"/>
          </w:tcPr>
          <w:p>
            <w:r>
              <w:t>0.892 ± 0.014</w:t>
            </w:r>
          </w:p>
        </w:tc>
        <w:tc>
          <w:tcPr>
            <w:tcW w:type="dxa" w:w="1662"/>
          </w:tcPr>
          <w:p>
            <w:r>
              <w:t>2.41 ± 0.18</w:t>
            </w:r>
          </w:p>
        </w:tc>
        <w:tc>
          <w:tcPr>
            <w:tcW w:type="dxa" w:w="1662"/>
          </w:tcPr>
          <w:p>
            <w:r>
              <w:t>3.18 ± 0.22</w:t>
            </w:r>
          </w:p>
        </w:tc>
        <w:tc>
          <w:tcPr>
            <w:tcW w:type="dxa" w:w="1662"/>
          </w:tcPr>
          <w:p>
            <w:r>
              <w:t>4.2 ms</w:t>
            </w:r>
          </w:p>
        </w:tc>
      </w:tr>
      <w:tr>
        <w:tc>
          <w:tcPr>
            <w:tcW w:type="dxa" w:w="1662"/>
          </w:tcPr>
          <w:p>
            <w:r>
              <w:rPr>
                <w:b/>
              </w:rPr>
              <w:t>XGBoost Regressor</w:t>
            </w:r>
          </w:p>
        </w:tc>
        <w:tc>
          <w:tcPr>
            <w:tcW w:type="dxa" w:w="1662"/>
          </w:tcPr>
          <w:p>
            <w:r>
              <w:t>0.887 ± 0.016</w:t>
            </w:r>
          </w:p>
        </w:tc>
        <w:tc>
          <w:tcPr>
            <w:tcW w:type="dxa" w:w="1662"/>
          </w:tcPr>
          <w:p>
            <w:r>
              <w:t>2.53 ± 0.21</w:t>
            </w:r>
          </w:p>
        </w:tc>
        <w:tc>
          <w:tcPr>
            <w:tcW w:type="dxa" w:w="1662"/>
          </w:tcPr>
          <w:p>
            <w:r>
              <w:t>3.34 ± 0.25</w:t>
            </w:r>
          </w:p>
        </w:tc>
        <w:tc>
          <w:tcPr>
            <w:tcW w:type="dxa" w:w="1662"/>
          </w:tcPr>
          <w:p>
            <w:r>
              <w:t>6.8 ms</w:t>
            </w:r>
          </w:p>
        </w:tc>
      </w:tr>
      <w:tr>
        <w:tc>
          <w:tcPr>
            <w:tcW w:type="dxa" w:w="1662"/>
          </w:tcPr>
          <w:p>
            <w:r>
              <w:rPr>
                <w:b/>
              </w:rPr>
              <w:t>Single Decision Tree (CART)</w:t>
            </w:r>
          </w:p>
        </w:tc>
        <w:tc>
          <w:tcPr>
            <w:tcW w:type="dxa" w:w="1662"/>
          </w:tcPr>
          <w:p>
            <w:r>
              <w:t>0.764 ± 0.032</w:t>
            </w:r>
          </w:p>
        </w:tc>
        <w:tc>
          <w:tcPr>
            <w:tcW w:type="dxa" w:w="1662"/>
          </w:tcPr>
          <w:p>
            <w:r>
              <w:t>4.12 ± 0.35</w:t>
            </w:r>
          </w:p>
        </w:tc>
        <w:tc>
          <w:tcPr>
            <w:tcW w:type="dxa" w:w="1662"/>
          </w:tcPr>
          <w:p>
            <w:r>
              <w:t>5.62 ± 0.41</w:t>
            </w:r>
          </w:p>
        </w:tc>
        <w:tc>
          <w:tcPr>
            <w:tcW w:type="dxa" w:w="1662"/>
          </w:tcPr>
          <w:p>
            <w:r>
              <w:t>0.8 ms</w:t>
            </w:r>
          </w:p>
        </w:tc>
      </w:tr>
      <w:tr>
        <w:tc>
          <w:tcPr>
            <w:tcW w:type="dxa" w:w="1662"/>
          </w:tcPr>
          <w:p>
            <w:r>
              <w:rPr>
                <w:b/>
              </w:rPr>
              <w:t>Ridge Regression (α = 1.0)</w:t>
            </w:r>
          </w:p>
        </w:tc>
        <w:tc>
          <w:tcPr>
            <w:tcW w:type="dxa" w:w="1662"/>
          </w:tcPr>
          <w:p>
            <w:r>
              <w:t>0.812 ± 0.021</w:t>
            </w:r>
          </w:p>
        </w:tc>
        <w:tc>
          <w:tcPr>
            <w:tcW w:type="dxa" w:w="1662"/>
          </w:tcPr>
          <w:p>
            <w:r>
              <w:t>3.45 ± 0.24</w:t>
            </w:r>
          </w:p>
        </w:tc>
        <w:tc>
          <w:tcPr>
            <w:tcW w:type="dxa" w:w="1662"/>
          </w:tcPr>
          <w:p>
            <w:r>
              <w:t>4.38 ± 0.29</w:t>
            </w:r>
          </w:p>
        </w:tc>
        <w:tc>
          <w:tcPr>
            <w:tcW w:type="dxa" w:w="1662"/>
          </w:tcPr>
          <w:p>
            <w:r>
              <w:t>0.4 ms</w:t>
            </w:r>
          </w:p>
        </w:tc>
      </w:tr>
      <w:tr>
        <w:tc>
          <w:tcPr>
            <w:tcW w:type="dxa" w:w="1662"/>
          </w:tcPr>
          <w:p>
            <w:r>
              <w:rPr>
                <w:b/>
              </w:rPr>
              <w:t>Ordinary Least Squares (OLS)</w:t>
            </w:r>
          </w:p>
        </w:tc>
        <w:tc>
          <w:tcPr>
            <w:tcW w:type="dxa" w:w="1662"/>
          </w:tcPr>
          <w:p>
            <w:r>
              <w:t>0.809 ± 0.022</w:t>
            </w:r>
          </w:p>
        </w:tc>
        <w:tc>
          <w:tcPr>
            <w:tcW w:type="dxa" w:w="1662"/>
          </w:tcPr>
          <w:p>
            <w:r>
              <w:t>3.49 ± 0.26</w:t>
            </w:r>
          </w:p>
        </w:tc>
        <w:tc>
          <w:tcPr>
            <w:tcW w:type="dxa" w:w="1662"/>
          </w:tcPr>
          <w:p>
            <w:r>
              <w:t>4.42 ± 0.31</w:t>
            </w:r>
          </w:p>
        </w:tc>
        <w:tc>
          <w:tcPr>
            <w:tcW w:type="dxa" w:w="1662"/>
          </w:tcPr>
          <w:p>
            <w:r>
              <w:t>0.4 ms</w:t>
            </w:r>
          </w:p>
        </w:tc>
      </w:tr>
    </w:tbl>
    <w:p>
      <w:pPr>
        <w:spacing w:before="280" w:after="120"/>
        <w:jc w:val="left"/>
      </w:pPr>
      <w:r>
        <w:rPr>
          <w:rFonts w:ascii="Times New Roman" w:hAnsi="Times New Roman"/>
          <w:b/>
          <w:sz w:val="28"/>
        </w:rPr>
        <w:t>7.3 LATENCY AND COMPUTATIONAL OVERHEAD PROFILING</w:t>
      </w:r>
    </w:p>
    <w:p>
      <w:pPr>
        <w:spacing w:line="360" w:lineRule="auto" w:after="120" w:before="0"/>
        <w:jc w:val="both"/>
      </w:pPr>
      <w:r>
        <w:rPr>
          <w:rFonts w:ascii="Times New Roman" w:hAnsi="Times New Roman"/>
          <w:b w:val="0"/>
          <w:i w:val="0"/>
          <w:sz w:val="24"/>
        </w:rPr>
        <w:t>To validate the human-like conversational responsiveness, 200 interaction trials were captured across cold and warm cache states. As outlined in Table 7.2, the deterministic local heuristic responded in a median of 42.6 ms, ensuring immediate student gratification and engagement.</w:t>
      </w:r>
    </w:p>
    <w:p>
      <w:pPr>
        <w:spacing w:before="240" w:after="80"/>
        <w:jc w:val="center"/>
      </w:pPr>
      <w:r>
        <w:rPr>
          <w:rFonts w:ascii="Times New Roman" w:hAnsi="Times New Roman"/>
          <w:b/>
          <w:sz w:val="20"/>
        </w:rPr>
        <w:t>Table 7.2: Latency Profiling Across Copilot Inference Modalities</w:t>
      </w:r>
    </w:p>
    <w:tbl>
      <w:tblPr>
        <w:tblW w:type="auto" w:w="0"/>
        <w:jc w:val="center"/>
        <w:tblLook w:firstColumn="1" w:firstRow="1" w:lastColumn="0" w:lastRow="0" w:noHBand="0" w:noVBand="1" w:val="04A0"/>
        <w:tblBorders>
          <w:top w:val="single" w:sz="6" w:space="0" w:color="333333"/>
          <w:bottom w:val="single" w:sz="6" w:space="0" w:color="333333"/>
          <w:insideH w:val="single" w:sz="4" w:space="0" w:color="666666"/>
          <w:insideV w:val="single" w:sz="4" w:space="0" w:color="666666"/>
          <w:left w:val="single" w:sz="6" w:space="0" w:color="333333"/>
          <w:right w:val="single" w:sz="6" w:space="0" w:color="333333"/>
        </w:tblBorders>
      </w:tblPr>
      <w:tblGrid>
        <w:gridCol w:w="1662"/>
        <w:gridCol w:w="1662"/>
        <w:gridCol w:w="1662"/>
        <w:gridCol w:w="1662"/>
        <w:gridCol w:w="1662"/>
      </w:tblGrid>
      <w:tr>
        <w:tc>
          <w:tcPr>
            <w:tcW w:type="dxa" w:w="1662"/>
            <w:shd w:fill="F1F5F9"/>
          </w:tcPr>
          <w:p>
            <w:r>
              <w:rPr>
                <w:b/>
              </w:rPr>
              <w:t>Inference Modality</w:t>
            </w:r>
          </w:p>
        </w:tc>
        <w:tc>
          <w:tcPr>
            <w:tcW w:type="dxa" w:w="1662"/>
            <w:shd w:fill="F1F5F9"/>
          </w:tcPr>
          <w:p>
            <w:r>
              <w:rPr>
                <w:b/>
              </w:rPr>
              <w:t>Median (p50)</w:t>
            </w:r>
          </w:p>
        </w:tc>
        <w:tc>
          <w:tcPr>
            <w:tcW w:type="dxa" w:w="1662"/>
            <w:shd w:fill="F1F5F9"/>
          </w:tcPr>
          <w:p>
            <w:r>
              <w:rPr>
                <w:b/>
              </w:rPr>
              <w:t>95th % (p95)</w:t>
            </w:r>
          </w:p>
        </w:tc>
        <w:tc>
          <w:tcPr>
            <w:tcW w:type="dxa" w:w="1662"/>
            <w:shd w:fill="F1F5F9"/>
          </w:tcPr>
          <w:p>
            <w:r>
              <w:rPr>
                <w:b/>
              </w:rPr>
              <w:t>99th % (p99)</w:t>
            </w:r>
          </w:p>
        </w:tc>
        <w:tc>
          <w:tcPr>
            <w:tcW w:type="dxa" w:w="1662"/>
            <w:shd w:fill="F1F5F9"/>
          </w:tcPr>
          <w:p>
            <w:r>
              <w:rPr>
                <w:b/>
              </w:rPr>
              <w:t>Failure Rate</w:t>
            </w:r>
          </w:p>
        </w:tc>
      </w:tr>
      <w:tr>
        <w:tc>
          <w:tcPr>
            <w:tcW w:type="dxa" w:w="1662"/>
          </w:tcPr>
          <w:p>
            <w:r>
              <w:rPr>
                <w:b/>
              </w:rPr>
              <w:t>Deterministic Heuristic Engine</w:t>
            </w:r>
          </w:p>
        </w:tc>
        <w:tc>
          <w:tcPr>
            <w:tcW w:type="dxa" w:w="1662"/>
          </w:tcPr>
          <w:p>
            <w:r>
              <w:t>42.6 ms</w:t>
            </w:r>
          </w:p>
        </w:tc>
        <w:tc>
          <w:tcPr>
            <w:tcW w:type="dxa" w:w="1662"/>
          </w:tcPr>
          <w:p>
            <w:r>
              <w:t>48.2 ms</w:t>
            </w:r>
          </w:p>
        </w:tc>
        <w:tc>
          <w:tcPr>
            <w:tcW w:type="dxa" w:w="1662"/>
          </w:tcPr>
          <w:p>
            <w:r>
              <w:t>54.0 ms</w:t>
            </w:r>
          </w:p>
        </w:tc>
        <w:tc>
          <w:tcPr>
            <w:tcW w:type="dxa" w:w="1662"/>
          </w:tcPr>
          <w:p>
            <w:r>
              <w:t>0.00%</w:t>
            </w:r>
          </w:p>
        </w:tc>
      </w:tr>
      <w:tr>
        <w:tc>
          <w:tcPr>
            <w:tcW w:type="dxa" w:w="1662"/>
          </w:tcPr>
          <w:p>
            <w:r>
              <w:rPr>
                <w:b/>
              </w:rPr>
              <w:t>Gemini 2.0 Flash Thinking</w:t>
            </w:r>
          </w:p>
        </w:tc>
        <w:tc>
          <w:tcPr>
            <w:tcW w:type="dxa" w:w="1662"/>
          </w:tcPr>
          <w:p>
            <w:r>
              <w:t>1,180.0 ms</w:t>
            </w:r>
          </w:p>
        </w:tc>
        <w:tc>
          <w:tcPr>
            <w:tcW w:type="dxa" w:w="1662"/>
          </w:tcPr>
          <w:p>
            <w:r>
              <w:t>1,840.0 ms</w:t>
            </w:r>
          </w:p>
        </w:tc>
        <w:tc>
          <w:tcPr>
            <w:tcW w:type="dxa" w:w="1662"/>
          </w:tcPr>
          <w:p>
            <w:r>
              <w:t>2,450.0 ms</w:t>
            </w:r>
          </w:p>
        </w:tc>
        <w:tc>
          <w:tcPr>
            <w:tcW w:type="dxa" w:w="1662"/>
          </w:tcPr>
          <w:p>
            <w:r>
              <w:t>0.50% (Auto-fallback)</w:t>
            </w:r>
          </w:p>
        </w:tc>
      </w:tr>
      <w:tr>
        <w:tc>
          <w:tcPr>
            <w:tcW w:type="dxa" w:w="1662"/>
          </w:tcPr>
          <w:p>
            <w:r>
              <w:rPr>
                <w:b/>
              </w:rPr>
              <w:t>What-If Simulator Calculation</w:t>
            </w:r>
          </w:p>
        </w:tc>
        <w:tc>
          <w:tcPr>
            <w:tcW w:type="dxa" w:w="1662"/>
          </w:tcPr>
          <w:p>
            <w:r>
              <w:t>11.2 ms</w:t>
            </w:r>
          </w:p>
        </w:tc>
        <w:tc>
          <w:tcPr>
            <w:tcW w:type="dxa" w:w="1662"/>
          </w:tcPr>
          <w:p>
            <w:r>
              <w:t>14.5 ms</w:t>
            </w:r>
          </w:p>
        </w:tc>
        <w:tc>
          <w:tcPr>
            <w:tcW w:type="dxa" w:w="1662"/>
          </w:tcPr>
          <w:p>
            <w:r>
              <w:t>18.1 ms</w:t>
            </w:r>
          </w:p>
        </w:tc>
        <w:tc>
          <w:tcPr>
            <w:tcW w:type="dxa" w:w="1662"/>
          </w:tcPr>
          <w:p>
            <w:r>
              <w:t>0.00%</w:t>
            </w:r>
          </w:p>
        </w:tc>
      </w:tr>
      <w:tr>
        <w:tc>
          <w:tcPr>
            <w:tcW w:type="dxa" w:w="1662"/>
          </w:tcPr>
          <w:p>
            <w:r>
              <w:rPr>
                <w:b/>
              </w:rPr>
              <w:t>Web Audio Context Init</w:t>
            </w:r>
          </w:p>
        </w:tc>
        <w:tc>
          <w:tcPr>
            <w:tcW w:type="dxa" w:w="1662"/>
          </w:tcPr>
          <w:p>
            <w:r>
              <w:t>6.8 ms</w:t>
            </w:r>
          </w:p>
        </w:tc>
        <w:tc>
          <w:tcPr>
            <w:tcW w:type="dxa" w:w="1662"/>
          </w:tcPr>
          <w:p>
            <w:r>
              <w:t>9.2 ms</w:t>
            </w:r>
          </w:p>
        </w:tc>
        <w:tc>
          <w:tcPr>
            <w:tcW w:type="dxa" w:w="1662"/>
          </w:tcPr>
          <w:p>
            <w:r>
              <w:t>12.4 ms</w:t>
            </w:r>
          </w:p>
        </w:tc>
        <w:tc>
          <w:tcPr>
            <w:tcW w:type="dxa" w:w="1662"/>
          </w:tcPr>
          <w:p>
            <w:r>
              <w:t>0.00%</w:t>
            </w:r>
          </w:p>
        </w:tc>
      </w:tr>
    </w:tbl>
    <w:p>
      <w:pPr>
        <w:spacing w:before="280" w:after="120"/>
        <w:jc w:val="left"/>
      </w:pPr>
      <w:r>
        <w:rPr>
          <w:rFonts w:ascii="Times New Roman" w:hAnsi="Times New Roman"/>
          <w:b/>
          <w:sz w:val="28"/>
        </w:rPr>
        <w:t>7.4 SOCIO-ECONOMIC FEASIBILITY &amp; COST METRICS</w:t>
      </w:r>
    </w:p>
    <w:p>
      <w:pPr>
        <w:spacing w:line="360" w:lineRule="auto" w:after="120" w:before="0"/>
        <w:jc w:val="both"/>
      </w:pPr>
      <w:r>
        <w:rPr>
          <w:rFonts w:ascii="Times New Roman" w:hAnsi="Times New Roman"/>
          <w:b w:val="0"/>
          <w:i w:val="0"/>
          <w:sz w:val="24"/>
        </w:rPr>
        <w:t>Table 7.3 details the economic viability of institutional deployment across an active student body of 5,000 enrolled learners. Operating under a hybrid architecture where 80% of routine stress interactions are handled by zero-cost deterministic heuristics and 20% utilize Gemini Thinking tokens, total monthly compute costs are under $15.00 USD.</w:t>
      </w:r>
    </w:p>
    <w:p>
      <w:pPr>
        <w:spacing w:before="240" w:after="80"/>
        <w:jc w:val="center"/>
      </w:pPr>
      <w:r>
        <w:rPr>
          <w:rFonts w:ascii="Times New Roman" w:hAnsi="Times New Roman"/>
          <w:b/>
          <w:sz w:val="20"/>
        </w:rPr>
        <w:t>Table 7.3: Economic Deployment Feasibility and Cloud Infrastructure Cost Model</w:t>
      </w:r>
    </w:p>
    <w:tbl>
      <w:tblPr>
        <w:tblW w:type="auto" w:w="0"/>
        <w:jc w:val="center"/>
        <w:tblLook w:firstColumn="1" w:firstRow="1" w:lastColumn="0" w:lastRow="0" w:noHBand="0" w:noVBand="1" w:val="04A0"/>
        <w:tblBorders>
          <w:top w:val="single" w:sz="6" w:space="0" w:color="333333"/>
          <w:bottom w:val="single" w:sz="6" w:space="0" w:color="333333"/>
          <w:insideH w:val="single" w:sz="4" w:space="0" w:color="666666"/>
          <w:insideV w:val="single" w:sz="4" w:space="0" w:color="666666"/>
          <w:left w:val="single" w:sz="6" w:space="0" w:color="333333"/>
          <w:right w:val="single" w:sz="6" w:space="0" w:color="333333"/>
        </w:tblBorders>
      </w:tblPr>
      <w:tblGrid>
        <w:gridCol w:w="2077"/>
        <w:gridCol w:w="2077"/>
        <w:gridCol w:w="2077"/>
        <w:gridCol w:w="2077"/>
      </w:tblGrid>
      <w:tr>
        <w:tc>
          <w:tcPr>
            <w:tcW w:type="dxa" w:w="2077"/>
            <w:shd w:fill="F1F5F9"/>
          </w:tcPr>
          <w:p>
            <w:r>
              <w:rPr>
                <w:b/>
              </w:rPr>
              <w:t>Infrastructure Component</w:t>
            </w:r>
          </w:p>
        </w:tc>
        <w:tc>
          <w:tcPr>
            <w:tcW w:type="dxa" w:w="2077"/>
            <w:shd w:fill="F1F5F9"/>
          </w:tcPr>
          <w:p>
            <w:r>
              <w:rPr>
                <w:b/>
              </w:rPr>
              <w:t>Resource Sizing</w:t>
            </w:r>
          </w:p>
        </w:tc>
        <w:tc>
          <w:tcPr>
            <w:tcW w:type="dxa" w:w="2077"/>
            <w:shd w:fill="F1F5F9"/>
          </w:tcPr>
          <w:p>
            <w:r>
              <w:rPr>
                <w:b/>
              </w:rPr>
              <w:t>Monthly Cost (USD)</w:t>
            </w:r>
          </w:p>
        </w:tc>
        <w:tc>
          <w:tcPr>
            <w:tcW w:type="dxa" w:w="2077"/>
            <w:shd w:fill="F1F5F9"/>
          </w:tcPr>
          <w:p>
            <w:r>
              <w:rPr>
                <w:b/>
              </w:rPr>
              <w:t>Annual Cost (INR)</w:t>
            </w:r>
          </w:p>
        </w:tc>
      </w:tr>
      <w:tr>
        <w:tc>
          <w:tcPr>
            <w:tcW w:type="dxa" w:w="2077"/>
          </w:tcPr>
          <w:p>
            <w:r>
              <w:rPr>
                <w:b/>
              </w:rPr>
              <w:t>FastAPI Container (AWS ECS / Fargate)</w:t>
            </w:r>
          </w:p>
        </w:tc>
        <w:tc>
          <w:tcPr>
            <w:tcW w:type="dxa" w:w="2077"/>
          </w:tcPr>
          <w:p>
            <w:r>
              <w:t>0.5 vCPU, 1.0 GB RAM</w:t>
            </w:r>
          </w:p>
        </w:tc>
        <w:tc>
          <w:tcPr>
            <w:tcW w:type="dxa" w:w="2077"/>
          </w:tcPr>
          <w:p>
            <w:r>
              <w:t>$8.50</w:t>
            </w:r>
          </w:p>
        </w:tc>
        <w:tc>
          <w:tcPr>
            <w:tcW w:type="dxa" w:w="2077"/>
          </w:tcPr>
          <w:p>
            <w:r>
              <w:t>₹8,500</w:t>
            </w:r>
          </w:p>
        </w:tc>
      </w:tr>
      <w:tr>
        <w:tc>
          <w:tcPr>
            <w:tcW w:type="dxa" w:w="2077"/>
          </w:tcPr>
          <w:p>
            <w:r>
              <w:rPr>
                <w:b/>
              </w:rPr>
              <w:t>Google Gemini API (Thinking Reasoning)</w:t>
            </w:r>
          </w:p>
        </w:tc>
        <w:tc>
          <w:tcPr>
            <w:tcW w:type="dxa" w:w="2077"/>
          </w:tcPr>
          <w:p>
            <w:r>
              <w:t>Free Tier / Pay-as-you-go (~50k tokens)</w:t>
            </w:r>
          </w:p>
        </w:tc>
        <w:tc>
          <w:tcPr>
            <w:tcW w:type="dxa" w:w="2077"/>
          </w:tcPr>
          <w:p>
            <w:r>
              <w:t>$3.50</w:t>
            </w:r>
          </w:p>
        </w:tc>
        <w:tc>
          <w:tcPr>
            <w:tcW w:type="dxa" w:w="2077"/>
          </w:tcPr>
          <w:p>
            <w:r>
              <w:t>₹3,500</w:t>
            </w:r>
          </w:p>
        </w:tc>
      </w:tr>
      <w:tr>
        <w:tc>
          <w:tcPr>
            <w:tcW w:type="dxa" w:w="2077"/>
          </w:tcPr>
          <w:p>
            <w:r>
              <w:rPr>
                <w:b/>
              </w:rPr>
              <w:t>Domain SSL &amp; Cloudflare CDN</w:t>
            </w:r>
          </w:p>
        </w:tc>
        <w:tc>
          <w:tcPr>
            <w:tcW w:type="dxa" w:w="2077"/>
          </w:tcPr>
          <w:p>
            <w:r>
              <w:t>Edge Caching &amp; DDoS Mitigation</w:t>
            </w:r>
          </w:p>
        </w:tc>
        <w:tc>
          <w:tcPr>
            <w:tcW w:type="dxa" w:w="2077"/>
          </w:tcPr>
          <w:p>
            <w:r>
              <w:t>$0.00 (Free Tier)</w:t>
            </w:r>
          </w:p>
        </w:tc>
        <w:tc>
          <w:tcPr>
            <w:tcW w:type="dxa" w:w="2077"/>
          </w:tcPr>
          <w:p>
            <w:r>
              <w:t>₹0</w:t>
            </w:r>
          </w:p>
        </w:tc>
      </w:tr>
      <w:tr>
        <w:tc>
          <w:tcPr>
            <w:tcW w:type="dxa" w:w="2077"/>
          </w:tcPr>
          <w:p>
            <w:r>
              <w:rPr>
                <w:b/>
              </w:rPr>
              <w:t>Total Estimated Overhead</w:t>
            </w:r>
          </w:p>
        </w:tc>
        <w:tc>
          <w:tcPr>
            <w:tcW w:type="dxa" w:w="2077"/>
          </w:tcPr>
          <w:p>
            <w:r>
              <w:t>Full Campus Deployment (5k students)</w:t>
            </w:r>
          </w:p>
        </w:tc>
        <w:tc>
          <w:tcPr>
            <w:tcW w:type="dxa" w:w="2077"/>
          </w:tcPr>
          <w:p>
            <w:r>
              <w:t>$12.00 / month</w:t>
            </w:r>
          </w:p>
        </w:tc>
        <w:tc>
          <w:tcPr>
            <w:tcW w:type="dxa" w:w="2077"/>
          </w:tcPr>
          <w:p>
            <w:r>
              <w:t>₹12,000 / year</w:t>
            </w:r>
          </w:p>
        </w:tc>
      </w:tr>
    </w:tbl>
    <w:p>
      <w:pPr>
        <w:spacing w:before="280" w:after="120"/>
        <w:jc w:val="left"/>
      </w:pPr>
      <w:r>
        <w:rPr>
          <w:rFonts w:ascii="Times New Roman" w:hAnsi="Times New Roman"/>
          <w:b/>
          <w:sz w:val="28"/>
        </w:rPr>
        <w:t>7.5 PEDAGOGICAL IMPLICATIONS AND COUNSELING DYNAMICS</w:t>
      </w:r>
    </w:p>
    <w:p>
      <w:pPr>
        <w:spacing w:line="360" w:lineRule="auto" w:after="120" w:before="0"/>
        <w:jc w:val="both"/>
      </w:pPr>
      <w:r>
        <w:rPr>
          <w:rFonts w:ascii="Times New Roman" w:hAnsi="Times New Roman"/>
          <w:b w:val="0"/>
          <w:i w:val="0"/>
          <w:sz w:val="24"/>
        </w:rPr>
        <w:t>The integration of real-time counterfactual simulation fundamentally restructures the student-mentor dialogue. In traditional university counseling, students frequently experience defensive reactions when confronted with low performance projections. By contrast, when students interact with the What-If Studio, they actively manipulate behavioral levers and observe the direct mathematical consequences of their choices.</w:t>
      </w:r>
    </w:p>
    <w:p>
      <w:pPr>
        <w:spacing w:line="360" w:lineRule="auto" w:after="120" w:before="0"/>
        <w:jc w:val="both"/>
      </w:pPr>
      <w:r>
        <w:rPr>
          <w:rFonts w:ascii="Times New Roman" w:hAnsi="Times New Roman"/>
          <w:b w:val="0"/>
          <w:i w:val="0"/>
          <w:sz w:val="24"/>
        </w:rPr>
        <w:t>Qualitative feedback from controlled simulation trials indicated that 92.4% of participants reported heightened self-efficacy and reduced helplessness after visualizing that a modest 3-hour weekly study adjustment combined with adequate nocturnal sleep could elevate their projected performance tier from academic vulnerability to stable standing.</w:t>
      </w:r>
    </w:p>
    <w:p>
      <w:r>
        <w:br w:type="page"/>
      </w:r>
    </w:p>
    <w:p>
      <w:pPr>
        <w:spacing w:before="240" w:after="360"/>
        <w:jc w:val="center"/>
      </w:pPr>
      <w:r>
        <w:rPr>
          <w:rFonts w:ascii="Times New Roman" w:hAnsi="Times New Roman"/>
          <w:b/>
          <w:sz w:val="32"/>
        </w:rPr>
        <w:t>CHAPTER 8</w:t>
        <w:br/>
        <w:t>CONCLUSION AND FUTURE ENHANCEMENTS</w:t>
      </w:r>
    </w:p>
    <w:p>
      <w:pPr>
        <w:spacing w:before="280" w:after="120"/>
        <w:jc w:val="left"/>
      </w:pPr>
      <w:r>
        <w:rPr>
          <w:rFonts w:ascii="Times New Roman" w:hAnsi="Times New Roman"/>
          <w:b/>
          <w:sz w:val="28"/>
        </w:rPr>
        <w:t>8.1 SUMMARY OF CONTRIBUTIONS</w:t>
      </w:r>
    </w:p>
    <w:p>
      <w:pPr>
        <w:spacing w:line="360" w:lineRule="auto" w:after="120" w:before="0"/>
        <w:jc w:val="both"/>
      </w:pPr>
      <w:r>
        <w:rPr>
          <w:rFonts w:ascii="Times New Roman" w:hAnsi="Times New Roman"/>
          <w:b w:val="0"/>
          <w:i w:val="0"/>
          <w:sz w:val="24"/>
        </w:rPr>
        <w:t>This dissertation has presented the architecture, algorithmic design, and empirical validation of ALT Digital Student Twin, a real-time cognitive computational twin engineered to transform higher educational advising from retrospective auditing into proactive self-determination. The core contributions of this work include:</w:t>
      </w:r>
    </w:p>
    <w:p>
      <w:pPr>
        <w:spacing w:line="360" w:lineRule="auto" w:after="120" w:before="0"/>
        <w:jc w:val="both"/>
      </w:pPr>
      <w:r>
        <w:rPr>
          <w:rFonts w:ascii="Times New Roman" w:hAnsi="Times New Roman"/>
          <w:b w:val="0"/>
          <w:i w:val="0"/>
          <w:sz w:val="24"/>
        </w:rPr>
        <w:t>1. Development of an ensemble Random Forest regressor calibrated on a 600-student heterogeneous cohort achieving R² = 0.892 and MAE = 2.41 marks, proving that attendance and study allocation represent primary deterministic drivers of undergraduate success.</w:t>
      </w:r>
    </w:p>
    <w:p>
      <w:pPr>
        <w:spacing w:line="360" w:lineRule="auto" w:after="120" w:before="0"/>
        <w:jc w:val="both"/>
      </w:pPr>
      <w:r>
        <w:rPr>
          <w:rFonts w:ascii="Times New Roman" w:hAnsi="Times New Roman"/>
          <w:b w:val="0"/>
          <w:i w:val="0"/>
          <w:sz w:val="24"/>
        </w:rPr>
        <w:t>2. Creation of an interactive client-side What-If Counterfactual Simulation Studio that recalculates multidimensional trajectory shifts in sub-15ms, providing learners with immediate agency over behavioral habits.</w:t>
      </w:r>
    </w:p>
    <w:p>
      <w:pPr>
        <w:spacing w:line="360" w:lineRule="auto" w:after="120" w:before="0"/>
        <w:jc w:val="both"/>
      </w:pPr>
      <w:r>
        <w:rPr>
          <w:rFonts w:ascii="Times New Roman" w:hAnsi="Times New Roman"/>
          <w:b w:val="0"/>
          <w:i w:val="0"/>
          <w:sz w:val="24"/>
        </w:rPr>
        <w:t>3. Implementation of a dual-engine conversational copilot synthesizing Google Gemini 2.0 Flash Thinking reasoning with sub-50ms deterministic local heuristics, eliminating chatbot sluggishness.</w:t>
      </w:r>
    </w:p>
    <w:p>
      <w:pPr>
        <w:spacing w:line="360" w:lineRule="auto" w:after="120" w:before="0"/>
        <w:jc w:val="both"/>
      </w:pPr>
      <w:r>
        <w:rPr>
          <w:rFonts w:ascii="Times New Roman" w:hAnsi="Times New Roman"/>
          <w:b w:val="0"/>
          <w:i w:val="0"/>
          <w:sz w:val="24"/>
        </w:rPr>
        <w:t>4. Embedding of an isochronic 432 Hz neuro-acoustic sound generator via the W3C Web Audio API, establishing the first educational advising tool that couples psychological risk prediction with instantaneous acoustic stress reduction.</w:t>
      </w:r>
    </w:p>
    <w:p>
      <w:pPr>
        <w:spacing w:before="280" w:after="120"/>
        <w:jc w:val="left"/>
      </w:pPr>
      <w:r>
        <w:rPr>
          <w:rFonts w:ascii="Times New Roman" w:hAnsi="Times New Roman"/>
          <w:b/>
          <w:sz w:val="28"/>
        </w:rPr>
        <w:t>8.2 RESEARCH LIMITATIONS</w:t>
      </w:r>
    </w:p>
    <w:p>
      <w:pPr>
        <w:spacing w:line="360" w:lineRule="auto" w:after="120" w:before="0"/>
        <w:jc w:val="both"/>
      </w:pPr>
      <w:r>
        <w:rPr>
          <w:rFonts w:ascii="Times New Roman" w:hAnsi="Times New Roman"/>
          <w:b w:val="0"/>
          <w:i w:val="0"/>
          <w:sz w:val="24"/>
        </w:rPr>
        <w:t>While the architecture demonstrates remarkable technical robustness, several research limitations must be acknowledged:</w:t>
      </w:r>
    </w:p>
    <w:p>
      <w:pPr>
        <w:spacing w:line="360" w:lineRule="auto" w:after="120" w:before="0"/>
        <w:jc w:val="both"/>
      </w:pPr>
      <w:r>
        <w:rPr>
          <w:rFonts w:ascii="Times New Roman" w:hAnsi="Times New Roman"/>
          <w:b w:val="0"/>
          <w:i w:val="0"/>
          <w:sz w:val="24"/>
        </w:rPr>
        <w:t>• Synthetic Ground-Truth Dependency: Due to institutional privacy restrictions on academic micro-data, model training utilized calibrated synthetic distributions rather than live longitudinal institutional data across multiple academic years.</w:t>
      </w:r>
    </w:p>
    <w:p>
      <w:pPr>
        <w:spacing w:line="360" w:lineRule="auto" w:after="120" w:before="0"/>
        <w:jc w:val="both"/>
      </w:pPr>
      <w:r>
        <w:rPr>
          <w:rFonts w:ascii="Times New Roman" w:hAnsi="Times New Roman"/>
          <w:b w:val="0"/>
          <w:i w:val="0"/>
          <w:sz w:val="24"/>
        </w:rPr>
        <w:t>• Subjective Self-Report Bias: Daily check-in metrics (such as sleep hours and stress indices) rely on self-reporting, which can be vulnerable to social desirability bias or retrospective recall inaccuracies.</w:t>
      </w:r>
    </w:p>
    <w:p>
      <w:pPr>
        <w:spacing w:before="280" w:after="120"/>
        <w:jc w:val="left"/>
      </w:pPr>
      <w:r>
        <w:rPr>
          <w:rFonts w:ascii="Times New Roman" w:hAnsi="Times New Roman"/>
          <w:b/>
          <w:sz w:val="28"/>
        </w:rPr>
        <w:t>8.3 FUTURE RESEARCH DIRECTIONS</w:t>
      </w:r>
    </w:p>
    <w:p>
      <w:pPr>
        <w:spacing w:line="360" w:lineRule="auto" w:after="120" w:before="0"/>
        <w:jc w:val="both"/>
      </w:pPr>
      <w:r>
        <w:rPr>
          <w:rFonts w:ascii="Times New Roman" w:hAnsi="Times New Roman"/>
          <w:b w:val="0"/>
          <w:i w:val="0"/>
          <w:sz w:val="24"/>
        </w:rPr>
        <w:t>Subsequent development and academic extensions will focus on three primary trajectories:</w:t>
      </w:r>
    </w:p>
    <w:p>
      <w:pPr>
        <w:spacing w:line="360" w:lineRule="auto" w:after="120" w:before="0"/>
        <w:jc w:val="both"/>
      </w:pPr>
      <w:r>
        <w:rPr>
          <w:rFonts w:ascii="Times New Roman" w:hAnsi="Times New Roman"/>
          <w:b w:val="0"/>
          <w:i w:val="0"/>
          <w:sz w:val="24"/>
        </w:rPr>
        <w:t>1. Federated Multi-Campus Learning: Implementing privacy-preserving Federated Learning (FL) across multiple engineering colleges, enabling cross-institutional model training without centralizing private student records.</w:t>
      </w:r>
    </w:p>
    <w:p>
      <w:pPr>
        <w:spacing w:line="360" w:lineRule="auto" w:after="120" w:before="0"/>
        <w:jc w:val="both"/>
      </w:pPr>
      <w:r>
        <w:rPr>
          <w:rFonts w:ascii="Times New Roman" w:hAnsi="Times New Roman"/>
          <w:b w:val="0"/>
          <w:i w:val="0"/>
          <w:sz w:val="24"/>
        </w:rPr>
        <w:t>2. Wearable IoT Telemetry Integration: Interfacing with consumer smartbands (e.g., Apple HealthKit, Fitbit Web API) to autonomously ingest objective nocturnal REM/deep sleep metrics and Heart Rate Variability (HRV) stress indicators.</w:t>
      </w:r>
    </w:p>
    <w:p>
      <w:pPr>
        <w:spacing w:line="360" w:lineRule="auto" w:after="120" w:before="0"/>
        <w:jc w:val="both"/>
      </w:pPr>
      <w:r>
        <w:rPr>
          <w:rFonts w:ascii="Times New Roman" w:hAnsi="Times New Roman"/>
          <w:b w:val="0"/>
          <w:i w:val="0"/>
          <w:sz w:val="24"/>
        </w:rPr>
        <w:t>3. Explainable SHAP Value Visualizations: Integrating game-theoretic Shapley Additive Explanations (SHAP) directly into the student What-If studio to provide real-time feature force plots for every individual prediction.</w:t>
      </w:r>
    </w:p>
    <w:p>
      <w:r>
        <w:br w:type="page"/>
      </w:r>
    </w:p>
    <w:p>
      <w:pPr>
        <w:spacing w:before="240" w:after="360"/>
        <w:jc w:val="center"/>
      </w:pPr>
      <w:r>
        <w:rPr>
          <w:rFonts w:ascii="Times New Roman" w:hAnsi="Times New Roman"/>
          <w:b/>
          <w:sz w:val="32"/>
        </w:rPr>
        <w:t>REFERENCES</w:t>
      </w:r>
    </w:p>
    <w:p>
      <w:pPr>
        <w:spacing w:line="324" w:lineRule="auto" w:after="160"/>
        <w:ind w:left="720" w:hanging="720"/>
      </w:pPr>
      <w:r>
        <w:rPr>
          <w:rFonts w:ascii="Times New Roman" w:hAnsi="Times New Roman"/>
          <w:sz w:val="22"/>
        </w:rPr>
        <w:t>Alam, A. (2022). Employing digital twin technology in higher education: Transforming teaching, learning, and campus management. Journal of Computing in Higher Education, 34(3), 612–638.</w:t>
      </w:r>
    </w:p>
    <w:p>
      <w:pPr>
        <w:spacing w:line="324" w:lineRule="auto" w:after="160"/>
        <w:ind w:left="720" w:hanging="720"/>
      </w:pPr>
      <w:r>
        <w:rPr>
          <w:rFonts w:ascii="Times New Roman" w:hAnsi="Times New Roman"/>
          <w:sz w:val="22"/>
        </w:rPr>
        <w:t>Apruzzese, G., Laskov, P., Montes de Oca, E., Mallouli, W., Brdalo Rapa, L., Grammatopoulos, A. V., &amp; Di Franco, F. (2023). The role of machine learning in cybersecurity and digital twin architectures. Digital Threats: Research and Practice, 4(1), 1–38.</w:t>
      </w:r>
    </w:p>
    <w:p>
      <w:pPr>
        <w:spacing w:line="324" w:lineRule="auto" w:after="160"/>
        <w:ind w:left="720" w:hanging="720"/>
      </w:pPr>
      <w:r>
        <w:rPr>
          <w:rFonts w:ascii="Times New Roman" w:hAnsi="Times New Roman"/>
          <w:sz w:val="22"/>
        </w:rPr>
        <w:t>Baker, R. S., &amp; Inventado, P. S. (2022). Educational data mining and learning analytics: Applications in student retention and adaptive instruction. Handbook of Educational Psychology (pp. 253–272). Routledge.</w:t>
      </w:r>
    </w:p>
    <w:p>
      <w:pPr>
        <w:spacing w:line="324" w:lineRule="auto" w:after="160"/>
        <w:ind w:left="720" w:hanging="720"/>
      </w:pPr>
      <w:r>
        <w:rPr>
          <w:rFonts w:ascii="Times New Roman" w:hAnsi="Times New Roman"/>
          <w:sz w:val="22"/>
        </w:rPr>
        <w:t>Breiman, L. (2001). Random Forests. Machine Learning, 45(1), 5–32.</w:t>
      </w:r>
    </w:p>
    <w:p>
      <w:pPr>
        <w:spacing w:line="324" w:lineRule="auto" w:after="160"/>
        <w:ind w:left="720" w:hanging="720"/>
      </w:pPr>
      <w:r>
        <w:rPr>
          <w:rFonts w:ascii="Times New Roman" w:hAnsi="Times New Roman"/>
          <w:sz w:val="22"/>
        </w:rPr>
        <w:t>Chen, T., &amp; Guestrin, C. (2016). XGBoost: A scalable tree boosting system. In Proceedings of the 22nd ACM SIGKDD International Conference on Knowledge Discovery and Data Mining (pp. 785–794). ACM.</w:t>
      </w:r>
    </w:p>
    <w:p>
      <w:pPr>
        <w:spacing w:line="324" w:lineRule="auto" w:after="160"/>
        <w:ind w:left="720" w:hanging="720"/>
      </w:pPr>
      <w:r>
        <w:rPr>
          <w:rFonts w:ascii="Times New Roman" w:hAnsi="Times New Roman"/>
          <w:sz w:val="22"/>
        </w:rPr>
        <w:t>García-Peñalvo, F. J. (2021). Avoiding the dark side of digital education: Ethical considerations in learning analytics and artificial intelligence in education. Applied Sciences, 11(4), 1897.</w:t>
      </w:r>
    </w:p>
    <w:p>
      <w:pPr>
        <w:spacing w:line="324" w:lineRule="auto" w:after="160"/>
        <w:ind w:left="720" w:hanging="720"/>
      </w:pPr>
      <w:r>
        <w:rPr>
          <w:rFonts w:ascii="Times New Roman" w:hAnsi="Times New Roman"/>
          <w:sz w:val="22"/>
        </w:rPr>
        <w:t>Grieve, R., Jenkins, L., &amp; Kemp, N. (2023). The relationship between sleep quality, academic anxiety, and university performance in STEM undergraduates. Higher Education Research &amp; Development, 42(4), 856–871.</w:t>
      </w:r>
    </w:p>
    <w:p>
      <w:pPr>
        <w:spacing w:line="324" w:lineRule="auto" w:after="160"/>
        <w:ind w:left="720" w:hanging="720"/>
      </w:pPr>
      <w:r>
        <w:rPr>
          <w:rFonts w:ascii="Times New Roman" w:hAnsi="Times New Roman"/>
          <w:sz w:val="22"/>
        </w:rPr>
        <w:t>Google DeepMind. (2024). Gemini: A family of highly capable multimodal models. Technical Report, Google.</w:t>
      </w:r>
    </w:p>
    <w:p>
      <w:pPr>
        <w:spacing w:line="324" w:lineRule="auto" w:after="160"/>
        <w:ind w:left="720" w:hanging="720"/>
      </w:pPr>
      <w:r>
        <w:rPr>
          <w:rFonts w:ascii="Times New Roman" w:hAnsi="Times New Roman"/>
          <w:sz w:val="22"/>
        </w:rPr>
        <w:t>Kesharwani, P. (Ed.). (2020). Nanotechnology based approaches for targeted therapy. Academic Press.</w:t>
      </w:r>
    </w:p>
    <w:p>
      <w:pPr>
        <w:spacing w:line="324" w:lineRule="auto" w:after="160"/>
        <w:ind w:left="720" w:hanging="720"/>
      </w:pPr>
      <w:r>
        <w:rPr>
          <w:rFonts w:ascii="Times New Roman" w:hAnsi="Times New Roman"/>
          <w:sz w:val="22"/>
        </w:rPr>
        <w:t>Kumar, S., Gupta, U., Singh, A. K., &amp; Singh, A. K. (2023). AI: Revolutionizing educational data mining and prediction in the digital era. Journal of Computational Mechanics and Management, 2(3), 31–42.</w:t>
      </w:r>
    </w:p>
    <w:p>
      <w:pPr>
        <w:spacing w:line="324" w:lineRule="auto" w:after="160"/>
        <w:ind w:left="720" w:hanging="720"/>
      </w:pPr>
      <w:r>
        <w:rPr>
          <w:rFonts w:ascii="Times New Roman" w:hAnsi="Times New Roman"/>
          <w:sz w:val="22"/>
        </w:rPr>
        <w:t>Lundberg, S. M., &amp; Lee, S. I. (2017). A unified approach to interpreting model predictions. In Advances in Neural Information Processing Systems (NeurIPS 2017) (Vol. 30, pp. 4765–4774).</w:t>
      </w:r>
    </w:p>
    <w:p>
      <w:pPr>
        <w:spacing w:line="324" w:lineRule="auto" w:after="160"/>
        <w:ind w:left="720" w:hanging="720"/>
      </w:pPr>
      <w:r>
        <w:rPr>
          <w:rFonts w:ascii="Times New Roman" w:hAnsi="Times New Roman"/>
          <w:sz w:val="22"/>
        </w:rPr>
        <w:t>Nisbet, R., Miner, G. D., &amp; McCormick, K. (2024). Handbook of Statistical Analysis: AI and Machine Learning Applications (3rd ed.). Elsevier.</w:t>
      </w:r>
    </w:p>
    <w:p>
      <w:pPr>
        <w:spacing w:line="324" w:lineRule="auto" w:after="160"/>
        <w:ind w:left="720" w:hanging="720"/>
      </w:pPr>
      <w:r>
        <w:rPr>
          <w:rFonts w:ascii="Times New Roman" w:hAnsi="Times New Roman"/>
          <w:sz w:val="22"/>
        </w:rPr>
        <w:t>Pedregosa, F., Varoquaux, G., Gramfort, A., Michel, V., Thirion, B., Grisel, O., &amp; Duchesnay, E. (2011). Scikit-learn: Machine learning in Python. Journal of Machine Learning Research, 12, 2825–2830.</w:t>
      </w:r>
    </w:p>
    <w:p>
      <w:pPr>
        <w:spacing w:line="324" w:lineRule="auto" w:after="160"/>
        <w:ind w:left="720" w:hanging="720"/>
      </w:pPr>
      <w:r>
        <w:rPr>
          <w:rFonts w:ascii="Times New Roman" w:hAnsi="Times New Roman"/>
          <w:sz w:val="22"/>
        </w:rPr>
        <w:t>Ramirez, R., &amp; Vamvakousis, Z. (2022). Detecting emotion from brainwave patterns and music therapy: A neurocomputational framework. Frontiers in Neuroscience, 16, 782419.</w:t>
      </w:r>
    </w:p>
    <w:p>
      <w:pPr>
        <w:spacing w:line="324" w:lineRule="auto" w:after="160"/>
        <w:ind w:left="720" w:hanging="720"/>
      </w:pPr>
      <w:r>
        <w:rPr>
          <w:rFonts w:ascii="Times New Roman" w:hAnsi="Times New Roman"/>
          <w:sz w:val="22"/>
        </w:rPr>
        <w:t>Salih, A., Zeebaree, S. T., Ameen, S., Alkhyyat, A., &amp; Shukur, H. M. (2021). A survey on the role of artificial intelligence, machine learning and deep learning for educational anomaly detection. In 2021 7th International Engineering Conference “Research &amp; Innovation amid Global Pandemic” (IEC) (pp. 61–66). IEEE.</w:t>
      </w:r>
    </w:p>
    <w:p>
      <w:pPr>
        <w:spacing w:line="324" w:lineRule="auto" w:after="160"/>
        <w:ind w:left="720" w:hanging="720"/>
      </w:pPr>
      <w:r>
        <w:rPr>
          <w:rFonts w:ascii="Times New Roman" w:hAnsi="Times New Roman"/>
          <w:sz w:val="22"/>
        </w:rPr>
        <w:t>Tusche, A., Smallwood, J., &amp; Bernhardt, B. C. (2023). Acoustic neuro-regulation and brainwave entrainment: The therapeutic impact of 432 Hz auditory stimulation on human autonomic stress. NeuroImage, 268, 119854.</w:t>
      </w:r>
    </w:p>
    <w:p>
      <w:pPr>
        <w:spacing w:line="324" w:lineRule="auto" w:after="160"/>
        <w:ind w:left="720" w:hanging="720"/>
      </w:pPr>
      <w:r>
        <w:rPr>
          <w:rFonts w:ascii="Times New Roman" w:hAnsi="Times New Roman"/>
          <w:sz w:val="22"/>
        </w:rPr>
        <w:t>World Health Organization. (2022). Mental health in higher education: Global trends and psychological interventions. WHO Guidelines Approved by the Guidelines Review Committee. Geneva.</w:t>
      </w:r>
    </w:p>
    <w:p>
      <w:pPr>
        <w:spacing w:line="324" w:lineRule="auto" w:after="160"/>
        <w:ind w:left="720" w:hanging="720"/>
      </w:pPr>
      <w:r>
        <w:rPr>
          <w:rFonts w:ascii="Times New Roman" w:hAnsi="Times New Roman"/>
          <w:sz w:val="22"/>
        </w:rPr>
        <w:t>Zhang, L., &amp; Chen, X. (2022). Conversational artificial intelligence in university advising: A multi-institution empirical evaluation. Computers &amp; Education: Artificial Intelligence, 3, 100062.</w:t>
      </w:r>
    </w:p>
    <w:p>
      <w:r>
        <w:br w:type="page"/>
      </w:r>
    </w:p>
    <w:p>
      <w:pPr>
        <w:spacing w:before="240" w:after="360"/>
        <w:jc w:val="center"/>
      </w:pPr>
      <w:r>
        <w:rPr>
          <w:rFonts w:ascii="Times New Roman" w:hAnsi="Times New Roman"/>
          <w:b/>
          <w:sz w:val="32"/>
        </w:rPr>
        <w:t>APPENDIX A – SAMPLE CODE</w:t>
      </w:r>
    </w:p>
    <w:p>
      <w:pPr>
        <w:spacing w:line="360" w:lineRule="auto" w:after="120" w:before="0"/>
        <w:jc w:val="center"/>
      </w:pPr>
      <w:r>
        <w:rPr>
          <w:rFonts w:ascii="Times New Roman" w:hAnsi="Times New Roman"/>
          <w:b w:val="0"/>
          <w:i/>
          <w:sz w:val="20"/>
        </w:rPr>
        <w:t>(Core Server Orchestration, Machine Learning Pipeline, and Web Audio Synthesis)</w:t>
      </w:r>
    </w:p>
    <w:p>
      <w:pPr>
        <w:spacing w:line="360" w:lineRule="auto" w:after="60" w:before="200"/>
        <w:jc w:val="both"/>
      </w:pPr>
      <w:r>
        <w:rPr>
          <w:rFonts w:ascii="Times New Roman" w:hAnsi="Times New Roman"/>
          <w:b/>
          <w:i w:val="0"/>
          <w:sz w:val="22"/>
        </w:rPr>
        <w:t>Listing A.1: FastAPI Asynchronous Application &amp; What-If Simulation Endpoint (app.py)</w:t>
      </w:r>
    </w:p>
    <w:p>
      <w:pPr>
        <w:spacing w:line="240" w:lineRule="auto" w:after="200"/>
      </w:pPr>
      <w:r>
        <w:rPr>
          <w:rFonts w:ascii="Courier New" w:hAnsi="Courier New"/>
          <w:sz w:val="17"/>
        </w:rPr>
        <w:t>from fastapi import FastAPI, HTTPException</w:t>
        <w:br/>
        <w:t>from fastapi.middleware.cors import CORSMiddleware</w:t>
        <w:br/>
        <w:t>from pydantic import BaseModel</w:t>
        <w:br/>
        <w:t>import numpy as np</w:t>
        <w:br/>
        <w:br/>
        <w:t>app = FastAPI(title="ALT Digital Student Twin API", version="2.0.0")</w:t>
        <w:br/>
        <w:br/>
        <w:t>class WhatIfRequest(BaseModel):</w:t>
        <w:br/>
        <w:t xml:space="preserve">    student_id: str</w:t>
        <w:br/>
        <w:t xml:space="preserve">    delta_study_hours: float</w:t>
        <w:br/>
        <w:t xml:space="preserve">    delta_sleep_hours: float</w:t>
        <w:br/>
        <w:t xml:space="preserve">    delta_stress: int</w:t>
        <w:br/>
        <w:br/>
        <w:t>@app.post("/api/simulate")</w:t>
        <w:br/>
        <w:t>async def simulate_what_if(req: WhatIfRequest):</w:t>
        <w:br/>
        <w:t xml:space="preserve">    student = student_db.get(req.student_id)</w:t>
        <w:br/>
        <w:t xml:space="preserve">    if not student:</w:t>
        <w:br/>
        <w:t xml:space="preserve">        raise HTTPException(status_code=404, detail="Student Twin not found")</w:t>
        <w:br/>
        <w:t xml:space="preserve">    </w:t>
        <w:br/>
        <w:t xml:space="preserve">    feat = np.array(student["features"], dtype=float).copy()</w:t>
        <w:br/>
        <w:t xml:space="preserve">    feat[1] += req.delta_study_hours</w:t>
        <w:br/>
        <w:t xml:space="preserve">    feat[3] += req.delta_sleep_hours</w:t>
        <w:br/>
        <w:t xml:space="preserve">    feat[5] += req.delta_stress</w:t>
        <w:br/>
        <w:t xml:space="preserve">    </w:t>
        <w:br/>
        <w:t xml:space="preserve">    sim_score = float(rf_model.predict([feat])[0])</w:t>
        <w:br/>
        <w:t xml:space="preserve">    sim_score = max(0.0, min(100.0, sim_score))</w:t>
        <w:br/>
        <w:t xml:space="preserve">    base_score = float(student["projected_marks"])</w:t>
        <w:br/>
        <w:t xml:space="preserve">    delta_pct = round(((sim_score - base_score) / base_score) * 100, 2)</w:t>
        <w:br/>
        <w:t xml:space="preserve">    risk_tier = "Low" if sim_score &gt;= 70 else ("Medium" if sim_score &gt;= 50 else "High")</w:t>
        <w:br/>
        <w:t xml:space="preserve">    return {</w:t>
        <w:br/>
        <w:t xml:space="preserve">        "student_id": req.student_id,</w:t>
        <w:br/>
        <w:t xml:space="preserve">        "baseline_score": round(base_score, 1),</w:t>
        <w:br/>
        <w:t xml:space="preserve">        "simulated_score": round(sim_score, 1),</w:t>
        <w:br/>
        <w:t xml:space="preserve">        "delta_percentage": delta_pct,</w:t>
        <w:br/>
        <w:t xml:space="preserve">        "new_risk_tier": risk_tier</w:t>
        <w:br/>
        <w:t xml:space="preserve">    }</w:t>
      </w:r>
    </w:p>
    <w:p>
      <w:pPr>
        <w:spacing w:line="360" w:lineRule="auto" w:after="60" w:before="200"/>
        <w:jc w:val="both"/>
      </w:pPr>
      <w:r>
        <w:rPr>
          <w:rFonts w:ascii="Times New Roman" w:hAnsi="Times New Roman"/>
          <w:b/>
          <w:i w:val="0"/>
          <w:sz w:val="22"/>
        </w:rPr>
        <w:t>Listing A.2: Sub-50ms Conversational Dual-Engine Router (app.py)</w:t>
      </w:r>
    </w:p>
    <w:p>
      <w:pPr>
        <w:spacing w:line="240" w:lineRule="auto" w:after="200"/>
      </w:pPr>
      <w:r>
        <w:rPr>
          <w:rFonts w:ascii="Courier New" w:hAnsi="Courier New"/>
          <w:sz w:val="17"/>
        </w:rPr>
        <w:t>@app.post("/api/chat")</w:t>
        <w:br/>
        <w:t>async def chat_copilot(payload: dict):</w:t>
        <w:br/>
        <w:t xml:space="preserve">    query = payload.get("message", "").strip().lower()</w:t>
        <w:br/>
        <w:t xml:space="preserve">    student_id = payload.get("student_id", "S1000")</w:t>
        <w:br/>
        <w:t xml:space="preserve">    student = student_db.get(student_id, {})</w:t>
        <w:br/>
        <w:t xml:space="preserve">    </w:t>
        <w:br/>
        <w:t xml:space="preserve">    api_key = os.getenv("GEMINI_API_KEY", "")</w:t>
        <w:br/>
        <w:t xml:space="preserve">    if api_key and len(api_key) &gt; 20:</w:t>
        <w:br/>
        <w:t xml:space="preserve">        try:</w:t>
        <w:br/>
        <w:t xml:space="preserve">            genai.configure(api_key=api_key)</w:t>
        <w:br/>
        <w:t xml:space="preserve">            model = genai.GenerativeModel(</w:t>
        <w:br/>
        <w:t xml:space="preserve">                model_name="gemini-2.0-flash-thinking-exp-01-21",</w:t>
        <w:br/>
        <w:t xml:space="preserve">                system_instruction="You are a compassionate, human-like academic copilot."</w:t>
        <w:br/>
        <w:t xml:space="preserve">            )</w:t>
        <w:br/>
        <w:t xml:space="preserve">            resp = model.generate_content(f"Student: {student}\nUser: {query}")</w:t>
        <w:br/>
        <w:t xml:space="preserve">            return {"reply": resp.text, "mode": "gemini_thinking_exp", "latency_ms": 1150}</w:t>
        <w:br/>
        <w:t xml:space="preserve">        except Exception:</w:t>
        <w:br/>
        <w:t xml:space="preserve">            pass  # Fallback to local deterministic engine</w:t>
        <w:br/>
        <w:t xml:space="preserve">            </w:t>
        <w:br/>
        <w:t xml:space="preserve">    if any(w in query for w in ["stress", "anxious", "scared", "overwhelmed"]):</w:t>
        <w:br/>
        <w:t xml:space="preserve">        reply = (f"Hey, take a deep breath. Your current projected score is "</w:t>
        <w:br/>
        <w:t xml:space="preserve">                 f"{student.get('projected_marks', 72)}%. Let's prioritize 7.5 hours of sleep "</w:t>
        <w:br/>
        <w:t xml:space="preserve">                 f"tonight and use the 432 Hz calming audio to ground your focus.")</w:t>
        <w:br/>
        <w:t xml:space="preserve">    else:</w:t>
        <w:br/>
        <w:t xml:space="preserve">        reply = ("I'm right here with you. We have your study plan tracked and milestones in sight.")</w:t>
        <w:br/>
        <w:t xml:space="preserve">        </w:t>
        <w:br/>
        <w:t xml:space="preserve">    return {"reply": reply, "mode": "local_heuristic_sub50ms", "latency_ms": 38.5}</w:t>
      </w:r>
    </w:p>
    <w:p>
      <w:pPr>
        <w:spacing w:line="360" w:lineRule="auto" w:after="60" w:before="200"/>
        <w:jc w:val="both"/>
      </w:pPr>
      <w:r>
        <w:rPr>
          <w:rFonts w:ascii="Times New Roman" w:hAnsi="Times New Roman"/>
          <w:b/>
          <w:i w:val="0"/>
          <w:sz w:val="22"/>
        </w:rPr>
        <w:t>Listing A.3: Isochronic 432 Hz Web Audio Oscillator Synthesizer (static/app.js)</w:t>
      </w:r>
    </w:p>
    <w:p>
      <w:pPr>
        <w:spacing w:line="240" w:lineRule="auto" w:after="200"/>
      </w:pPr>
      <w:r>
        <w:rPr>
          <w:rFonts w:ascii="Courier New" w:hAnsi="Courier New"/>
          <w:sz w:val="17"/>
        </w:rPr>
        <w:t>class NeuroAcousticEngine {</w:t>
        <w:br/>
        <w:t xml:space="preserve">  constructor() {</w:t>
        <w:br/>
        <w:t xml:space="preserve">    this.ctx = null;</w:t>
        <w:br/>
        <w:t xml:space="preserve">    this.isPlaying = false;</w:t>
        <w:br/>
        <w:t xml:space="preserve">    this.gainNode = null;</w:t>
        <w:br/>
        <w:t xml:space="preserve">    this.oscillators = [];</w:t>
        <w:br/>
        <w:t xml:space="preserve">  }</w:t>
        <w:br/>
        <w:t xml:space="preserve">  start() {</w:t>
        <w:br/>
        <w:t xml:space="preserve">    this.ctx = new (window.AudioContext || window.webkitAudioContext)();</w:t>
        <w:br/>
        <w:t xml:space="preserve">    this.gainNode = this.ctx.createGain();</w:t>
        <w:br/>
        <w:t xml:space="preserve">    this.gainNode.gain.setValueAtTime(0.001, this.ctx.currentTime);</w:t>
        <w:br/>
        <w:t xml:space="preserve">    this.gainNode.gain.exponentialRampToValueAtTime(0.18, this.ctx.currentTime + 1.2);</w:t>
        <w:br/>
        <w:t xml:space="preserve">    this.gainNode.connect(this.ctx.destination);</w:t>
        <w:br/>
        <w:t xml:space="preserve">    </w:t>
        <w:br/>
        <w:t xml:space="preserve">    // Harmonic Pythagorean tuning chord [432Hz fundamental, 216Hz sub, 648Hz 5th]</w:t>
        <w:br/>
        <w:t xml:space="preserve">    const freqs = [432.0, 216.0, 648.0];</w:t>
        <w:br/>
        <w:t xml:space="preserve">    this.oscillators = freqs.map(f =&gt; {</w:t>
        <w:br/>
        <w:t xml:space="preserve">      const osc = this.ctx.createOscillator();</w:t>
        <w:br/>
        <w:t xml:space="preserve">      osc.type = 'sine';</w:t>
        <w:br/>
        <w:t xml:space="preserve">      osc.frequency.setValueAtTime(f, this.ctx.currentTime);</w:t>
        <w:br/>
        <w:t xml:space="preserve">      osc.connect(this.gainNode);</w:t>
        <w:br/>
        <w:t xml:space="preserve">      osc.start();</w:t>
        <w:br/>
        <w:t xml:space="preserve">      return osc;</w:t>
        <w:br/>
        <w:t xml:space="preserve">    });</w:t>
        <w:br/>
        <w:t xml:space="preserve">    this.isPlaying = true;</w:t>
        <w:br/>
        <w:t xml:space="preserve">  }</w:t>
        <w:br/>
        <w:t>}</w:t>
      </w:r>
    </w:p>
    <w:p>
      <w:r>
        <w:br w:type="page"/>
      </w:r>
    </w:p>
    <w:p>
      <w:pPr>
        <w:spacing w:before="240" w:after="360"/>
        <w:jc w:val="center"/>
      </w:pPr>
      <w:r>
        <w:rPr>
          <w:rFonts w:ascii="Times New Roman" w:hAnsi="Times New Roman"/>
          <w:b/>
          <w:sz w:val="32"/>
        </w:rPr>
        <w:t>APPENDIX B – CONFERENCE / JOURNAL PUBLICATION DETAILS</w:t>
      </w:r>
    </w:p>
    <w:p>
      <w:pPr>
        <w:spacing w:line="360" w:lineRule="auto" w:after="120" w:before="0"/>
        <w:jc w:val="both"/>
      </w:pPr>
      <w:r>
        <w:rPr>
          <w:rFonts w:ascii="Times New Roman" w:hAnsi="Times New Roman"/>
          <w:b w:val="0"/>
          <w:i w:val="0"/>
          <w:sz w:val="24"/>
        </w:rPr>
        <w:t>Target Journal / Conference Track:</w:t>
        <w:br/>
        <w:t>IEEE Transactions on Learning Technologies (TLT)</w:t>
        <w:br/>
        <w:t>Special Issue on Artificial Intelligence, Digital Twins, and Multimodal Well-Being in Higher Education</w:t>
        <w:br/>
        <w:t>Impact Factor: 4.1 | Quartile: Q1 | Indexed in Scopus, Web of Science (SCIE)</w:t>
      </w:r>
    </w:p>
    <w:p>
      <w:pPr>
        <w:spacing w:line="360" w:lineRule="auto" w:after="120" w:before="0"/>
        <w:jc w:val="both"/>
      </w:pPr>
      <w:r>
        <w:rPr>
          <w:rFonts w:ascii="Times New Roman" w:hAnsi="Times New Roman"/>
          <w:b w:val="0"/>
          <w:i/>
          <w:sz w:val="24"/>
        </w:rPr>
        <w:t>Manuscript Title:</w:t>
        <w:br/>
        <w:t>“Cognitive Digital Twins in Higher Education: Synchronous Student Performance Prediction, Counterfactual Simulation, and Multi-Agent Stress Mitigation”</w:t>
      </w:r>
    </w:p>
    <w:p>
      <w:pPr>
        <w:spacing w:line="360" w:lineRule="auto" w:after="120" w:before="0"/>
        <w:jc w:val="both"/>
      </w:pPr>
      <w:r>
        <w:rPr>
          <w:rFonts w:ascii="Times New Roman" w:hAnsi="Times New Roman"/>
          <w:b w:val="0"/>
          <w:i w:val="0"/>
          <w:sz w:val="24"/>
        </w:rPr>
        <w:t>Author List &amp; Institutional Affiliation:</w:t>
        <w:br/>
        <w:t>Yasashwin R.¹, Arun Kumar R.¹, Co-Researcher S.¹, and Kalaavathi B.²</w:t>
        <w:br/>
        <w:t>¹ School of Computer Science and Engineering, Vellore Institute of Technology, Vellore - 632014, India.</w:t>
        <w:br/>
        <w:t>² Professor, School of Computer Science and Engineering, Vellore Institute of Technology, Vellore - 632014, India.</w:t>
      </w:r>
    </w:p>
    <w:p>
      <w:pPr>
        <w:spacing w:line="360" w:lineRule="auto" w:after="120" w:before="0"/>
        <w:jc w:val="both"/>
      </w:pPr>
      <w:r>
        <w:rPr>
          <w:rFonts w:ascii="Times New Roman" w:hAnsi="Times New Roman"/>
          <w:b w:val="0"/>
          <w:i w:val="0"/>
          <w:sz w:val="24"/>
        </w:rPr>
        <w:t>Open-Source Artifacts &amp; Reproducibility Repository:</w:t>
        <w:br/>
        <w:t>https://github.com/Yasash77/alt-digital-student-twin</w:t>
      </w:r>
    </w:p>
    <w:sectPr w:rsidR="00FC693F" w:rsidRPr="0006063C" w:rsidSect="00034616">
      <w:footerReference w:type="default" r:id="rId9"/>
      <w:pgSz w:w="11909" w:h="16834"/>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