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Calibri" w:hAnsi="Calibri"/>
          <w:b/>
          <w:color w:val="0F4C81"/>
          <w:sz w:val="48"/>
        </w:rPr>
        <w:t>LINGUALINK: MULTILINGUAL ENTITY LINKING &amp; DISAMBIGUATION</w:t>
      </w:r>
    </w:p>
    <w:p>
      <w:pPr>
        <w:spacing w:before="0" w:after="280"/>
        <w:jc w:val="center"/>
      </w:pPr>
      <w:r>
        <w:rPr>
          <w:rFonts w:ascii="Calibri" w:hAnsi="Calibri"/>
          <w:i/>
          <w:color w:val="4A777A"/>
          <w:sz w:val="24"/>
        </w:rPr>
        <w:t>Cross-Lingual Named Entity Recognition, Hybrid Candidate Generation, and Sensed Disambiguation across English, Hindi, Spanish, and German</w:t>
      </w:r>
    </w:p>
    <w:tbl>
      <w:tblPr>
        <w:tblW w:type="auto" w:w="0"/>
        <w:jc w:val="center"/>
        <w:tblLayout w:type="fixed"/>
        <w:tblLook w:firstColumn="1" w:firstRow="1" w:lastColumn="0" w:lastRow="0" w:noHBand="0" w:noVBand="1" w:val="04A0"/>
      </w:tblPr>
      <w:tblGrid>
        <w:gridCol w:w="9936"/>
      </w:tblGrid>
      <w:tr>
        <w:tc>
          <w:tcPr>
            <w:tcW w:type="dxa" w:w="9360"/>
            <w:shd w:fill="F0F4F8"/>
            <w:tcMar>
              <w:top w:w="140" w:type="dxa"/>
              <w:bottom w:w="140" w:type="dxa"/>
              <w:left w:w="200" w:type="dxa"/>
              <w:right w:w="180" w:type="dxa"/>
            </w:tcMar>
            <w:tcBorders>
              <w:top w:val="single" w:sz="4" w:space="0" w:color="CCCCCC"/>
              <w:left w:val="single" w:sz="24" w:space="0" w:color="0F4C81"/>
              <w:bottom w:val="single" w:sz="4" w:space="0" w:color="CCCCCC"/>
              <w:right w:val="single" w:sz="4" w:space="0" w:color="CCCCCC"/>
              <w:insideH w:val="none"/>
              <w:insideV w:val="none"/>
            </w:tcBorders>
          </w:tcPr>
          <w:p>
            <w:pPr>
              <w:spacing w:before="40" w:after="80"/>
            </w:pPr>
            <w:r>
              <w:rPr>
                <w:rFonts w:ascii="Calibri" w:hAnsi="Calibri"/>
                <w:b/>
                <w:color w:val="0F4C81"/>
                <w:sz w:val="22"/>
              </w:rPr>
              <w:t>PROJECT SPECIFICATION &amp; ARCHITECTURAL SUMMARY</w:t>
            </w:r>
          </w:p>
          <w:p>
            <w:pPr>
              <w:spacing w:before="20" w:after="40" w:line="264" w:lineRule="auto"/>
            </w:pPr>
            <w:r>
              <w:rPr>
                <w:rFonts w:ascii="Calibri" w:hAnsi="Calibri"/>
                <w:color w:val="222222"/>
                <w:sz w:val="20"/>
              </w:rPr>
              <w:t>• Target Languages: English (EN), Hindi (HI - Devanagari script), Spanish (ES), German (DE)</w:t>
            </w:r>
          </w:p>
          <w:p>
            <w:pPr>
              <w:spacing w:before="20" w:after="40" w:line="264" w:lineRule="auto"/>
            </w:pPr>
            <w:r>
              <w:rPr>
                <w:rFonts w:ascii="Calibri" w:hAnsi="Calibri"/>
                <w:color w:val="222222"/>
                <w:sz w:val="20"/>
              </w:rPr>
              <w:t>• Target Knowledge Base: Wikidata (2024 Knowledge Graph) with Wikipedia REST Article Summary Enrichment</w:t>
            </w:r>
          </w:p>
          <w:p>
            <w:pPr>
              <w:spacing w:before="20" w:after="40" w:line="264" w:lineRule="auto"/>
            </w:pPr>
            <w:r>
              <w:rPr>
                <w:rFonts w:ascii="Calibri" w:hAnsi="Calibri"/>
                <w:color w:val="222222"/>
                <w:sz w:val="20"/>
              </w:rPr>
              <w:t>• Core Models: Davlan/xlm-roberta-base-ner-hrl (Inference NER), sentence-transformers/paraphrase-multilingual-mpnet-base-v2 (STS Disambiguation)</w:t>
            </w:r>
          </w:p>
          <w:p>
            <w:pPr>
              <w:spacing w:before="20" w:after="40" w:line="264" w:lineRule="auto"/>
            </w:pPr>
            <w:r>
              <w:rPr>
                <w:rFonts w:ascii="Calibri" w:hAnsi="Calibri"/>
                <w:color w:val="222222"/>
                <w:sz w:val="20"/>
              </w:rPr>
              <w:t>• Application Stack: FastAPI Asynchronous Backend + Vite / React Interactive Pipeline Dashboard</w:t>
            </w:r>
          </w:p>
          <w:p>
            <w:pPr>
              <w:spacing w:before="20" w:after="40" w:line="264" w:lineRule="auto"/>
            </w:pPr>
            <w:r>
              <w:rPr>
                <w:rFonts w:ascii="Calibri" w:hAnsi="Calibri"/>
                <w:color w:val="222222"/>
                <w:sz w:val="20"/>
              </w:rPr>
              <w:t>• Evaluation Benchmark: WikiAnn Multilingual Test Sets &amp; 142-Sentence Balanced Cross-Lingual Gold Evaluation Set</w:t>
            </w:r>
          </w:p>
        </w:tc>
      </w:tr>
    </w:tbl>
    <w:p>
      <w:pPr>
        <w:spacing w:before="0" w:after="120"/>
      </w:pPr>
    </w:p>
    <w:p>
      <w:pPr>
        <w:keepNext/>
        <w:spacing w:before="360" w:after="120"/>
      </w:pPr>
      <w:r>
        <w:rPr>
          <w:rFonts w:ascii="Calibri" w:hAnsi="Calibri"/>
          <w:b/>
          <w:color w:val="0F4C81"/>
          <w:sz w:val="36"/>
        </w:rPr>
        <w:t>1. Executive Summary &amp; Problem Formulation</w:t>
      </w:r>
    </w:p>
    <w:p>
      <w:pPr>
        <w:spacing w:before="0" w:after="120" w:line="276" w:lineRule="auto"/>
        <w:jc w:val="left"/>
      </w:pPr>
      <w:r>
        <w:rPr>
          <w:rFonts w:ascii="Calibri" w:hAnsi="Calibri"/>
          <w:color w:val="222222"/>
          <w:sz w:val="22"/>
        </w:rPr>
        <w:t>Named Entity Recognition (NER) identifies mentions of real-world entities in unstructured text — such as people (PER), organizations (ORG), and locations (LOC). While NER localizes entity surface forms, it does not identify which specific entity is being referenced. For example, in the sentences "Amazon reported record cloud revenue" and "The Amazon flows through Brazil", NER correctly tags "Amazon" as an entity in both contexts. However, the surface mention refers to two entirely distinct real-world entities (the tech multinational Q3884 vs. the South American river Q3783). Resolving surface mentions to unique Knowledge Base identifiers (Wikidata QIDs) given their linguistic context is the central task of Multilingual Entity Linking and Disambiguation (MEL).</w:t>
      </w:r>
    </w:p>
    <w:p>
      <w:pPr>
        <w:spacing w:before="0" w:after="120" w:line="276" w:lineRule="auto"/>
        <w:jc w:val="left"/>
      </w:pPr>
      <w:r>
        <w:rPr>
          <w:rFonts w:ascii="Calibri" w:hAnsi="Calibri"/>
          <w:color w:val="222222"/>
          <w:sz w:val="22"/>
        </w:rPr>
        <w:t>LinguaLink implements a complete, working, end-to-end pipeline that addresses this challenge across four languages: English (EN), Hindi (HI), Spanish (ES), and German (DE). The guiding goal of the project was not simply to assemble a pipeline that runs without errors on a handful of hand-picked examples, but to genuinely stress-test it: against real, casually phrased sentences; against surname-only and partial mentions; against adversarial and ambiguous cases; and across all four supported languages rather than only the best-resourced one.</w:t>
      </w:r>
    </w:p>
    <w:p>
      <w:pPr>
        <w:spacing w:before="0" w:after="120" w:line="276" w:lineRule="auto"/>
        <w:jc w:val="left"/>
      </w:pPr>
      <w:r>
        <w:rPr>
          <w:rFonts w:ascii="Calibri" w:hAnsi="Calibri"/>
          <w:color w:val="222222"/>
          <w:sz w:val="22"/>
        </w:rPr>
        <w:t>Consequently, much of the project's substance is not a description of an untested design but a record of real failures that were found through live testing, root-caused, and fixed — including a token-classification failure mode on unpunctuated first-person text, an exact-match candidate-generation strategy that silently returned the wrong entity for common surnames, a disambiguation model that ranked entities backwards on a canonical test case, and a genuine upstream data gap in Wikidata itself.</w:t>
      </w:r>
    </w:p>
    <w:p>
      <w:pPr>
        <w:keepNext/>
        <w:spacing w:before="280" w:after="80"/>
      </w:pPr>
      <w:r>
        <w:rPr>
          <w:rFonts w:ascii="Calibri" w:hAnsi="Calibri"/>
          <w:b/>
          <w:color w:val="2B579A"/>
          <w:sz w:val="28"/>
        </w:rPr>
        <w:t>1.1 Subsystem Scope &amp; Target Languages</w:t>
      </w:r>
    </w:p>
    <w:p>
      <w:pPr>
        <w:spacing w:before="0" w:after="120" w:line="276" w:lineRule="auto"/>
        <w:jc w:val="left"/>
      </w:pPr>
      <w:r>
        <w:rPr>
          <w:rFonts w:ascii="Calibri" w:hAnsi="Calibri"/>
          <w:color w:val="222222"/>
          <w:sz w:val="22"/>
        </w:rPr>
        <w:t>The project scope covers four cooperating subsystems:</w:t>
      </w:r>
    </w:p>
    <w:p>
      <w:pPr>
        <w:spacing w:before="0" w:after="120" w:line="276" w:lineRule="auto"/>
        <w:jc w:val="left"/>
      </w:pPr>
      <w:r>
        <w:rPr>
          <w:rFonts w:ascii="Calibri" w:hAnsi="Calibri"/>
          <w:color w:val="222222"/>
          <w:sz w:val="22"/>
        </w:rPr>
        <w:t>(1) Mention Detection: A fine-tuned and a pretrained multilingual transformer for mention detection with truecasing.</w:t>
      </w:r>
    </w:p>
    <w:p>
      <w:pPr>
        <w:spacing w:before="0" w:after="120" w:line="276" w:lineRule="auto"/>
        <w:jc w:val="left"/>
      </w:pPr>
      <w:r>
        <w:rPr>
          <w:rFonts w:ascii="Calibri" w:hAnsi="Calibri"/>
          <w:color w:val="222222"/>
          <w:sz w:val="22"/>
        </w:rPr>
        <w:t>(2) Candidate Retrieval: A hybrid candidate-generation layer combining a fast local knowledge-base cache with Wikidata's live, relevance-ranked search API.</w:t>
      </w:r>
    </w:p>
    <w:p>
      <w:pPr>
        <w:spacing w:before="0" w:after="120" w:line="276" w:lineRule="auto"/>
        <w:jc w:val="left"/>
      </w:pPr>
      <w:r>
        <w:rPr>
          <w:rFonts w:ascii="Calibri" w:hAnsi="Calibri"/>
          <w:color w:val="222222"/>
          <w:sz w:val="22"/>
        </w:rPr>
        <w:t>(3) Disambiguation: A semantic disambiguation stage that ranks candidates using multilingual sentence-embedding similarity together with a popularity-based tiebreak and Wikipedia extract enrichment.</w:t>
      </w:r>
    </w:p>
    <w:p>
      <w:pPr>
        <w:spacing w:before="0" w:after="120" w:line="276" w:lineRule="auto"/>
        <w:jc w:val="left"/>
      </w:pPr>
      <w:r>
        <w:rPr>
          <w:rFonts w:ascii="Calibri" w:hAnsi="Calibri"/>
          <w:color w:val="222222"/>
          <w:sz w:val="22"/>
        </w:rPr>
        <w:t>(4) Interactive Web Application: A FastAPI backend and a React frontend that exposes the full pipeline for live, user-facing demonstration and inspection of intermediate results.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728"/>
            <w:shd w:fill="0F4C81"/>
            <w:tcMar>
              <w:top w:w="100" w:type="dxa"/>
              <w:bottom w:w="100" w:type="dxa"/>
              <w:left w:w="120" w:type="dxa"/>
              <w:right w:w="120" w:type="dxa"/>
            </w:tcMar>
            <w:tcBorders>
              <w:top w:val="single" w:sz="4" w:space="0" w:color="0F4C81"/>
              <w:left w:val="single" w:sz="4" w:space="0" w:color="0F4C81"/>
              <w:bottom w:val="single" w:sz="12" w:space="0" w:color="0F4C81"/>
              <w:right w:val="single" w:sz="4" w:space="0" w:color="0F4C81"/>
              <w:insideH w:val="none"/>
              <w:insideV w:val="none"/>
            </w:tcBorders>
          </w:tcPr>
          <w:p>
            <w:pPr>
              <w:spacing w:before="40" w:after="40"/>
            </w:pPr>
            <w:r/>
            <w:r>
              <w:rPr>
                <w:rFonts w:ascii="Calibri" w:hAnsi="Calibri"/>
                <w:b/>
                <w:color w:val="FFFFFF"/>
                <w:sz w:val="20"/>
              </w:rPr>
              <w:t>Language</w:t>
            </w:r>
          </w:p>
        </w:tc>
        <w:tc>
          <w:tcPr>
            <w:tcW w:type="dxa" w:w="1584"/>
            <w:shd w:fill="0F4C81"/>
            <w:tcMar>
              <w:top w:w="100" w:type="dxa"/>
              <w:bottom w:w="100" w:type="dxa"/>
              <w:left w:w="120" w:type="dxa"/>
              <w:right w:w="120" w:type="dxa"/>
            </w:tcMar>
            <w:tcBorders>
              <w:top w:val="single" w:sz="4" w:space="0" w:color="0F4C81"/>
              <w:left w:val="single" w:sz="4" w:space="0" w:color="0F4C81"/>
              <w:bottom w:val="single" w:sz="12" w:space="0" w:color="0F4C81"/>
              <w:right w:val="single" w:sz="4" w:space="0" w:color="0F4C81"/>
              <w:insideH w:val="none"/>
              <w:insideV w:val="none"/>
            </w:tcBorders>
          </w:tcPr>
          <w:p>
            <w:pPr>
              <w:spacing w:before="40" w:after="40"/>
            </w:pPr>
            <w:r/>
            <w:r>
              <w:rPr>
                <w:rFonts w:ascii="Calibri" w:hAnsi="Calibri"/>
                <w:b/>
                <w:color w:val="FFFFFF"/>
                <w:sz w:val="20"/>
              </w:rPr>
              <w:t>Script</w:t>
            </w:r>
          </w:p>
        </w:tc>
        <w:tc>
          <w:tcPr>
            <w:tcW w:type="dxa" w:w="2592"/>
            <w:shd w:fill="0F4C81"/>
            <w:tcMar>
              <w:top w:w="100" w:type="dxa"/>
              <w:bottom w:w="100" w:type="dxa"/>
              <w:left w:w="120" w:type="dxa"/>
              <w:right w:w="120" w:type="dxa"/>
            </w:tcMar>
            <w:tcBorders>
              <w:top w:val="single" w:sz="4" w:space="0" w:color="0F4C81"/>
              <w:left w:val="single" w:sz="4" w:space="0" w:color="0F4C81"/>
              <w:bottom w:val="single" w:sz="12" w:space="0" w:color="0F4C81"/>
              <w:right w:val="single" w:sz="4" w:space="0" w:color="0F4C81"/>
              <w:insideH w:val="none"/>
              <w:insideV w:val="none"/>
            </w:tcBorders>
          </w:tcPr>
          <w:p>
            <w:pPr>
              <w:spacing w:before="40" w:after="40"/>
            </w:pPr>
            <w:r/>
            <w:r>
              <w:rPr>
                <w:rFonts w:ascii="Calibri" w:hAnsi="Calibri"/>
                <w:b/>
                <w:color w:val="FFFFFF"/>
                <w:sz w:val="20"/>
              </w:rPr>
              <w:t>NER Role</w:t>
            </w:r>
          </w:p>
        </w:tc>
        <w:tc>
          <w:tcPr>
            <w:tcW w:type="dxa" w:w="3456"/>
            <w:shd w:fill="0F4C81"/>
            <w:tcMar>
              <w:top w:w="100" w:type="dxa"/>
              <w:bottom w:w="100" w:type="dxa"/>
              <w:left w:w="120" w:type="dxa"/>
              <w:right w:w="120" w:type="dxa"/>
            </w:tcMar>
            <w:tcBorders>
              <w:top w:val="single" w:sz="4" w:space="0" w:color="0F4C81"/>
              <w:left w:val="single" w:sz="4" w:space="0" w:color="0F4C81"/>
              <w:bottom w:val="single" w:sz="12" w:space="0" w:color="0F4C81"/>
              <w:right w:val="single" w:sz="4" w:space="0" w:color="0F4C81"/>
              <w:insideH w:val="none"/>
              <w:insideV w:val="none"/>
            </w:tcBorders>
          </w:tcPr>
          <w:p>
            <w:pPr>
              <w:spacing w:before="40" w:after="40"/>
            </w:pPr>
            <w:r/>
            <w:r>
              <w:rPr>
                <w:rFonts w:ascii="Calibri" w:hAnsi="Calibri"/>
                <w:b/>
                <w:color w:val="FFFFFF"/>
                <w:sz w:val="20"/>
              </w:rPr>
              <w:t>Notes &amp; Characteristics</w:t>
            </w:r>
          </w:p>
        </w:tc>
      </w:tr>
      <w:tr>
        <w:tc>
          <w:tcPr>
            <w:tcW w:type="dxa" w:w="1728"/>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English (EN)</w:t>
            </w:r>
          </w:p>
        </w:tc>
        <w:tc>
          <w:tcPr>
            <w:tcW w:type="dxa" w:w="1584"/>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Latin</w:t>
            </w:r>
          </w:p>
        </w:tc>
        <w:tc>
          <w:tcPr>
            <w:tcW w:type="dxa" w:w="2592"/>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Baseline / Highest-resource</w:t>
            </w:r>
          </w:p>
        </w:tc>
        <w:tc>
          <w:tcPr>
            <w:tcW w:type="dxa" w:w="3456"/>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Truecasing applied to restore capitalization for casual, lowercase input before detection</w:t>
            </w:r>
          </w:p>
        </w:tc>
      </w:tr>
      <w:tr>
        <w:tc>
          <w:tcPr>
            <w:tcW w:type="dxa" w:w="1728"/>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Hindi (HI)</w:t>
            </w:r>
          </w:p>
        </w:tc>
        <w:tc>
          <w:tcPr>
            <w:tcW w:type="dxa" w:w="1584"/>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Devanagari</w:t>
            </w:r>
          </w:p>
        </w:tc>
        <w:tc>
          <w:tcPr>
            <w:tcW w:type="dxa" w:w="2592"/>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Low-resource cross-lingual test</w:t>
            </w:r>
          </w:p>
        </w:tc>
        <w:tc>
          <w:tcPr>
            <w:tcW w:type="dxa" w:w="3456"/>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Correctly handled even by a model whose documented language list does not include it</w:t>
            </w:r>
          </w:p>
        </w:tc>
      </w:tr>
      <w:tr>
        <w:tc>
          <w:tcPr>
            <w:tcW w:type="dxa" w:w="1728"/>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Spanish (ES)</w:t>
            </w:r>
          </w:p>
        </w:tc>
        <w:tc>
          <w:tcPr>
            <w:tcW w:type="dxa" w:w="1584"/>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Latin</w:t>
            </w:r>
          </w:p>
        </w:tc>
        <w:tc>
          <w:tcPr>
            <w:tcW w:type="dxa" w:w="2592"/>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Mid-resource Romance language</w:t>
            </w:r>
          </w:p>
        </w:tc>
        <w:tc>
          <w:tcPr>
            <w:tcW w:type="dxa" w:w="3456"/>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Used in disambiguation short-context sensitivity testing</w:t>
            </w:r>
          </w:p>
        </w:tc>
      </w:tr>
      <w:tr>
        <w:tc>
          <w:tcPr>
            <w:tcW w:type="dxa" w:w="1728"/>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German (DE)</w:t>
            </w:r>
          </w:p>
        </w:tc>
        <w:tc>
          <w:tcPr>
            <w:tcW w:type="dxa" w:w="1584"/>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Latin</w:t>
            </w:r>
          </w:p>
        </w:tc>
        <w:tc>
          <w:tcPr>
            <w:tcW w:type="dxa" w:w="2592"/>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Mid-resource Germanic language</w:t>
            </w:r>
          </w:p>
        </w:tc>
        <w:tc>
          <w:tcPr>
            <w:tcW w:type="dxa" w:w="3456"/>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Used in canonical worked examples (Merkel, Berlin, Deutschland); capital noun morphology</w:t>
            </w:r>
          </w:p>
        </w:tc>
      </w:tr>
    </w:tbl>
    <w:p>
      <w:pPr>
        <w:keepNext/>
        <w:spacing w:before="360" w:after="120"/>
      </w:pPr>
      <w:r>
        <w:rPr>
          <w:rFonts w:ascii="Calibri" w:hAnsi="Calibri"/>
          <w:b/>
          <w:color w:val="0F4C81"/>
          <w:sz w:val="36"/>
        </w:rPr>
        <w:t>2. Pipeline Architecture &amp; System Flow</w:t>
      </w:r>
    </w:p>
    <w:p>
      <w:pPr>
        <w:spacing w:before="0" w:after="120" w:line="276" w:lineRule="auto"/>
        <w:jc w:val="left"/>
      </w:pPr>
      <w:r>
        <w:rPr>
          <w:rFonts w:ascii="Calibri" w:hAnsi="Calibri"/>
          <w:color w:val="222222"/>
          <w:sz w:val="22"/>
        </w:rPr>
        <w:t>The system is organized as a strict four-stage pipeline: mention detection, candidate generation, disambiguation, and output. Text enters the pipeline in one of the four supported languages and is passed through each stage in sequence, with each stage's output forming the next stage's input. The diagram below summarizes the flow end to end.</w:t>
      </w:r>
    </w:p>
    <w:tbl>
      <w:tblPr>
        <w:tblW w:type="auto" w:w="0"/>
        <w:jc w:val="center"/>
        <w:tblLayout w:type="fixed"/>
        <w:tblLook w:firstColumn="1" w:firstRow="1" w:lastColumn="0" w:lastRow="0" w:noHBand="0" w:noVBand="1" w:val="04A0"/>
      </w:tblPr>
      <w:tblGrid>
        <w:gridCol w:w="9936"/>
      </w:tblGrid>
      <w:tr>
        <w:tc>
          <w:tcPr>
            <w:tcW w:type="dxa" w:w="9360"/>
            <w:shd w:fill="FAFAFA"/>
            <w:tcMar>
              <w:top w:w="200" w:type="dxa"/>
              <w:bottom w:w="200" w:type="dxa"/>
              <w:left w:w="200" w:type="dxa"/>
              <w:right w:w="200" w:type="dxa"/>
            </w:tcMar>
            <w:tcBorders>
              <w:top w:val="dashed" w:sz="12" w:space="0" w:color="0F4C81"/>
              <w:left w:val="dashed" w:sz="12" w:space="0" w:color="0F4C81"/>
              <w:bottom w:val="dashed" w:sz="12" w:space="0" w:color="0F4C81"/>
              <w:right w:val="dashed" w:sz="12" w:space="0" w:color="0F4C81"/>
              <w:insideH w:val="none"/>
              <w:insideV w:val="none"/>
            </w:tcBorders>
          </w:tcPr>
          <w:p>
            <w:pPr>
              <w:spacing w:before="200" w:after="80"/>
              <w:jc w:val="center"/>
            </w:pPr>
            <w:r>
              <w:rPr>
                <w:rFonts w:ascii="Calibri" w:hAnsi="Calibri"/>
                <w:b/>
                <w:color w:val="0F4C81"/>
                <w:sz w:val="24"/>
              </w:rPr>
              <w:t>[ IMAGE PLACEHOLDER: FIGURE 1 ]</w:t>
            </w:r>
          </w:p>
          <w:p>
            <w:pPr>
              <w:spacing w:before="40" w:after="80"/>
              <w:jc w:val="center"/>
            </w:pPr>
            <w:r>
              <w:rPr>
                <w:rFonts w:ascii="Calibri" w:hAnsi="Calibri"/>
                <w:b/>
                <w:color w:val="222222"/>
                <w:sz w:val="21"/>
              </w:rPr>
              <w:t>Figure 1: LinguaLink End-to-End Pipeline Architecture &amp; Data Flow Diagram</w:t>
            </w:r>
          </w:p>
          <w:p>
            <w:pPr>
              <w:spacing w:before="40" w:after="200"/>
              <w:jc w:val="center"/>
            </w:pPr>
            <w:r>
              <w:rPr>
                <w:rFonts w:ascii="Calibri" w:hAnsi="Calibri"/>
                <w:i/>
                <w:color w:val="666666"/>
                <w:sz w:val="19"/>
              </w:rPr>
              <w:t>Reserved Space: Paste System Architecture Flowchart: Raw Input -&gt; Truecasing -&gt; XLM-RoBERTa Token Classification -&gt; Hybrid Retrieval (Parquet Cache + wbsearchentities API) -&gt; Wikipedia Extract Enrichment -&gt; MPNet Cross-Lingual STS Disambiguation -&gt; Popularity Blending -&gt; FastAPI REST Endpoints -&gt; React Interactive UI.</w:t>
            </w:r>
          </w:p>
        </w:tc>
      </w:tr>
    </w:tbl>
    <w:p>
      <w:pPr>
        <w:spacing w:before="0" w:after="160"/>
      </w:pPr>
    </w:p>
    <w:p>
      <w:pPr>
        <w:keepNext/>
        <w:spacing w:before="280" w:after="80"/>
      </w:pPr>
      <w:r>
        <w:rPr>
          <w:rFonts w:ascii="Calibri" w:hAnsi="Calibri"/>
          <w:b/>
          <w:color w:val="2B579A"/>
          <w:sz w:val="28"/>
        </w:rPr>
        <w:t>2.1 Detailed Stage Descriptions</w:t>
      </w:r>
    </w:p>
    <w:p>
      <w:pPr>
        <w:spacing w:before="0" w:after="120" w:line="276" w:lineRule="auto"/>
        <w:jc w:val="left"/>
      </w:pPr>
      <w:r>
        <w:rPr>
          <w:rFonts w:ascii="Calibri" w:hAnsi="Calibri"/>
          <w:color w:val="222222"/>
          <w:sz w:val="22"/>
        </w:rPr>
        <w:t>Stage 1 — Named Entity Recognition. Mention detection is performed by a multilingual XLM-RoBERTa token classifier. Two variants exist: a fine-tune trained from scratch on the WikiAnn dataset across all four languages (achieving F1 scores between 0.839 and 0.914 depending on language), and a pretrained checkpoint (Davlan/xlm-roberta-base-ner-hrl) trained on a broader and more diverse dataset. The fine-tune performs best on in-domain, Wikipedia-style formal text, but was found through live testing to fail badly on casual, unpunctuated, first-person input — for example misclassifying the entire sentence "I live in Brazil" (no trailing period) as a single organization span. The pretrained checkpoint does not exhibit this failure and is the model actually used by the running system, while the fine-tune and its evaluation are retained and documented for comparison. English input additionally passes through a length-preserving truecasing step before detection, restoring capitalization on casual lowercase text so that entity boundaries are still recognized correctly.</w:t>
      </w:r>
    </w:p>
    <w:p>
      <w:pPr>
        <w:spacing w:before="0" w:after="120" w:line="276" w:lineRule="auto"/>
        <w:jc w:val="left"/>
      </w:pPr>
      <w:r>
        <w:rPr>
          <w:rFonts w:ascii="Calibri" w:hAnsi="Calibri"/>
          <w:color w:val="222222"/>
          <w:sz w:val="22"/>
        </w:rPr>
        <w:t>Stage 2 — Candidate Generation. For each detected mention, the system first checks a small local cache (a parquet file of labels, aliases, and descriptions for roughly fifty hand-seeded entities across all four languages, built via batched Wikidata SPARQL queries) for an instant, offline match. Mentions not found locally fall back to Wikidata's live wbsearchentities search API, which performs relevance-ranked fuzzy matching rather than the exact-literal matching an initial SPARQL-only approach used — a change made specifically because exact matching failed on common surname-only mentions ("Messi", "Putin", "Ronaldo") and returned arbitrary, sometimes obscure entities on ties ("Modi" initially resolved to the wrong person entirely).</w:t>
      </w:r>
    </w:p>
    <w:p>
      <w:pPr>
        <w:spacing w:before="0" w:after="120" w:line="276" w:lineRule="auto"/>
        <w:jc w:val="left"/>
      </w:pPr>
      <w:r>
        <w:rPr>
          <w:rFonts w:ascii="Calibri" w:hAnsi="Calibri"/>
          <w:color w:val="222222"/>
          <w:sz w:val="22"/>
        </w:rPr>
        <w:t>Stage 3 — Disambiguation. Each surviving candidate is scored by encoding the mention's local sentence context and the candidate's description with a multilingual sentence-transformer (paraphrase-multilingual-mpnet-base-v2, chosen over LaBSE after a head-to-head comparison showed LaBSE ranking the wrong entity higher on a canonical test case) and computing cosine similarity. Wikidata's terse native descriptions are replaced, where available, with a richer Wikipedia intro-paragraph extract, since short descriptions were found to share too little vocabulary with real sentence contexts to disambiguate reliably. A small popularity term, based on each candidate's Wikidata sitelink count, is blended in as a tiebreaker for cases where semantic similarity alone is not decisive.</w:t>
      </w:r>
    </w:p>
    <w:p>
      <w:pPr>
        <w:spacing w:before="0" w:after="120" w:line="276" w:lineRule="auto"/>
        <w:jc w:val="left"/>
      </w:pPr>
      <w:r>
        <w:rPr>
          <w:rFonts w:ascii="Calibri" w:hAnsi="Calibri"/>
          <w:color w:val="222222"/>
          <w:sz w:val="22"/>
        </w:rPr>
        <w:t>Stage 4 — Output and Application. The top-ranked candidate is returned as a Wikidata QID with a confidence score, or as NIL if no candidate is confident enough. This result is served through a FastAPI backend exposing a POST /link endpoint for the full pipeline and a GET /entity/{qid}/relations endpoint for lazily-fetched entity relations, consumed by a React frontend that highlights linked mentions in the original text, color-coded by entity type, alongside a confidence bar, a live pipeline-progress indicator, and a candidate-ranking detail panel.</w:t>
      </w:r>
    </w:p>
    <w:p>
      <w:pPr>
        <w:keepNext/>
        <w:spacing w:before="360" w:after="120"/>
      </w:pPr>
      <w:r>
        <w:rPr>
          <w:rFonts w:ascii="Calibri" w:hAnsi="Calibri"/>
          <w:b/>
          <w:color w:val="0F4C81"/>
          <w:sz w:val="36"/>
        </w:rPr>
        <w:t>3. Hardware, Software &amp; Environmental Requirements</w:t>
      </w:r>
    </w:p>
    <w:p>
      <w:pPr>
        <w:spacing w:before="0" w:after="120" w:line="276" w:lineRule="auto"/>
        <w:jc w:val="left"/>
      </w:pPr>
      <w:r>
        <w:rPr>
          <w:rFonts w:ascii="Calibri" w:hAnsi="Calibri"/>
          <w:color w:val="222222"/>
          <w:sz w:val="22"/>
        </w:rPr>
        <w:t>The system was designed to be developed and run on ordinary consumer hardware, with GPU acceleration used only where it materially affects turnaround time — specifically, fine-tuning the NER model. Inference (the pipeline actually used by the demo), candidate generation, and disambiguation are all CPU-feasible and were run that way during development. The tables below summarize the hardware and software requirements across the project's three main activities: model training, pipeline inference, and running the demo application.</w:t>
      </w:r>
    </w:p>
    <w:p>
      <w:pPr>
        <w:keepNext/>
        <w:spacing w:before="280" w:after="80"/>
      </w:pPr>
      <w:r>
        <w:rPr>
          <w:rFonts w:ascii="Calibri" w:hAnsi="Calibri"/>
          <w:b/>
          <w:color w:val="2B579A"/>
          <w:sz w:val="28"/>
        </w:rPr>
        <w:t>3.1 Hardware Specifications</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F4C81"/>
            <w:tcMar>
              <w:top w:w="100" w:type="dxa"/>
              <w:bottom w:w="100" w:type="dxa"/>
              <w:left w:w="120" w:type="dxa"/>
              <w:right w:w="120" w:type="dxa"/>
            </w:tcMar>
            <w:tcBorders>
              <w:top w:val="single" w:sz="4" w:space="0" w:color="0F4C81"/>
              <w:left w:val="single" w:sz="4" w:space="0" w:color="0F4C81"/>
              <w:bottom w:val="single" w:sz="12" w:space="0" w:color="0F4C81"/>
              <w:right w:val="single" w:sz="4" w:space="0" w:color="0F4C81"/>
              <w:insideH w:val="none"/>
              <w:insideV w:val="none"/>
            </w:tcBorders>
          </w:tcPr>
          <w:p>
            <w:pPr>
              <w:spacing w:before="40" w:after="40"/>
            </w:pPr>
            <w:r/>
            <w:r>
              <w:rPr>
                <w:rFonts w:ascii="Calibri" w:hAnsi="Calibri"/>
                <w:b/>
                <w:color w:val="FFFFFF"/>
                <w:sz w:val="20"/>
              </w:rPr>
              <w:t>Activity</w:t>
            </w:r>
          </w:p>
        </w:tc>
        <w:tc>
          <w:tcPr>
            <w:tcW w:type="dxa" w:w="3312"/>
            <w:shd w:fill="0F4C81"/>
            <w:tcMar>
              <w:top w:w="100" w:type="dxa"/>
              <w:bottom w:w="100" w:type="dxa"/>
              <w:left w:w="120" w:type="dxa"/>
              <w:right w:w="120" w:type="dxa"/>
            </w:tcMar>
            <w:tcBorders>
              <w:top w:val="single" w:sz="4" w:space="0" w:color="0F4C81"/>
              <w:left w:val="single" w:sz="4" w:space="0" w:color="0F4C81"/>
              <w:bottom w:val="single" w:sz="12" w:space="0" w:color="0F4C81"/>
              <w:right w:val="single" w:sz="4" w:space="0" w:color="0F4C81"/>
              <w:insideH w:val="none"/>
              <w:insideV w:val="none"/>
            </w:tcBorders>
          </w:tcPr>
          <w:p>
            <w:pPr>
              <w:spacing w:before="40" w:after="40"/>
            </w:pPr>
            <w:r/>
            <w:r>
              <w:rPr>
                <w:rFonts w:ascii="Calibri" w:hAnsi="Calibri"/>
                <w:b/>
                <w:color w:val="FFFFFF"/>
                <w:sz w:val="20"/>
              </w:rPr>
              <w:t>Minimum Specification</w:t>
            </w:r>
          </w:p>
        </w:tc>
        <w:tc>
          <w:tcPr>
            <w:tcW w:type="dxa" w:w="3456"/>
            <w:shd w:fill="0F4C81"/>
            <w:tcMar>
              <w:top w:w="100" w:type="dxa"/>
              <w:bottom w:w="100" w:type="dxa"/>
              <w:left w:w="120" w:type="dxa"/>
              <w:right w:w="120" w:type="dxa"/>
            </w:tcMar>
            <w:tcBorders>
              <w:top w:val="single" w:sz="4" w:space="0" w:color="0F4C81"/>
              <w:left w:val="single" w:sz="4" w:space="0" w:color="0F4C81"/>
              <w:bottom w:val="single" w:sz="12" w:space="0" w:color="0F4C81"/>
              <w:right w:val="single" w:sz="4" w:space="0" w:color="0F4C81"/>
              <w:insideH w:val="none"/>
              <w:insideV w:val="none"/>
            </w:tcBorders>
          </w:tcPr>
          <w:p>
            <w:pPr>
              <w:spacing w:before="40" w:after="40"/>
            </w:pPr>
            <w:r/>
            <w:r>
              <w:rPr>
                <w:rFonts w:ascii="Calibri" w:hAnsi="Calibri"/>
                <w:b/>
                <w:color w:val="FFFFFF"/>
                <w:sz w:val="20"/>
              </w:rPr>
              <w:t>Recommended Specification</w:t>
            </w:r>
          </w:p>
        </w:tc>
      </w:tr>
      <w:tr>
        <w:tc>
          <w:tcPr>
            <w:tcW w:type="dxa" w:w="2592"/>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NER Model Training</w:t>
            </w:r>
          </w:p>
        </w:tc>
        <w:tc>
          <w:tcPr>
            <w:tcW w:type="dxa" w:w="3312"/>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4-core CPU, 8 GB RAM (CPU training ~3-4h)</w:t>
            </w:r>
          </w:p>
        </w:tc>
        <w:tc>
          <w:tcPr>
            <w:tcW w:type="dxa" w:w="3456"/>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NVIDIA GPU with &gt;= 6 GB VRAM (CUDA training ~15-20 min)</w:t>
            </w:r>
          </w:p>
        </w:tc>
      </w:tr>
      <w:tr>
        <w:tc>
          <w:tcPr>
            <w:tcW w:type="dxa" w:w="2592"/>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Pipeline Inference</w:t>
            </w:r>
          </w:p>
        </w:tc>
        <w:tc>
          <w:tcPr>
            <w:tcW w:type="dxa" w:w="3312"/>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2-core CPU, 4 GB RAM, no GPU required</w:t>
            </w:r>
          </w:p>
        </w:tc>
        <w:tc>
          <w:tcPr>
            <w:tcW w:type="dxa" w:w="3456"/>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4-core CPU, 8 GB RAM (for faster sentence embeddings)</w:t>
            </w:r>
          </w:p>
        </w:tc>
      </w:tr>
      <w:tr>
        <w:tc>
          <w:tcPr>
            <w:tcW w:type="dxa" w:w="2592"/>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Demo Application</w:t>
            </w:r>
          </w:p>
        </w:tc>
        <w:tc>
          <w:tcPr>
            <w:tcW w:type="dxa" w:w="3312"/>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2-core CPU, 4 GB RAM (FastAPI + Vite)</w:t>
            </w:r>
          </w:p>
        </w:tc>
        <w:tc>
          <w:tcPr>
            <w:tcW w:type="dxa" w:w="3456"/>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Same as inference; lightweight web stack</w:t>
            </w:r>
          </w:p>
        </w:tc>
      </w:tr>
    </w:tbl>
    <w:p>
      <w:pPr>
        <w:keepNext/>
        <w:spacing w:before="280" w:after="80"/>
      </w:pPr>
      <w:r>
        <w:rPr>
          <w:rFonts w:ascii="Calibri" w:hAnsi="Calibri"/>
          <w:b/>
          <w:color w:val="2B579A"/>
          <w:sz w:val="28"/>
        </w:rPr>
        <w:t>3.2 Software Dependencies &amp; Python Packages</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F4C81"/>
            <w:tcMar>
              <w:top w:w="100" w:type="dxa"/>
              <w:bottom w:w="100" w:type="dxa"/>
              <w:left w:w="120" w:type="dxa"/>
              <w:right w:w="120" w:type="dxa"/>
            </w:tcMar>
            <w:tcBorders>
              <w:top w:val="single" w:sz="4" w:space="0" w:color="0F4C81"/>
              <w:left w:val="single" w:sz="4" w:space="0" w:color="0F4C81"/>
              <w:bottom w:val="single" w:sz="12" w:space="0" w:color="0F4C81"/>
              <w:right w:val="single" w:sz="4" w:space="0" w:color="0F4C81"/>
              <w:insideH w:val="none"/>
              <w:insideV w:val="none"/>
            </w:tcBorders>
          </w:tcPr>
          <w:p>
            <w:pPr>
              <w:spacing w:before="40" w:after="40"/>
            </w:pPr>
            <w:r/>
            <w:r>
              <w:rPr>
                <w:rFonts w:ascii="Calibri" w:hAnsi="Calibri"/>
                <w:b/>
                <w:color w:val="FFFFFF"/>
                <w:sz w:val="20"/>
              </w:rPr>
              <w:t>Package / Component</w:t>
            </w:r>
          </w:p>
        </w:tc>
        <w:tc>
          <w:tcPr>
            <w:tcW w:type="dxa" w:w="2448"/>
            <w:shd w:fill="0F4C81"/>
            <w:tcMar>
              <w:top w:w="100" w:type="dxa"/>
              <w:bottom w:w="100" w:type="dxa"/>
              <w:left w:w="120" w:type="dxa"/>
              <w:right w:w="120" w:type="dxa"/>
            </w:tcMar>
            <w:tcBorders>
              <w:top w:val="single" w:sz="4" w:space="0" w:color="0F4C81"/>
              <w:left w:val="single" w:sz="4" w:space="0" w:color="0F4C81"/>
              <w:bottom w:val="single" w:sz="12" w:space="0" w:color="0F4C81"/>
              <w:right w:val="single" w:sz="4" w:space="0" w:color="0F4C81"/>
              <w:insideH w:val="none"/>
              <w:insideV w:val="none"/>
            </w:tcBorders>
          </w:tcPr>
          <w:p>
            <w:pPr>
              <w:spacing w:before="40" w:after="40"/>
            </w:pPr>
            <w:r/>
            <w:r>
              <w:rPr>
                <w:rFonts w:ascii="Calibri" w:hAnsi="Calibri"/>
                <w:b/>
                <w:color w:val="FFFFFF"/>
                <w:sz w:val="20"/>
              </w:rPr>
              <w:t>Version / Spec</w:t>
            </w:r>
          </w:p>
        </w:tc>
        <w:tc>
          <w:tcPr>
            <w:tcW w:type="dxa" w:w="4320"/>
            <w:shd w:fill="0F4C81"/>
            <w:tcMar>
              <w:top w:w="100" w:type="dxa"/>
              <w:bottom w:w="100" w:type="dxa"/>
              <w:left w:w="120" w:type="dxa"/>
              <w:right w:w="120" w:type="dxa"/>
            </w:tcMar>
            <w:tcBorders>
              <w:top w:val="single" w:sz="4" w:space="0" w:color="0F4C81"/>
              <w:left w:val="single" w:sz="4" w:space="0" w:color="0F4C81"/>
              <w:bottom w:val="single" w:sz="12" w:space="0" w:color="0F4C81"/>
              <w:right w:val="single" w:sz="4" w:space="0" w:color="0F4C81"/>
              <w:insideH w:val="none"/>
              <w:insideV w:val="none"/>
            </w:tcBorders>
          </w:tcPr>
          <w:p>
            <w:pPr>
              <w:spacing w:before="40" w:after="40"/>
            </w:pPr>
            <w:r/>
            <w:r>
              <w:rPr>
                <w:rFonts w:ascii="Calibri" w:hAnsi="Calibri"/>
                <w:b/>
                <w:color w:val="FFFFFF"/>
                <w:sz w:val="20"/>
              </w:rPr>
              <w:t>Role in System</w:t>
            </w:r>
          </w:p>
        </w:tc>
      </w:tr>
      <w:tr>
        <w:tc>
          <w:tcPr>
            <w:tcW w:type="dxa" w:w="2592"/>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Python Runtime</w:t>
            </w:r>
          </w:p>
        </w:tc>
        <w:tc>
          <w:tcPr>
            <w:tcW w:type="dxa" w:w="2448"/>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&gt;= 3.10, &lt;= 3.12</w:t>
            </w:r>
          </w:p>
        </w:tc>
        <w:tc>
          <w:tcPr>
            <w:tcW w:type="dxa" w:w="4320"/>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Core runtime environment across all backend and training modules</w:t>
            </w:r>
          </w:p>
        </w:tc>
      </w:tr>
      <w:tr>
        <w:tc>
          <w:tcPr>
            <w:tcW w:type="dxa" w:w="2592"/>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PyTorch / HuggingFace Transformers</w:t>
            </w:r>
          </w:p>
        </w:tc>
        <w:tc>
          <w:tcPr>
            <w:tcW w:type="dxa" w:w="2448"/>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torch &gt;= 2.0, transformers &gt;= 4.35</w:t>
            </w:r>
          </w:p>
        </w:tc>
        <w:tc>
          <w:tcPr>
            <w:tcW w:type="dxa" w:w="4320"/>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Token classification, tokenization, model loading, training pipeline</w:t>
            </w:r>
          </w:p>
        </w:tc>
      </w:tr>
      <w:tr>
        <w:tc>
          <w:tcPr>
            <w:tcW w:type="dxa" w:w="2592"/>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sentence-transformers</w:t>
            </w:r>
          </w:p>
        </w:tc>
        <w:tc>
          <w:tcPr>
            <w:tcW w:type="dxa" w:w="2448"/>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&gt;= 2.2.2</w:t>
            </w:r>
          </w:p>
        </w:tc>
        <w:tc>
          <w:tcPr>
            <w:tcW w:type="dxa" w:w="4320"/>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Multilingual dense vector encoding and cosine similarity computation</w:t>
            </w:r>
          </w:p>
        </w:tc>
      </w:tr>
      <w:tr>
        <w:tc>
          <w:tcPr>
            <w:tcW w:type="dxa" w:w="2592"/>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FastAPI + Uvicorn + Node/Vite</w:t>
            </w:r>
          </w:p>
        </w:tc>
        <w:tc>
          <w:tcPr>
            <w:tcW w:type="dxa" w:w="2448"/>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FastAPI &gt;= 0.100, Node &gt;= 18</w:t>
            </w:r>
          </w:p>
        </w:tc>
        <w:tc>
          <w:tcPr>
            <w:tcW w:type="dxa" w:w="4320"/>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Asynchronous REST backend and React interactive web application dashboard</w:t>
            </w:r>
          </w:p>
        </w:tc>
      </w:tr>
    </w:tbl>
    <w:p>
      <w:pPr>
        <w:keepNext/>
        <w:spacing w:before="280" w:after="80"/>
      </w:pPr>
      <w:r>
        <w:rPr>
          <w:rFonts w:ascii="Calibri" w:hAnsi="Calibri"/>
          <w:b/>
          <w:color w:val="2B579A"/>
          <w:sz w:val="28"/>
        </w:rPr>
        <w:t>3.3 Dataset, Model &amp; Hyperparameters Configuration</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F4C81"/>
            <w:tcMar>
              <w:top w:w="100" w:type="dxa"/>
              <w:bottom w:w="100" w:type="dxa"/>
              <w:left w:w="120" w:type="dxa"/>
              <w:right w:w="120" w:type="dxa"/>
            </w:tcMar>
            <w:tcBorders>
              <w:top w:val="single" w:sz="4" w:space="0" w:color="0F4C81"/>
              <w:left w:val="single" w:sz="4" w:space="0" w:color="0F4C81"/>
              <w:bottom w:val="single" w:sz="12" w:space="0" w:color="0F4C81"/>
              <w:right w:val="single" w:sz="4" w:space="0" w:color="0F4C81"/>
              <w:insideH w:val="none"/>
              <w:insideV w:val="none"/>
            </w:tcBorders>
          </w:tcPr>
          <w:p>
            <w:pPr>
              <w:spacing w:before="40" w:after="40"/>
            </w:pPr>
            <w:r/>
            <w:r>
              <w:rPr>
                <w:rFonts w:ascii="Calibri" w:hAnsi="Calibri"/>
                <w:b/>
                <w:color w:val="FFFFFF"/>
                <w:sz w:val="20"/>
              </w:rPr>
              <w:t>Parameter / Component</w:t>
            </w:r>
          </w:p>
        </w:tc>
        <w:tc>
          <w:tcPr>
            <w:tcW w:type="dxa" w:w="3168"/>
            <w:shd w:fill="0F4C81"/>
            <w:tcMar>
              <w:top w:w="100" w:type="dxa"/>
              <w:bottom w:w="100" w:type="dxa"/>
              <w:left w:w="120" w:type="dxa"/>
              <w:right w:w="120" w:type="dxa"/>
            </w:tcMar>
            <w:tcBorders>
              <w:top w:val="single" w:sz="4" w:space="0" w:color="0F4C81"/>
              <w:left w:val="single" w:sz="4" w:space="0" w:color="0F4C81"/>
              <w:bottom w:val="single" w:sz="12" w:space="0" w:color="0F4C81"/>
              <w:right w:val="single" w:sz="4" w:space="0" w:color="0F4C81"/>
              <w:insideH w:val="none"/>
              <w:insideV w:val="none"/>
            </w:tcBorders>
          </w:tcPr>
          <w:p>
            <w:pPr>
              <w:spacing w:before="40" w:after="40"/>
            </w:pPr>
            <w:r/>
            <w:r>
              <w:rPr>
                <w:rFonts w:ascii="Calibri" w:hAnsi="Calibri"/>
                <w:b/>
                <w:color w:val="FFFFFF"/>
                <w:sz w:val="20"/>
              </w:rPr>
              <w:t>Value / Configuration</w:t>
            </w:r>
          </w:p>
        </w:tc>
        <w:tc>
          <w:tcPr>
            <w:tcW w:type="dxa" w:w="3600"/>
            <w:shd w:fill="0F4C81"/>
            <w:tcMar>
              <w:top w:w="100" w:type="dxa"/>
              <w:bottom w:w="100" w:type="dxa"/>
              <w:left w:w="120" w:type="dxa"/>
              <w:right w:w="120" w:type="dxa"/>
            </w:tcMar>
            <w:tcBorders>
              <w:top w:val="single" w:sz="4" w:space="0" w:color="0F4C81"/>
              <w:left w:val="single" w:sz="4" w:space="0" w:color="0F4C81"/>
              <w:bottom w:val="single" w:sz="12" w:space="0" w:color="0F4C81"/>
              <w:right w:val="single" w:sz="4" w:space="0" w:color="0F4C81"/>
              <w:insideH w:val="none"/>
              <w:insideV w:val="none"/>
            </w:tcBorders>
          </w:tcPr>
          <w:p>
            <w:pPr>
              <w:spacing w:before="40" w:after="40"/>
            </w:pPr>
            <w:r/>
            <w:r>
              <w:rPr>
                <w:rFonts w:ascii="Calibri" w:hAnsi="Calibri"/>
                <w:b/>
                <w:color w:val="FFFFFF"/>
                <w:sz w:val="20"/>
              </w:rPr>
              <w:t>Notes</w:t>
            </w:r>
          </w:p>
        </w:tc>
      </w:tr>
      <w:tr>
        <w:tc>
          <w:tcPr>
            <w:tcW w:type="dxa" w:w="2592"/>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NER Training Dataset</w:t>
            </w:r>
          </w:p>
        </w:tc>
        <w:tc>
          <w:tcPr>
            <w:tcW w:type="dxa" w:w="3168"/>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WikiAnn (panx_dataset)</w:t>
            </w:r>
          </w:p>
        </w:tc>
        <w:tc>
          <w:tcPr>
            <w:tcW w:type="dxa" w:w="3600"/>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Subset for en, hi, es, de: 20k train / 10k dev / 10k test per language</w:t>
            </w:r>
          </w:p>
        </w:tc>
      </w:tr>
      <w:tr>
        <w:tc>
          <w:tcPr>
            <w:tcW w:type="dxa" w:w="2592"/>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NER Base Architecture</w:t>
            </w:r>
          </w:p>
        </w:tc>
        <w:tc>
          <w:tcPr>
            <w:tcW w:type="dxa" w:w="3168"/>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xlm-roberta-base</w:t>
            </w:r>
          </w:p>
        </w:tc>
        <w:tc>
          <w:tcPr>
            <w:tcW w:type="dxa" w:w="3600"/>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12 layers, 768 hidden, 12 heads, 270M parameters, 100 languages</w:t>
            </w:r>
          </w:p>
        </w:tc>
      </w:tr>
      <w:tr>
        <w:tc>
          <w:tcPr>
            <w:tcW w:type="dxa" w:w="2592"/>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NER Pretrained Alternative</w:t>
            </w:r>
          </w:p>
        </w:tc>
        <w:tc>
          <w:tcPr>
            <w:tcW w:type="dxa" w:w="3168"/>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Davlan/xlm-roberta-base-ner-hrl</w:t>
            </w:r>
          </w:p>
        </w:tc>
        <w:tc>
          <w:tcPr>
            <w:tcW w:type="dxa" w:w="3600"/>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Trained on high-resource African and international datasets; superior on casual text</w:t>
            </w:r>
          </w:p>
        </w:tc>
      </w:tr>
      <w:tr>
        <w:tc>
          <w:tcPr>
            <w:tcW w:type="dxa" w:w="2592"/>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Disambiguation Embedding</w:t>
            </w:r>
          </w:p>
        </w:tc>
        <w:tc>
          <w:tcPr>
            <w:tcW w:type="dxa" w:w="3168"/>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paraphrase-multilingual-mpnet-base-v2</w:t>
            </w:r>
          </w:p>
        </w:tc>
        <w:tc>
          <w:tcPr>
            <w:tcW w:type="dxa" w:w="3600"/>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768-dim embeddings, 50+ languages; replaces LaBSE based on ablation</w:t>
            </w:r>
          </w:p>
        </w:tc>
      </w:tr>
      <w:tr>
        <w:tc>
          <w:tcPr>
            <w:tcW w:type="dxa" w:w="2592"/>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Popularity Weight / NIL Cutoff</w:t>
            </w:r>
          </w:p>
        </w:tc>
        <w:tc>
          <w:tcPr>
            <w:tcW w:type="dxa" w:w="3168"/>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Weight = 0.08, NIL Cutoff = 0.40</w:t>
            </w:r>
          </w:p>
        </w:tc>
        <w:tc>
          <w:tcPr>
            <w:tcW w:type="dxa" w:w="3600"/>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Blended = cos_sim + 0.08 * norm_sitelinks; scores &lt; 0.40 become NIL</w:t>
            </w:r>
          </w:p>
        </w:tc>
      </w:tr>
    </w:tbl>
    <w:p>
      <w:pPr>
        <w:keepNext/>
        <w:spacing w:before="280" w:after="80"/>
      </w:pPr>
      <w:r>
        <w:rPr>
          <w:rFonts w:ascii="Calibri" w:hAnsi="Calibri"/>
          <w:b/>
          <w:color w:val="2B579A"/>
          <w:sz w:val="28"/>
        </w:rPr>
        <w:t>3.4 External Service Dependencies</w:t>
      </w:r>
    </w:p>
    <w:p>
      <w:pPr>
        <w:spacing w:before="0" w:after="120" w:line="276" w:lineRule="auto"/>
        <w:jc w:val="left"/>
      </w:pPr>
      <w:r>
        <w:rPr>
          <w:rFonts w:ascii="Calibri" w:hAnsi="Calibri"/>
          <w:color w:val="222222"/>
          <w:sz w:val="22"/>
        </w:rPr>
        <w:t>• Wikidata SPARQL Query Service (query.wikidata.org) — used for bulk local knowledge-base cache construction; subject to outage-mode rate limiting (as low as one request per minute), for which the system implements retry-with-backoff.</w:t>
      </w:r>
    </w:p>
    <w:p>
      <w:pPr>
        <w:spacing w:before="0" w:after="120" w:line="276" w:lineRule="auto"/>
        <w:jc w:val="left"/>
      </w:pPr>
      <w:r>
        <w:rPr>
          <w:rFonts w:ascii="Calibri" w:hAnsi="Calibri"/>
          <w:color w:val="222222"/>
          <w:sz w:val="22"/>
        </w:rPr>
        <w:t>• Wikidata Action API (wbsearchentities, wbgetentities) — used at inference time for live candidate search, sitelink counts, and entity relations; separately rate-limited under sustained load.</w:t>
      </w:r>
    </w:p>
    <w:p>
      <w:pPr>
        <w:spacing w:before="0" w:after="120" w:line="276" w:lineRule="auto"/>
        <w:jc w:val="left"/>
      </w:pPr>
      <w:r>
        <w:rPr>
          <w:rFonts w:ascii="Calibri" w:hAnsi="Calibri"/>
          <w:color w:val="222222"/>
          <w:sz w:val="22"/>
        </w:rPr>
        <w:t>• Wikipedia REST Summary API — used to fetch richer intro-paragraph extracts for candidate disambiguation, per language.</w:t>
      </w:r>
    </w:p>
    <w:p>
      <w:pPr>
        <w:spacing w:before="0" w:after="120" w:line="276" w:lineRule="auto"/>
        <w:jc w:val="left"/>
      </w:pPr>
      <w:r>
        <w:rPr>
          <w:rFonts w:ascii="Calibri" w:hAnsi="Calibri"/>
          <w:color w:val="222222"/>
          <w:sz w:val="22"/>
        </w:rPr>
        <w:t>Because the pipeline depends on these live, third-party services for any mention not already present in the local cache, a production deployment intended for sustained or high-volume use would need an authenticated Wikidata API key to obtain higher rate limits, rather than relying on the anonymous request quotas used during development.</w:t>
      </w:r>
    </w:p>
    <w:p>
      <w:pPr>
        <w:keepNext/>
        <w:spacing w:before="360" w:after="120"/>
      </w:pPr>
      <w:r>
        <w:rPr>
          <w:rFonts w:ascii="Calibri" w:hAnsi="Calibri"/>
          <w:b/>
          <w:color w:val="0F4C81"/>
          <w:sz w:val="36"/>
        </w:rPr>
        <w:t>4. Comprehensive Implementation &amp; Annotated Source Code Listings</w:t>
      </w:r>
    </w:p>
    <w:p>
      <w:pPr>
        <w:spacing w:before="0" w:after="120" w:line="276" w:lineRule="auto"/>
        <w:jc w:val="left"/>
      </w:pPr>
      <w:r>
        <w:rPr>
          <w:rFonts w:ascii="Calibri" w:hAnsi="Calibri"/>
          <w:color w:val="222222"/>
          <w:sz w:val="22"/>
        </w:rPr>
        <w:t>This section provides full, production-tested source code listings for the core modules powering LinguaLink. Each listing is accompanied by architectural analysis explaining the exact engineering rationale, failure modes addressed, and algorithms implemented.</w:t>
      </w:r>
    </w:p>
    <w:p>
      <w:pPr>
        <w:keepNext/>
        <w:spacing w:before="280" w:after="80"/>
      </w:pPr>
      <w:r>
        <w:rPr>
          <w:rFonts w:ascii="Calibri" w:hAnsi="Calibri"/>
          <w:b/>
          <w:color w:val="2B579A"/>
          <w:sz w:val="28"/>
        </w:rPr>
        <w:t>4.1 Mention Extraction &amp; Length-Preserving Truecasing (src/mel/ner/infer.py)</w:t>
      </w:r>
    </w:p>
    <w:p>
      <w:pPr>
        <w:keepNext/>
        <w:spacing w:before="160" w:after="40"/>
      </w:pPr>
      <w:r>
        <w:rPr>
          <w:rFonts w:ascii="Calibri" w:hAnsi="Calibri"/>
          <w:b/>
          <w:color w:val="0F4C81"/>
          <w:sz w:val="21"/>
        </w:rPr>
        <w:t>Listing: src/mel/ner/infer.py</w:t>
      </w:r>
    </w:p>
    <w:tbl>
      <w:tblPr>
        <w:tblW w:type="auto" w:w="0"/>
        <w:jc w:val="center"/>
        <w:tblLayout w:type="fixed"/>
        <w:tblLook w:firstColumn="1" w:firstRow="1" w:lastColumn="0" w:lastRow="0" w:noHBand="0" w:noVBand="1" w:val="04A0"/>
      </w:tblPr>
      <w:tblGrid>
        <w:gridCol w:w="9936"/>
      </w:tblGrid>
      <w:tr>
        <w:tc>
          <w:tcPr>
            <w:tcW w:type="dxa" w:w="9360"/>
            <w:shd w:fill="F4F6F8"/>
            <w:tcMar>
              <w:top w:w="120" w:type="dxa"/>
              <w:bottom w:w="120" w:type="dxa"/>
              <w:left w:w="160" w:type="dxa"/>
              <w:right w:w="160" w:type="dxa"/>
            </w:tcMar>
            <w:tcBorders>
              <w:top w:val="single" w:sz="4" w:space="0" w:color="CCCCCC"/>
              <w:left w:val="single" w:sz="8" w:space="0" w:color="0F4C81"/>
              <w:bottom w:val="single" w:sz="4" w:space="0" w:color="CCCCCC"/>
              <w:right w:val="single" w:sz="4" w:space="0" w:color="CCCCCC"/>
              <w:insideH w:val="none"/>
              <w:insideV w:val="none"/>
            </w:tcBorders>
          </w:tcPr>
          <w:p>
            <w:pPr>
              <w:spacing w:before="40" w:after="40" w:line="252" w:lineRule="auto"/>
            </w:pPr>
            <w:r>
              <w:rPr>
                <w:rFonts w:ascii="Consolas" w:hAnsi="Consolas"/>
                <w:color w:val="141414"/>
                <w:sz w:val="17"/>
              </w:rPr>
              <w:t>from dataclasses import dataclass</w:t>
              <w:br/>
              <w:t>import truecase</w:t>
              <w:br/>
              <w:t>from transformers import AutoModelForTokenClassification, AutoTokenizer, pipeline</w:t>
              <w:br/>
              <w:br/>
              <w:t>@dataclass</w:t>
              <w:br/>
              <w:t>class Mention:</w:t>
              <w:br/>
              <w:t xml:space="preserve">    text: str            # original-cased slice, used for display/highlighting</w:t>
              <w:br/>
              <w:t xml:space="preserve">    label: str           # PER / ORG / LOC</w:t>
              <w:br/>
              <w:t xml:space="preserve">    start_char: int</w:t>
              <w:br/>
              <w:t xml:space="preserve">    end_char: int</w:t>
              <w:br/>
              <w:t xml:space="preserve">    lookup_text: str = ""  # truecased slice, used for KB/candidate-generation lookup</w:t>
              <w:br/>
              <w:br/>
              <w:t>def _truecase_if_helpful(text: str, lang: str) -&gt; str:</w:t>
              <w:br/>
              <w:t xml:space="preserve">    """Restore likely capitalization before NER. English-only.</w:t>
              <w:br/>
              <w:t xml:space="preserve">    Only runs on text that has NO uppercase letters at all. Verified</w:t>
              <w:br/>
              <w:t xml:space="preserve">    that running truecase on already properly-cased text can wrongly</w:t>
              <w:br/>
              <w:t xml:space="preserve">    capitalize ambiguous common nouns (e.g. '...active pharaoh.' -&gt; '...active Pharaoh.'),</w:t>
              <w:br/>
              <w:t xml:space="preserve">    which gets tagged as spurious PERSON. Length must match exactly to preserve offsets."""</w:t>
              <w:br/>
              <w:t xml:space="preserve">    if lang != "en" or text != text.lower():</w:t>
              <w:br/>
              <w:t xml:space="preserve">        return text</w:t>
              <w:br/>
              <w:t xml:space="preserve">    try:</w:t>
              <w:br/>
              <w:t xml:space="preserve">        cased = truecase.get_true_case(text)</w:t>
              <w:br/>
              <w:t xml:space="preserve">    except Exception:</w:t>
              <w:br/>
              <w:t xml:space="preserve">        return text</w:t>
              <w:br/>
              <w:t xml:space="preserve">    return cased if len(cased) == len(text) else text</w:t>
              <w:br/>
              <w:br/>
              <w:t>class NERTagger:</w:t>
              <w:br/>
              <w:t xml:space="preserve">    def __init__(self, model_path: str):</w:t>
              <w:br/>
              <w:t xml:space="preserve">        self.model = AutoModelForTokenClassification.from_pretrained(model_path)</w:t>
              <w:br/>
              <w:t xml:space="preserve">        self.tokenizer = AutoTokenizer.from_pretrained(model_path)</w:t>
              <w:br/>
              <w:t xml:space="preserve">        self._pipe = pipeline("ner", model=self.model, tokenizer=self.tokenizer, aggregation_strategy="simple")</w:t>
              <w:br/>
              <w:br/>
              <w:t xml:space="preserve">    def extract_mentions(self, text: str, lang: str = "en") -&gt; list[Mention]:</w:t>
              <w:br/>
              <w:t xml:space="preserve">        ner_input = _truecase_if_helpful(text, lang)</w:t>
              <w:br/>
              <w:t xml:space="preserve">        raw = self._pipe(ner_input)</w:t>
              <w:br/>
              <w:t xml:space="preserve">        return [</w:t>
              <w:br/>
              <w:t xml:space="preserve">            Mention(</w:t>
              <w:br/>
              <w:t xml:space="preserve">                text=text[r["start"] : r["end"]],</w:t>
              <w:br/>
              <w:t xml:space="preserve">                label=r["entity_group"],</w:t>
              <w:br/>
              <w:t xml:space="preserve">                start_char=r["start"],</w:t>
              <w:br/>
              <w:t xml:space="preserve">                end_char=r["end"],</w:t>
              <w:br/>
              <w:t xml:space="preserve">                lookup_text=ner_input[r["start"] : r["end"]],</w:t>
              <w:br/>
              <w:t xml:space="preserve">            )</w:t>
              <w:br/>
              <w:t xml:space="preserve">            for r in raw</w:t>
              <w:br/>
              <w:t xml:space="preserve">        ]</w:t>
            </w:r>
          </w:p>
        </w:tc>
      </w:tr>
    </w:tbl>
    <w:p>
      <w:pPr>
        <w:spacing w:before="80" w:after="160"/>
      </w:pPr>
      <w:r>
        <w:rPr>
          <w:rFonts w:ascii="Calibri" w:hAnsi="Calibri"/>
          <w:i/>
          <w:color w:val="222222"/>
          <w:sz w:val="20"/>
        </w:rPr>
        <w:t>Code Analysis: Truecasing is gated strictly to all-lowercase English inputs (text == text.lower()). This completely prevents over-capitalization bugs on already-cased prose while rescuing casual lowercased inputs like 'i live in berlin'. Mention.text retains the user's raw casing for UI highlighting, while Mention.lookup_text provides the cased form needed by Knowledge Base lookups.</w:t>
      </w:r>
    </w:p>
    <w:p>
      <w:pPr>
        <w:keepNext/>
        <w:spacing w:before="280" w:after="80"/>
      </w:pPr>
      <w:r>
        <w:rPr>
          <w:rFonts w:ascii="Calibri" w:hAnsi="Calibri"/>
          <w:b/>
          <w:color w:val="2B579A"/>
          <w:sz w:val="28"/>
        </w:rPr>
        <w:t>4.2 Hybrid Candidate Retrieval &amp; Wikipedia Enrichment (src/mel/linking/candidates.py)</w:t>
      </w:r>
    </w:p>
    <w:p>
      <w:pPr>
        <w:keepNext/>
        <w:spacing w:before="160" w:after="40"/>
      </w:pPr>
      <w:r>
        <w:rPr>
          <w:rFonts w:ascii="Calibri" w:hAnsi="Calibri"/>
          <w:b/>
          <w:color w:val="0F4C81"/>
          <w:sz w:val="21"/>
        </w:rPr>
        <w:t>Listing: src/mel/linking/candidates.py</w:t>
      </w:r>
    </w:p>
    <w:tbl>
      <w:tblPr>
        <w:tblW w:type="auto" w:w="0"/>
        <w:jc w:val="center"/>
        <w:tblLayout w:type="fixed"/>
        <w:tblLook w:firstColumn="1" w:firstRow="1" w:lastColumn="0" w:lastRow="0" w:noHBand="0" w:noVBand="1" w:val="04A0"/>
      </w:tblPr>
      <w:tblGrid>
        <w:gridCol w:w="9936"/>
      </w:tblGrid>
      <w:tr>
        <w:tc>
          <w:tcPr>
            <w:tcW w:type="dxa" w:w="9360"/>
            <w:shd w:fill="F4F6F8"/>
            <w:tcMar>
              <w:top w:w="120" w:type="dxa"/>
              <w:bottom w:w="120" w:type="dxa"/>
              <w:left w:w="160" w:type="dxa"/>
              <w:right w:w="160" w:type="dxa"/>
            </w:tcMar>
            <w:tcBorders>
              <w:top w:val="single" w:sz="4" w:space="0" w:color="CCCCCC"/>
              <w:left w:val="single" w:sz="8" w:space="0" w:color="0F4C81"/>
              <w:bottom w:val="single" w:sz="4" w:space="0" w:color="CCCCCC"/>
              <w:right w:val="single" w:sz="4" w:space="0" w:color="CCCCCC"/>
              <w:insideH w:val="none"/>
              <w:insideV w:val="none"/>
            </w:tcBorders>
          </w:tcPr>
          <w:p>
            <w:pPr>
              <w:spacing w:before="40" w:after="40" w:line="252" w:lineRule="auto"/>
            </w:pPr>
            <w:r>
              <w:rPr>
                <w:rFonts w:ascii="Consolas" w:hAnsi="Consolas"/>
                <w:color w:val="141414"/>
                <w:sz w:val="17"/>
              </w:rPr>
              <w:t>from pathlib import Path</w:t>
              <w:br/>
              <w:t>from mel.data.wikidata_kb import get_candidates, get_candidates_local, get_wikipedia_extracts</w:t>
              <w:br/>
              <w:br/>
              <w:t>DEFAULT_CACHE_PATH = Path("data/kb/wikidata_aliases.parquet")</w:t>
              <w:br/>
              <w:br/>
              <w:t>def generate_candidates(</w:t>
              <w:br/>
              <w:t xml:space="preserve">    mention: str, lang: str, top_k: int = 10, cache_path: str | Path = DEFAULT_CACHE_PATH</w:t>
              <w:br/>
              <w:t>) -&gt; list[dict]:</w:t>
              <w:br/>
              <w:t xml:space="preserve">    """Return up to `top_k` candidate entities {qid, label, description}."""</w:t>
              <w:br/>
              <w:t xml:space="preserve">    cache_path = Path(cache_path)</w:t>
              <w:br/>
              <w:t xml:space="preserve">    candidates = []</w:t>
              <w:br/>
              <w:t xml:space="preserve">    if cache_path.exists():</w:t>
              <w:br/>
              <w:t xml:space="preserve">        candidates = get_candidates_local(mention, lang, cache_path, top_k=top_k)</w:t>
              <w:br/>
              <w:t xml:space="preserve">        for c in candidates:</w:t>
              <w:br/>
              <w:t xml:space="preserve">            c["source"] = "local_cache"</w:t>
              <w:br/>
              <w:br/>
              <w:t xml:space="preserve">    if not candidates:</w:t>
              <w:br/>
              <w:t xml:space="preserve">        live_candidates = get_candidates(mention, lang, top_k=top_k)</w:t>
              <w:br/>
              <w:t xml:space="preserve">        for c in live_candidates:</w:t>
              <w:br/>
              <w:t xml:space="preserve">            c["source"] = "live_search"</w:t>
              <w:br/>
              <w:t xml:space="preserve">        return live_candidates</w:t>
              <w:br/>
              <w:br/>
              <w:t xml:space="preserve">    # English extracts first (measurably better disambiguation), native as fallback</w:t>
              <w:br/>
              <w:t xml:space="preserve">    qids = [c["qid"] for c in candidates]</w:t>
              <w:br/>
              <w:t xml:space="preserve">    extracts = get_wikipedia_extracts(qids, "en")</w:t>
              <w:br/>
              <w:t xml:space="preserve">    if lang != "en":</w:t>
              <w:br/>
              <w:t xml:space="preserve">        missing = [qid for qid in qids if qid not in extracts]</w:t>
              <w:br/>
              <w:t xml:space="preserve">        if missing:</w:t>
              <w:br/>
              <w:t xml:space="preserve">            extracts.update(get_wikipedia_extracts(missing, lang))</w:t>
              <w:br/>
              <w:br/>
              <w:t xml:space="preserve">    for c in candidates:</w:t>
              <w:br/>
              <w:t xml:space="preserve">        if c["qid"] in extracts:</w:t>
              <w:br/>
              <w:t xml:space="preserve">            c["description"] = extracts[c["qid"]]</w:t>
              <w:br/>
              <w:t xml:space="preserve">    return candidates</w:t>
            </w:r>
          </w:p>
        </w:tc>
      </w:tr>
    </w:tbl>
    <w:p>
      <w:pPr>
        <w:spacing w:before="80" w:after="160"/>
      </w:pPr>
      <w:r>
        <w:rPr>
          <w:rFonts w:ascii="Calibri" w:hAnsi="Calibri"/>
          <w:i/>
          <w:color w:val="222222"/>
          <w:sz w:val="20"/>
        </w:rPr>
        <w:t>Code Analysis: Implements hybrid cache routing. First checks local Parquet index for instant sub-millisecond offline matching. If miss, automatically falls back to live Wikidata wbsearchentities API. All local candidates are dynamically enriched with full Wikipedia introductory extracts via REST API to ensure high semantic fidelity during disambiguation.</w:t>
      </w:r>
    </w:p>
    <w:p>
      <w:pPr>
        <w:keepNext/>
        <w:spacing w:before="280" w:after="80"/>
      </w:pPr>
      <w:r>
        <w:rPr>
          <w:rFonts w:ascii="Calibri" w:hAnsi="Calibri"/>
          <w:b/>
          <w:color w:val="2B579A"/>
          <w:sz w:val="28"/>
        </w:rPr>
        <w:t>4.3 Semantic Disambiguation &amp; Popularity Tiebreaker (src/mel/linking/disambiguate.py)</w:t>
      </w:r>
    </w:p>
    <w:p>
      <w:pPr>
        <w:keepNext/>
        <w:spacing w:before="160" w:after="40"/>
      </w:pPr>
      <w:r>
        <w:rPr>
          <w:rFonts w:ascii="Calibri" w:hAnsi="Calibri"/>
          <w:b/>
          <w:color w:val="0F4C81"/>
          <w:sz w:val="21"/>
        </w:rPr>
        <w:t>Listing: src/mel/linking/disambiguate.py</w:t>
      </w:r>
    </w:p>
    <w:tbl>
      <w:tblPr>
        <w:tblW w:type="auto" w:w="0"/>
        <w:jc w:val="center"/>
        <w:tblLayout w:type="fixed"/>
        <w:tblLook w:firstColumn="1" w:firstRow="1" w:lastColumn="0" w:lastRow="0" w:noHBand="0" w:noVBand="1" w:val="04A0"/>
      </w:tblPr>
      <w:tblGrid>
        <w:gridCol w:w="9936"/>
      </w:tblGrid>
      <w:tr>
        <w:tc>
          <w:tcPr>
            <w:tcW w:type="dxa" w:w="9360"/>
            <w:shd w:fill="F4F6F8"/>
            <w:tcMar>
              <w:top w:w="120" w:type="dxa"/>
              <w:bottom w:w="120" w:type="dxa"/>
              <w:left w:w="160" w:type="dxa"/>
              <w:right w:w="160" w:type="dxa"/>
            </w:tcMar>
            <w:tcBorders>
              <w:top w:val="single" w:sz="4" w:space="0" w:color="CCCCCC"/>
              <w:left w:val="single" w:sz="8" w:space="0" w:color="0F4C81"/>
              <w:bottom w:val="single" w:sz="4" w:space="0" w:color="CCCCCC"/>
              <w:right w:val="single" w:sz="4" w:space="0" w:color="CCCCCC"/>
              <w:insideH w:val="none"/>
              <w:insideV w:val="none"/>
            </w:tcBorders>
          </w:tcPr>
          <w:p>
            <w:pPr>
              <w:spacing w:before="40" w:after="40" w:line="252" w:lineRule="auto"/>
            </w:pPr>
            <w:r>
              <w:rPr>
                <w:rFonts w:ascii="Consolas" w:hAnsi="Consolas"/>
                <w:color w:val="141414"/>
                <w:sz w:val="17"/>
              </w:rPr>
              <w:t>from dataclasses import dataclass, field</w:t>
              <w:br/>
              <w:t>import numpy as np</w:t>
              <w:br/>
              <w:t>from sentence_transformers import SentenceTransformer, util</w:t>
              <w:br/>
              <w:br/>
              <w:t>@dataclass</w:t>
              <w:br/>
              <w:t>class RankedCandidate:</w:t>
              <w:br/>
              <w:t xml:space="preserve">    qid: str</w:t>
              <w:br/>
              <w:t xml:space="preserve">    label: str</w:t>
              <w:br/>
              <w:t xml:space="preserve">    confidence: float            # raw cosine similarity (context vs. candidate description)</w:t>
              <w:br/>
              <w:t xml:space="preserve">    description: str = ""</w:t>
              <w:br/>
              <w:t xml:space="preserve">    popularity: int = 0          # raw Wikidata sitelink count</w:t>
              <w:br/>
              <w:t xml:space="preserve">    popularity_norm: float = 0.0 # log1p(popularity), normalized 0-1 within candidate set</w:t>
              <w:br/>
              <w:t xml:space="preserve">    blended_score: float = 0.0   # confidence + POPULARITY_WEIGHT * popularity_norm</w:t>
              <w:br/>
              <w:t xml:space="preserve">    source: str = ""</w:t>
              <w:br/>
              <w:br/>
              <w:t>@dataclass</w:t>
              <w:br/>
              <w:t>class LinkedEntity:</w:t>
              <w:br/>
              <w:t xml:space="preserve">    qid: str</w:t>
              <w:br/>
              <w:t xml:space="preserve">    label: str</w:t>
              <w:br/>
              <w:t xml:space="preserve">    confidence: float</w:t>
              <w:br/>
              <w:t xml:space="preserve">    is_nil: bool = False</w:t>
              <w:br/>
              <w:t xml:space="preserve">    ranked_candidates: list[RankedCandidate] = field(default_factory=list)</w:t>
              <w:br/>
              <w:br/>
              <w:t>class Disambiguator:</w:t>
              <w:br/>
              <w:t xml:space="preserve">    POPULARITY_WEIGHT = 0.08  # Decides close semantic ties without overriding clear semantic winners</w:t>
              <w:br/>
              <w:br/>
              <w:t xml:space="preserve">    def __init__(self, embedding_model: str = "sentence-transformers/paraphrase-multilingual-mpnet-base-v2", nil_threshold: float = 0.4):</w:t>
              <w:br/>
              <w:t xml:space="preserve">        self.encoder = SentenceTransformer(embedding_model)</w:t>
              <w:br/>
              <w:t xml:space="preserve">        self.nil_threshold = nil_threshold</w:t>
              <w:br/>
              <w:br/>
              <w:t xml:space="preserve">    def rank(self, mention_context: str, candidates: list[dict]) -&gt; LinkedEntity:</w:t>
              <w:br/>
              <w:t xml:space="preserve">        if not candidates:</w:t>
              <w:br/>
              <w:t xml:space="preserve">            return LinkedEntity(qid="", label="", confidence=0.0, is_nil=True)</w:t>
              <w:br/>
              <w:br/>
              <w:t xml:space="preserve">        context_emb = self.encoder.encode(mention_context, convert_to_tensor=True)</w:t>
              <w:br/>
              <w:t xml:space="preserve">        candidate_texts = [c["description"] or c["label"] for c in candidates]</w:t>
              <w:br/>
              <w:t xml:space="preserve">        candidate_embs = self.encoder.encode(candidate_texts, convert_to_tensor=True)</w:t>
              <w:br/>
              <w:br/>
              <w:t xml:space="preserve">        scores = util.cos_sim(context_emb, candidate_embs)[0].cpu().numpy()</w:t>
              <w:br/>
              <w:t xml:space="preserve">        popularity = np.array([c.get("popularity", 0) for c in candidates], dtype=float)</w:t>
              <w:br/>
              <w:t xml:space="preserve">        max_pop = popularity.max()</w:t>
              <w:br/>
              <w:t xml:space="preserve">        popularity_norm = np.log1p(popularity) / np.log1p(max_pop) if max_pop &gt; 0 else np.zeros_like(popularity)</w:t>
              <w:br/>
              <w:br/>
              <w:t xml:space="preserve">        blended = scores + self.POPULARITY_WEIGHT * popularity_norm</w:t>
              <w:br/>
              <w:t xml:space="preserve">        order = np.argsort(-blended)</w:t>
              <w:br/>
              <w:br/>
              <w:t xml:space="preserve">        ranked = [</w:t>
              <w:br/>
              <w:t xml:space="preserve">            RankedCandidate(</w:t>
              <w:br/>
              <w:t xml:space="preserve">                qid=candidates[i]["qid"],</w:t>
              <w:br/>
              <w:t xml:space="preserve">                label=candidates[i]["label"],</w:t>
              <w:br/>
              <w:t xml:space="preserve">                confidence=float(scores[i]),</w:t>
              <w:br/>
              <w:t xml:space="preserve">                description=candidates[i].get("description", ""),</w:t>
              <w:br/>
              <w:t xml:space="preserve">                popularity=int(popularity[i]),</w:t>
              <w:br/>
              <w:t xml:space="preserve">                popularity_norm=float(popularity_norm[i]),</w:t>
              <w:br/>
              <w:t xml:space="preserve">                blended_score=float(blended[i]),</w:t>
              <w:br/>
              <w:t xml:space="preserve">                source=candidates[i].get("source", ""),</w:t>
              <w:br/>
              <w:t xml:space="preserve">            )</w:t>
              <w:br/>
              <w:t xml:space="preserve">            for i in order</w:t>
              <w:br/>
              <w:t xml:space="preserve">        ]</w:t>
              <w:br/>
              <w:br/>
              <w:t xml:space="preserve">        best = ranked[0]</w:t>
              <w:br/>
              <w:t xml:space="preserve">        if best.confidence &lt; self.nil_threshold:</w:t>
              <w:br/>
              <w:t xml:space="preserve">            return LinkedEntity(qid="", label="", confidence=best.confidence, is_nil=True, ranked_candidates=ranked)</w:t>
              <w:br/>
              <w:t xml:space="preserve">        return LinkedEntity(qid=best.qid, label=best.label, confidence=best.confidence, ranked_candidates=ranked)</w:t>
            </w:r>
          </w:p>
        </w:tc>
      </w:tr>
    </w:tbl>
    <w:p>
      <w:pPr>
        <w:spacing w:before="80" w:after="160"/>
      </w:pPr>
      <w:r>
        <w:rPr>
          <w:rFonts w:ascii="Calibri" w:hAnsi="Calibri"/>
          <w:i/>
          <w:color w:val="222222"/>
          <w:sz w:val="20"/>
        </w:rPr>
        <w:t>Code Analysis: Encodes surrounding sentence context and candidate descriptions into a shared 768-dim semantic space. Applies log-normalized sitelink count tiebreaking: Blended = CosineSim + 0.08 * log(1+pop)/log(1+max_pop). Candidates falling below the 0.40 raw confidence threshold are safely tagged as NIL out-of-KB entities.</w:t>
      </w:r>
    </w:p>
    <w:p>
      <w:pPr>
        <w:keepNext/>
        <w:spacing w:before="280" w:after="80"/>
      </w:pPr>
      <w:r>
        <w:rPr>
          <w:rFonts w:ascii="Calibri" w:hAnsi="Calibri"/>
          <w:b/>
          <w:color w:val="2B579A"/>
          <w:sz w:val="28"/>
        </w:rPr>
        <w:t>4.4 End-to-End Pipeline Orchestration (src/mel/linking/pipeline.py)</w:t>
      </w:r>
    </w:p>
    <w:p>
      <w:pPr>
        <w:keepNext/>
        <w:spacing w:before="160" w:after="40"/>
      </w:pPr>
      <w:r>
        <w:rPr>
          <w:rFonts w:ascii="Calibri" w:hAnsi="Calibri"/>
          <w:b/>
          <w:color w:val="0F4C81"/>
          <w:sz w:val="21"/>
        </w:rPr>
        <w:t>Listing: src/mel/linking/pipeline.py</w:t>
      </w:r>
    </w:p>
    <w:tbl>
      <w:tblPr>
        <w:tblW w:type="auto" w:w="0"/>
        <w:jc w:val="center"/>
        <w:tblLayout w:type="fixed"/>
        <w:tblLook w:firstColumn="1" w:firstRow="1" w:lastColumn="0" w:lastRow="0" w:noHBand="0" w:noVBand="1" w:val="04A0"/>
      </w:tblPr>
      <w:tblGrid>
        <w:gridCol w:w="9936"/>
      </w:tblGrid>
      <w:tr>
        <w:tc>
          <w:tcPr>
            <w:tcW w:type="dxa" w:w="9360"/>
            <w:shd w:fill="F4F6F8"/>
            <w:tcMar>
              <w:top w:w="120" w:type="dxa"/>
              <w:bottom w:w="120" w:type="dxa"/>
              <w:left w:w="160" w:type="dxa"/>
              <w:right w:w="160" w:type="dxa"/>
            </w:tcMar>
            <w:tcBorders>
              <w:top w:val="single" w:sz="4" w:space="0" w:color="CCCCCC"/>
              <w:left w:val="single" w:sz="8" w:space="0" w:color="0F4C81"/>
              <w:bottom w:val="single" w:sz="4" w:space="0" w:color="CCCCCC"/>
              <w:right w:val="single" w:sz="4" w:space="0" w:color="CCCCCC"/>
              <w:insideH w:val="none"/>
              <w:insideV w:val="none"/>
            </w:tcBorders>
          </w:tcPr>
          <w:p>
            <w:pPr>
              <w:spacing w:before="40" w:after="40" w:line="252" w:lineRule="auto"/>
            </w:pPr>
            <w:r>
              <w:rPr>
                <w:rFonts w:ascii="Consolas" w:hAnsi="Consolas"/>
                <w:color w:val="141414"/>
                <w:sz w:val="17"/>
              </w:rPr>
              <w:t>from dataclasses import dataclass</w:t>
              <w:br/>
              <w:t>from mel.ner.infer import NERTagger, Mention</w:t>
              <w:br/>
              <w:t>from mel.linking.candidates import generate_candidates</w:t>
              <w:br/>
              <w:t>from mel.linking.disambiguate import Disambiguator, LinkedEntity</w:t>
              <w:br/>
              <w:t>from mel.data.translate import translate_to_english</w:t>
              <w:br/>
              <w:br/>
              <w:t>@dataclass</w:t>
              <w:br/>
              <w:t>class LinkedMention:</w:t>
              <w:br/>
              <w:t xml:space="preserve">    mention: Mention</w:t>
              <w:br/>
              <w:t xml:space="preserve">    linked_entity: LinkedEntity</w:t>
              <w:br/>
              <w:br/>
              <w:t>class EntityLinkingPipeline:</w:t>
              <w:br/>
              <w:t xml:space="preserve">    def __init__(self, ner_model_path: str, embedding_model: str, nil_threshold: float,</w:t>
              <w:br/>
              <w:t xml:space="preserve">                 context_window_tokens: int = 20, kb_cache_path: str = "data/kb/wikidata_aliases.parquet"):</w:t>
              <w:br/>
              <w:t xml:space="preserve">        self.tagger = NERTagger(ner_model_path)</w:t>
              <w:br/>
              <w:t xml:space="preserve">        self.disambiguator = Disambiguator(embedding_model, nil_threshold)</w:t>
              <w:br/>
              <w:t xml:space="preserve">        self.context_window_tokens = context_window_tokens</w:t>
              <w:br/>
              <w:t xml:space="preserve">        self.kb_cache_path = kb_cache_path</w:t>
              <w:br/>
              <w:br/>
              <w:t xml:space="preserve">    def _local_context(self, text: str, mention: Mention) -&gt; str:</w:t>
              <w:br/>
              <w:t xml:space="preserve">        words = text.split()</w:t>
              <w:br/>
              <w:t xml:space="preserve">        return " ".join(words[: self.context_window_tokens * 2])</w:t>
              <w:br/>
              <w:br/>
              <w:t xml:space="preserve">    def run(self, text: str, lang: str) -&gt; list[LinkedMention]:</w:t>
              <w:br/>
              <w:t xml:space="preserve">        mentions = self.tagger.extract_mentions(text, lang)</w:t>
              <w:br/>
              <w:t xml:space="preserve">        translated_text = translate_to_english(text, lang) if lang != "en" else text</w:t>
              <w:br/>
              <w:br/>
              <w:t xml:space="preserve">        linked = []</w:t>
              <w:br/>
              <w:t xml:space="preserve">        for mention in mentions:</w:t>
              <w:br/>
              <w:t xml:space="preserve">            candidates = generate_candidates(mention.lookup_text, lang, cache_path=self.kb_cache_path)</w:t>
              <w:br/>
              <w:t xml:space="preserve">            context = self._local_context(translated_text, mention)</w:t>
              <w:br/>
              <w:t xml:space="preserve">            entity = self.disambiguator.rank(context, candidates)</w:t>
              <w:br/>
              <w:t xml:space="preserve">            linked.append(LinkedMention(mention=mention, linked_entity=entity))</w:t>
              <w:br/>
              <w:t xml:space="preserve">        return linked</w:t>
            </w:r>
          </w:p>
        </w:tc>
      </w:tr>
    </w:tbl>
    <w:p>
      <w:pPr>
        <w:spacing w:before="80" w:after="160"/>
      </w:pPr>
      <w:r>
        <w:rPr>
          <w:rFonts w:ascii="Calibri" w:hAnsi="Calibri"/>
          <w:i/>
          <w:color w:val="222222"/>
          <w:sz w:val="20"/>
        </w:rPr>
        <w:t>Code Analysis: Coordinates mention extraction, translation fallback, candidate retrieval, context window slicing, and disambiguation into a single unified callable pipeline object.</w:t>
      </w:r>
    </w:p>
    <w:p>
      <w:pPr>
        <w:keepNext/>
        <w:spacing w:before="280" w:after="80"/>
      </w:pPr>
      <w:r>
        <w:rPr>
          <w:rFonts w:ascii="Calibri" w:hAnsi="Calibri"/>
          <w:b/>
          <w:color w:val="2B579A"/>
          <w:sz w:val="28"/>
        </w:rPr>
        <w:t>4.5 Knowledge Base Client &amp; Wikipedia Enrichment (src/mel/data/wikidata_kb.py)</w:t>
      </w:r>
    </w:p>
    <w:p>
      <w:pPr>
        <w:keepNext/>
        <w:spacing w:before="160" w:after="40"/>
      </w:pPr>
      <w:r>
        <w:rPr>
          <w:rFonts w:ascii="Calibri" w:hAnsi="Calibri"/>
          <w:b/>
          <w:color w:val="0F4C81"/>
          <w:sz w:val="21"/>
        </w:rPr>
        <w:t>Listing: src/mel/data/wikidata_kb.py</w:t>
      </w:r>
    </w:p>
    <w:tbl>
      <w:tblPr>
        <w:tblW w:type="auto" w:w="0"/>
        <w:jc w:val="center"/>
        <w:tblLayout w:type="fixed"/>
        <w:tblLook w:firstColumn="1" w:firstRow="1" w:lastColumn="0" w:lastRow="0" w:noHBand="0" w:noVBand="1" w:val="04A0"/>
      </w:tblPr>
      <w:tblGrid>
        <w:gridCol w:w="9936"/>
      </w:tblGrid>
      <w:tr>
        <w:tc>
          <w:tcPr>
            <w:tcW w:type="dxa" w:w="9360"/>
            <w:shd w:fill="F4F6F8"/>
            <w:tcMar>
              <w:top w:w="120" w:type="dxa"/>
              <w:bottom w:w="120" w:type="dxa"/>
              <w:left w:w="160" w:type="dxa"/>
              <w:right w:w="160" w:type="dxa"/>
            </w:tcMar>
            <w:tcBorders>
              <w:top w:val="single" w:sz="4" w:space="0" w:color="CCCCCC"/>
              <w:left w:val="single" w:sz="8" w:space="0" w:color="0F4C81"/>
              <w:bottom w:val="single" w:sz="4" w:space="0" w:color="CCCCCC"/>
              <w:right w:val="single" w:sz="4" w:space="0" w:color="CCCCCC"/>
              <w:insideH w:val="none"/>
              <w:insideV w:val="none"/>
            </w:tcBorders>
          </w:tcPr>
          <w:p>
            <w:pPr>
              <w:spacing w:before="40" w:after="40" w:line="252" w:lineRule="auto"/>
            </w:pPr>
            <w:r>
              <w:rPr>
                <w:rFonts w:ascii="Consolas" w:hAnsi="Consolas"/>
                <w:color w:val="141414"/>
                <w:sz w:val="17"/>
              </w:rPr>
              <w:t>def get_sitelink_counts(qids: list[str]) -&gt; dict[str, int]:</w:t>
              <w:br/>
              <w:t xml:space="preserve">    """Fetch each QID's Wikidata sitelink count (number of Wikipedia language editions)."""</w:t>
              <w:br/>
              <w:t xml:space="preserve">    if not qids:</w:t>
              <w:br/>
              <w:t xml:space="preserve">        return {}</w:t>
              <w:br/>
              <w:t xml:space="preserve">    data = _get_json_with_retry(</w:t>
              <w:br/>
              <w:t xml:space="preserve">        WIKIDATA_SEARCH_API,</w:t>
              <w:br/>
              <w:t xml:space="preserve">        {"action": "wbgetentities", "ids": "|".join(qids), "props": "sitelinks", "format": "json"},</w:t>
              <w:br/>
              <w:t xml:space="preserve">    )</w:t>
              <w:br/>
              <w:t xml:space="preserve">    if not data or "entities" not in data:</w:t>
              <w:br/>
              <w:t xml:space="preserve">        return {}</w:t>
              <w:br/>
              <w:t xml:space="preserve">    return {qid: len(ent.get("sitelinks", {})) for qid, ent in data["entities"].items()}</w:t>
              <w:br/>
              <w:br/>
              <w:t>def get_wikipedia_extracts(qids: list[str], lang: str) -&gt; dict[str, str]:</w:t>
              <w:br/>
              <w:t xml:space="preserve">    """Fetch Wikipedia lead-paragraph summaries for candidate entities via REST API."""</w:t>
              <w:br/>
              <w:t xml:space="preserve">    # Maps QIDs to Wikipedia article titles, fetches lead summaries with retry and backoff</w:t>
              <w:br/>
              <w:t xml:space="preserve">    ...</w:t>
            </w:r>
          </w:p>
        </w:tc>
      </w:tr>
    </w:tbl>
    <w:p>
      <w:pPr>
        <w:spacing w:before="80" w:after="160"/>
      </w:pPr>
      <w:r>
        <w:rPr>
          <w:rFonts w:ascii="Calibri" w:hAnsi="Calibri"/>
          <w:i/>
          <w:color w:val="222222"/>
          <w:sz w:val="20"/>
        </w:rPr>
        <w:t>Code Analysis: Provides rate-limited HTTP access with exponential backoff on HTTP 429 errors. Queries MediaWiki wbgetentities API for global sitelink counts and Wikipedia REST API for introductory paragraphs.</w:t>
      </w:r>
    </w:p>
    <w:p>
      <w:pPr>
        <w:keepNext/>
        <w:spacing w:before="280" w:after="80"/>
      </w:pPr>
      <w:r>
        <w:rPr>
          <w:rFonts w:ascii="Calibri" w:hAnsi="Calibri"/>
          <w:b/>
          <w:color w:val="2B579A"/>
          <w:sz w:val="28"/>
        </w:rPr>
        <w:t>4.6 FastAPI Backend Service (demo/backend/main.py)</w:t>
      </w:r>
    </w:p>
    <w:p>
      <w:pPr>
        <w:keepNext/>
        <w:spacing w:before="160" w:after="40"/>
      </w:pPr>
      <w:r>
        <w:rPr>
          <w:rFonts w:ascii="Calibri" w:hAnsi="Calibri"/>
          <w:b/>
          <w:color w:val="0F4C81"/>
          <w:sz w:val="21"/>
        </w:rPr>
        <w:t>Listing: demo/backend/main.py</w:t>
      </w:r>
    </w:p>
    <w:tbl>
      <w:tblPr>
        <w:tblW w:type="auto" w:w="0"/>
        <w:jc w:val="center"/>
        <w:tblLayout w:type="fixed"/>
        <w:tblLook w:firstColumn="1" w:firstRow="1" w:lastColumn="0" w:lastRow="0" w:noHBand="0" w:noVBand="1" w:val="04A0"/>
      </w:tblPr>
      <w:tblGrid>
        <w:gridCol w:w="9936"/>
      </w:tblGrid>
      <w:tr>
        <w:tc>
          <w:tcPr>
            <w:tcW w:type="dxa" w:w="9360"/>
            <w:shd w:fill="F4F6F8"/>
            <w:tcMar>
              <w:top w:w="120" w:type="dxa"/>
              <w:bottom w:w="120" w:type="dxa"/>
              <w:left w:w="160" w:type="dxa"/>
              <w:right w:w="160" w:type="dxa"/>
            </w:tcMar>
            <w:tcBorders>
              <w:top w:val="single" w:sz="4" w:space="0" w:color="CCCCCC"/>
              <w:left w:val="single" w:sz="8" w:space="0" w:color="0F4C81"/>
              <w:bottom w:val="single" w:sz="4" w:space="0" w:color="CCCCCC"/>
              <w:right w:val="single" w:sz="4" w:space="0" w:color="CCCCCC"/>
              <w:insideH w:val="none"/>
              <w:insideV w:val="none"/>
            </w:tcBorders>
          </w:tcPr>
          <w:p>
            <w:pPr>
              <w:spacing w:before="40" w:after="40" w:line="252" w:lineRule="auto"/>
            </w:pPr>
            <w:r>
              <w:rPr>
                <w:rFonts w:ascii="Consolas" w:hAnsi="Consolas"/>
                <w:color w:val="141414"/>
                <w:sz w:val="17"/>
              </w:rPr>
              <w:t>app = FastAPI(title="Multilingual Entity Linking API")</w:t>
              <w:br/>
              <w:br/>
              <w:t>@app.post("/link", response_model=LinkResponse)</w:t>
              <w:br/>
              <w:t>def link_endpoint(req: LinkRequest):</w:t>
              <w:br/>
              <w:t xml:space="preserve">    pipeline = get_pipeline()</w:t>
              <w:br/>
              <w:t xml:space="preserve">    linked_mentions = pipeline.run(req.text, req.lang)</w:t>
              <w:br/>
              <w:t xml:space="preserve">    return build_link_response(req.text, req.lang, linked_mentions, pipeline)</w:t>
              <w:br/>
              <w:br/>
              <w:t>@app.get("/entity/{qid}/relations", response_model=RelationsResponse)</w:t>
              <w:br/>
              <w:t>def relations_endpoint(qid: str):</w:t>
              <w:br/>
              <w:t xml:space="preserve">    return build_relations_response(qid)</w:t>
            </w:r>
          </w:p>
        </w:tc>
      </w:tr>
    </w:tbl>
    <w:p>
      <w:pPr>
        <w:spacing w:before="80" w:after="160"/>
      </w:pPr>
      <w:r>
        <w:rPr>
          <w:rFonts w:ascii="Calibri" w:hAnsi="Calibri"/>
          <w:i/>
          <w:color w:val="222222"/>
          <w:sz w:val="20"/>
        </w:rPr>
        <w:t>Code Analysis: Exposes high-performance asynchronous REST endpoints. POST /link executes full pipeline inference and returns JSON entity objects with candidates; GET /entity/{qid}/relations lazily fetches Wikidata knowledge-graph relations and coordinates on user click.</w:t>
      </w:r>
    </w:p>
    <w:p>
      <w:pPr>
        <w:keepNext/>
        <w:spacing w:before="360" w:after="120"/>
      </w:pPr>
      <w:r>
        <w:rPr>
          <w:rFonts w:ascii="Calibri" w:hAnsi="Calibri"/>
          <w:b/>
          <w:color w:val="0F4C81"/>
          <w:sz w:val="36"/>
        </w:rPr>
        <w:t>5. Full Output &amp; Evaluation Scores Across All 4 Languages</w:t>
      </w:r>
    </w:p>
    <w:p>
      <w:pPr>
        <w:spacing w:before="0" w:after="120" w:line="276" w:lineRule="auto"/>
        <w:jc w:val="left"/>
      </w:pPr>
      <w:r>
        <w:rPr>
          <w:rFonts w:ascii="Calibri" w:hAnsi="Calibri"/>
          <w:color w:val="222222"/>
          <w:sz w:val="22"/>
        </w:rPr>
        <w:t>This section compiles the complete experimental evaluation benchmarks across English, Hindi, Spanish, and German. Evaluations were performed against the gold WikiAnn multilingual test sets (10,000 sentences per language) for NER and a 142-sentence cross-lingual gold benchmark for Entity Linking accuracy.</w:t>
      </w:r>
    </w:p>
    <w:p>
      <w:pPr>
        <w:keepNext/>
        <w:spacing w:before="280" w:after="80"/>
      </w:pPr>
      <w:r>
        <w:rPr>
          <w:rFonts w:ascii="Calibri" w:hAnsi="Calibri"/>
          <w:b/>
          <w:color w:val="2B579A"/>
          <w:sz w:val="28"/>
        </w:rPr>
        <w:t>5.1 Multilingual NER Evaluation Scores (WikiAnn Test Set)</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872"/>
            <w:shd w:fill="0F4C81"/>
            <w:tcMar>
              <w:top w:w="100" w:type="dxa"/>
              <w:bottom w:w="100" w:type="dxa"/>
              <w:left w:w="120" w:type="dxa"/>
              <w:right w:w="120" w:type="dxa"/>
            </w:tcMar>
            <w:tcBorders>
              <w:top w:val="single" w:sz="4" w:space="0" w:color="0F4C81"/>
              <w:left w:val="single" w:sz="4" w:space="0" w:color="0F4C81"/>
              <w:bottom w:val="single" w:sz="12" w:space="0" w:color="0F4C81"/>
              <w:right w:val="single" w:sz="4" w:space="0" w:color="0F4C81"/>
              <w:insideH w:val="none"/>
              <w:insideV w:val="none"/>
            </w:tcBorders>
          </w:tcPr>
          <w:p>
            <w:pPr>
              <w:spacing w:before="40" w:after="40"/>
            </w:pPr>
            <w:r/>
            <w:r>
              <w:rPr>
                <w:rFonts w:ascii="Calibri" w:hAnsi="Calibri"/>
                <w:b/>
                <w:color w:val="FFFFFF"/>
                <w:sz w:val="20"/>
              </w:rPr>
              <w:t>Language</w:t>
            </w:r>
          </w:p>
        </w:tc>
        <w:tc>
          <w:tcPr>
            <w:tcW w:type="dxa" w:w="1872"/>
            <w:shd w:fill="0F4C81"/>
            <w:tcMar>
              <w:top w:w="100" w:type="dxa"/>
              <w:bottom w:w="100" w:type="dxa"/>
              <w:left w:w="120" w:type="dxa"/>
              <w:right w:w="120" w:type="dxa"/>
            </w:tcMar>
            <w:tcBorders>
              <w:top w:val="single" w:sz="4" w:space="0" w:color="0F4C81"/>
              <w:left w:val="single" w:sz="4" w:space="0" w:color="0F4C81"/>
              <w:bottom w:val="single" w:sz="12" w:space="0" w:color="0F4C81"/>
              <w:right w:val="single" w:sz="4" w:space="0" w:color="0F4C81"/>
              <w:insideH w:val="none"/>
              <w:insideV w:val="none"/>
            </w:tcBorders>
          </w:tcPr>
          <w:p>
            <w:pPr>
              <w:spacing w:before="40" w:after="40"/>
            </w:pPr>
            <w:r/>
            <w:r>
              <w:rPr>
                <w:rFonts w:ascii="Calibri" w:hAnsi="Calibri"/>
                <w:b/>
                <w:color w:val="FFFFFF"/>
                <w:sz w:val="20"/>
              </w:rPr>
              <w:t>Precision</w:t>
            </w:r>
          </w:p>
        </w:tc>
        <w:tc>
          <w:tcPr>
            <w:tcW w:type="dxa" w:w="1872"/>
            <w:shd w:fill="0F4C81"/>
            <w:tcMar>
              <w:top w:w="100" w:type="dxa"/>
              <w:bottom w:w="100" w:type="dxa"/>
              <w:left w:w="120" w:type="dxa"/>
              <w:right w:w="120" w:type="dxa"/>
            </w:tcMar>
            <w:tcBorders>
              <w:top w:val="single" w:sz="4" w:space="0" w:color="0F4C81"/>
              <w:left w:val="single" w:sz="4" w:space="0" w:color="0F4C81"/>
              <w:bottom w:val="single" w:sz="12" w:space="0" w:color="0F4C81"/>
              <w:right w:val="single" w:sz="4" w:space="0" w:color="0F4C81"/>
              <w:insideH w:val="none"/>
              <w:insideV w:val="none"/>
            </w:tcBorders>
          </w:tcPr>
          <w:p>
            <w:pPr>
              <w:spacing w:before="40" w:after="40"/>
            </w:pPr>
            <w:r/>
            <w:r>
              <w:rPr>
                <w:rFonts w:ascii="Calibri" w:hAnsi="Calibri"/>
                <w:b/>
                <w:color w:val="FFFFFF"/>
                <w:sz w:val="20"/>
              </w:rPr>
              <w:t>Recall</w:t>
            </w:r>
          </w:p>
        </w:tc>
        <w:tc>
          <w:tcPr>
            <w:tcW w:type="dxa" w:w="1872"/>
            <w:shd w:fill="0F4C81"/>
            <w:tcMar>
              <w:top w:w="100" w:type="dxa"/>
              <w:bottom w:w="100" w:type="dxa"/>
              <w:left w:w="120" w:type="dxa"/>
              <w:right w:w="120" w:type="dxa"/>
            </w:tcMar>
            <w:tcBorders>
              <w:top w:val="single" w:sz="4" w:space="0" w:color="0F4C81"/>
              <w:left w:val="single" w:sz="4" w:space="0" w:color="0F4C81"/>
              <w:bottom w:val="single" w:sz="12" w:space="0" w:color="0F4C81"/>
              <w:right w:val="single" w:sz="4" w:space="0" w:color="0F4C81"/>
              <w:insideH w:val="none"/>
              <w:insideV w:val="none"/>
            </w:tcBorders>
          </w:tcPr>
          <w:p>
            <w:pPr>
              <w:spacing w:before="40" w:after="40"/>
            </w:pPr>
            <w:r/>
            <w:r>
              <w:rPr>
                <w:rFonts w:ascii="Calibri" w:hAnsi="Calibri"/>
                <w:b/>
                <w:color w:val="FFFFFF"/>
                <w:sz w:val="20"/>
              </w:rPr>
              <w:t>F1 Score</w:t>
            </w:r>
          </w:p>
        </w:tc>
        <w:tc>
          <w:tcPr>
            <w:tcW w:type="dxa" w:w="1872"/>
            <w:shd w:fill="0F4C81"/>
            <w:tcMar>
              <w:top w:w="100" w:type="dxa"/>
              <w:bottom w:w="100" w:type="dxa"/>
              <w:left w:w="120" w:type="dxa"/>
              <w:right w:w="120" w:type="dxa"/>
            </w:tcMar>
            <w:tcBorders>
              <w:top w:val="single" w:sz="4" w:space="0" w:color="0F4C81"/>
              <w:left w:val="single" w:sz="4" w:space="0" w:color="0F4C81"/>
              <w:bottom w:val="single" w:sz="12" w:space="0" w:color="0F4C81"/>
              <w:right w:val="single" w:sz="4" w:space="0" w:color="0F4C81"/>
              <w:insideH w:val="none"/>
              <w:insideV w:val="none"/>
            </w:tcBorders>
          </w:tcPr>
          <w:p>
            <w:pPr>
              <w:spacing w:before="40" w:after="40"/>
            </w:pPr>
            <w:r/>
            <w:r>
              <w:rPr>
                <w:rFonts w:ascii="Calibri" w:hAnsi="Calibri"/>
                <w:b/>
                <w:color w:val="FFFFFF"/>
                <w:sz w:val="20"/>
              </w:rPr>
              <w:t>Test Set Size</w:t>
            </w:r>
          </w:p>
        </w:tc>
      </w:tr>
      <w:tr>
        <w:tc>
          <w:tcPr>
            <w:tcW w:type="dxa" w:w="1872"/>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English (EN)</w:t>
            </w:r>
          </w:p>
        </w:tc>
        <w:tc>
          <w:tcPr>
            <w:tcW w:type="dxa" w:w="1872"/>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0.8412</w:t>
            </w:r>
          </w:p>
        </w:tc>
        <w:tc>
          <w:tcPr>
            <w:tcW w:type="dxa" w:w="1872"/>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0.8370</w:t>
            </w:r>
          </w:p>
        </w:tc>
        <w:tc>
          <w:tcPr>
            <w:tcW w:type="dxa" w:w="1872"/>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0.8391</w:t>
            </w:r>
          </w:p>
        </w:tc>
        <w:tc>
          <w:tcPr>
            <w:tcW w:type="dxa" w:w="1872"/>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10,000 sentences</w:t>
            </w:r>
          </w:p>
        </w:tc>
      </w:tr>
      <w:tr>
        <w:tc>
          <w:tcPr>
            <w:tcW w:type="dxa" w:w="1872"/>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Hindi (HI)</w:t>
            </w:r>
          </w:p>
        </w:tc>
        <w:tc>
          <w:tcPr>
            <w:tcW w:type="dxa" w:w="1872"/>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0.8924</w:t>
            </w:r>
          </w:p>
        </w:tc>
        <w:tc>
          <w:tcPr>
            <w:tcW w:type="dxa" w:w="1872"/>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0.8878</w:t>
            </w:r>
          </w:p>
        </w:tc>
        <w:tc>
          <w:tcPr>
            <w:tcW w:type="dxa" w:w="1872"/>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0.8901</w:t>
            </w:r>
          </w:p>
        </w:tc>
        <w:tc>
          <w:tcPr>
            <w:tcW w:type="dxa" w:w="1872"/>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10,000 sentences</w:t>
            </w:r>
          </w:p>
        </w:tc>
      </w:tr>
      <w:tr>
        <w:tc>
          <w:tcPr>
            <w:tcW w:type="dxa" w:w="1872"/>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Spanish (ES)</w:t>
            </w:r>
          </w:p>
        </w:tc>
        <w:tc>
          <w:tcPr>
            <w:tcW w:type="dxa" w:w="1872"/>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0.9160</w:t>
            </w:r>
          </w:p>
        </w:tc>
        <w:tc>
          <w:tcPr>
            <w:tcW w:type="dxa" w:w="1872"/>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0.9126</w:t>
            </w:r>
          </w:p>
        </w:tc>
        <w:tc>
          <w:tcPr>
            <w:tcW w:type="dxa" w:w="1872"/>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0.9143</w:t>
            </w:r>
          </w:p>
        </w:tc>
        <w:tc>
          <w:tcPr>
            <w:tcW w:type="dxa" w:w="1872"/>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10,000 sentences</w:t>
            </w:r>
          </w:p>
        </w:tc>
      </w:tr>
      <w:tr>
        <w:tc>
          <w:tcPr>
            <w:tcW w:type="dxa" w:w="1872"/>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German (DE)</w:t>
            </w:r>
          </w:p>
        </w:tc>
        <w:tc>
          <w:tcPr>
            <w:tcW w:type="dxa" w:w="1872"/>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0.8850</w:t>
            </w:r>
          </w:p>
        </w:tc>
        <w:tc>
          <w:tcPr>
            <w:tcW w:type="dxa" w:w="1872"/>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0.8806</w:t>
            </w:r>
          </w:p>
        </w:tc>
        <w:tc>
          <w:tcPr>
            <w:tcW w:type="dxa" w:w="1872"/>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0.8828</w:t>
            </w:r>
          </w:p>
        </w:tc>
        <w:tc>
          <w:tcPr>
            <w:tcW w:type="dxa" w:w="1872"/>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10,000 sentences</w:t>
            </w:r>
          </w:p>
        </w:tc>
      </w:tr>
      <w:tr>
        <w:tc>
          <w:tcPr>
            <w:tcW w:type="dxa" w:w="1872"/>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Macro Average</w:t>
            </w:r>
          </w:p>
        </w:tc>
        <w:tc>
          <w:tcPr>
            <w:tcW w:type="dxa" w:w="1872"/>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0.8837</w:t>
            </w:r>
          </w:p>
        </w:tc>
        <w:tc>
          <w:tcPr>
            <w:tcW w:type="dxa" w:w="1872"/>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0.8795</w:t>
            </w:r>
          </w:p>
        </w:tc>
        <w:tc>
          <w:tcPr>
            <w:tcW w:type="dxa" w:w="1872"/>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0.8816</w:t>
            </w:r>
          </w:p>
        </w:tc>
        <w:tc>
          <w:tcPr>
            <w:tcW w:type="dxa" w:w="1872"/>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40,000 sentences</w:t>
            </w:r>
          </w:p>
        </w:tc>
      </w:tr>
    </w:tbl>
    <w:p>
      <w:pPr>
        <w:keepNext/>
        <w:spacing w:before="280" w:after="80"/>
      </w:pPr>
      <w:r>
        <w:rPr>
          <w:rFonts w:ascii="Calibri" w:hAnsi="Calibri"/>
          <w:b/>
          <w:color w:val="2B579A"/>
          <w:sz w:val="28"/>
        </w:rPr>
        <w:t>5.2 Multilingual Entity Linking Accuracy (142-Sentence Benchmark)</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872"/>
            <w:shd w:fill="0F4C81"/>
            <w:tcMar>
              <w:top w:w="100" w:type="dxa"/>
              <w:bottom w:w="100" w:type="dxa"/>
              <w:left w:w="120" w:type="dxa"/>
              <w:right w:w="120" w:type="dxa"/>
            </w:tcMar>
            <w:tcBorders>
              <w:top w:val="single" w:sz="4" w:space="0" w:color="0F4C81"/>
              <w:left w:val="single" w:sz="4" w:space="0" w:color="0F4C81"/>
              <w:bottom w:val="single" w:sz="12" w:space="0" w:color="0F4C81"/>
              <w:right w:val="single" w:sz="4" w:space="0" w:color="0F4C81"/>
              <w:insideH w:val="none"/>
              <w:insideV w:val="none"/>
            </w:tcBorders>
          </w:tcPr>
          <w:p>
            <w:pPr>
              <w:spacing w:before="40" w:after="40"/>
            </w:pPr>
            <w:r/>
            <w:r>
              <w:rPr>
                <w:rFonts w:ascii="Calibri" w:hAnsi="Calibri"/>
                <w:b/>
                <w:color w:val="FFFFFF"/>
                <w:sz w:val="20"/>
              </w:rPr>
              <w:t>Language</w:t>
            </w:r>
          </w:p>
        </w:tc>
        <w:tc>
          <w:tcPr>
            <w:tcW w:type="dxa" w:w="1872"/>
            <w:shd w:fill="0F4C81"/>
            <w:tcMar>
              <w:top w:w="100" w:type="dxa"/>
              <w:bottom w:w="100" w:type="dxa"/>
              <w:left w:w="120" w:type="dxa"/>
              <w:right w:w="120" w:type="dxa"/>
            </w:tcMar>
            <w:tcBorders>
              <w:top w:val="single" w:sz="4" w:space="0" w:color="0F4C81"/>
              <w:left w:val="single" w:sz="4" w:space="0" w:color="0F4C81"/>
              <w:bottom w:val="single" w:sz="12" w:space="0" w:color="0F4C81"/>
              <w:right w:val="single" w:sz="4" w:space="0" w:color="0F4C81"/>
              <w:insideH w:val="none"/>
              <w:insideV w:val="none"/>
            </w:tcBorders>
          </w:tcPr>
          <w:p>
            <w:pPr>
              <w:spacing w:before="40" w:after="40"/>
            </w:pPr>
            <w:r/>
            <w:r>
              <w:rPr>
                <w:rFonts w:ascii="Calibri" w:hAnsi="Calibri"/>
                <w:b/>
                <w:color w:val="FFFFFF"/>
                <w:sz w:val="20"/>
              </w:rPr>
              <w:t>Evaluated Mentions</w:t>
            </w:r>
          </w:p>
        </w:tc>
        <w:tc>
          <w:tcPr>
            <w:tcW w:type="dxa" w:w="1872"/>
            <w:shd w:fill="0F4C81"/>
            <w:tcMar>
              <w:top w:w="100" w:type="dxa"/>
              <w:bottom w:w="100" w:type="dxa"/>
              <w:left w:w="120" w:type="dxa"/>
              <w:right w:w="120" w:type="dxa"/>
            </w:tcMar>
            <w:tcBorders>
              <w:top w:val="single" w:sz="4" w:space="0" w:color="0F4C81"/>
              <w:left w:val="single" w:sz="4" w:space="0" w:color="0F4C81"/>
              <w:bottom w:val="single" w:sz="12" w:space="0" w:color="0F4C81"/>
              <w:right w:val="single" w:sz="4" w:space="0" w:color="0F4C81"/>
              <w:insideH w:val="none"/>
              <w:insideV w:val="none"/>
            </w:tcBorders>
          </w:tcPr>
          <w:p>
            <w:pPr>
              <w:spacing w:before="40" w:after="40"/>
            </w:pPr>
            <w:r/>
            <w:r>
              <w:rPr>
                <w:rFonts w:ascii="Calibri" w:hAnsi="Calibri"/>
                <w:b/>
                <w:color w:val="FFFFFF"/>
                <w:sz w:val="20"/>
              </w:rPr>
              <w:t>Correct Links</w:t>
            </w:r>
          </w:p>
        </w:tc>
        <w:tc>
          <w:tcPr>
            <w:tcW w:type="dxa" w:w="1872"/>
            <w:shd w:fill="0F4C81"/>
            <w:tcMar>
              <w:top w:w="100" w:type="dxa"/>
              <w:bottom w:w="100" w:type="dxa"/>
              <w:left w:w="120" w:type="dxa"/>
              <w:right w:w="120" w:type="dxa"/>
            </w:tcMar>
            <w:tcBorders>
              <w:top w:val="single" w:sz="4" w:space="0" w:color="0F4C81"/>
              <w:left w:val="single" w:sz="4" w:space="0" w:color="0F4C81"/>
              <w:bottom w:val="single" w:sz="12" w:space="0" w:color="0F4C81"/>
              <w:right w:val="single" w:sz="4" w:space="0" w:color="0F4C81"/>
              <w:insideH w:val="none"/>
              <w:insideV w:val="none"/>
            </w:tcBorders>
          </w:tcPr>
          <w:p>
            <w:pPr>
              <w:spacing w:before="40" w:after="40"/>
            </w:pPr>
            <w:r/>
            <w:r>
              <w:rPr>
                <w:rFonts w:ascii="Calibri" w:hAnsi="Calibri"/>
                <w:b/>
                <w:color w:val="FFFFFF"/>
                <w:sz w:val="20"/>
              </w:rPr>
              <w:t>Accuracy</w:t>
            </w:r>
          </w:p>
        </w:tc>
        <w:tc>
          <w:tcPr>
            <w:tcW w:type="dxa" w:w="1872"/>
            <w:shd w:fill="0F4C81"/>
            <w:tcMar>
              <w:top w:w="100" w:type="dxa"/>
              <w:bottom w:w="100" w:type="dxa"/>
              <w:left w:w="120" w:type="dxa"/>
              <w:right w:w="120" w:type="dxa"/>
            </w:tcMar>
            <w:tcBorders>
              <w:top w:val="single" w:sz="4" w:space="0" w:color="0F4C81"/>
              <w:left w:val="single" w:sz="4" w:space="0" w:color="0F4C81"/>
              <w:bottom w:val="single" w:sz="12" w:space="0" w:color="0F4C81"/>
              <w:right w:val="single" w:sz="4" w:space="0" w:color="0F4C81"/>
              <w:insideH w:val="none"/>
              <w:insideV w:val="none"/>
            </w:tcBorders>
          </w:tcPr>
          <w:p>
            <w:pPr>
              <w:spacing w:before="40" w:after="40"/>
            </w:pPr>
            <w:r/>
            <w:r>
              <w:rPr>
                <w:rFonts w:ascii="Calibri" w:hAnsi="Calibri"/>
                <w:b/>
                <w:color w:val="FFFFFF"/>
                <w:sz w:val="20"/>
              </w:rPr>
              <w:t>Inference Mode</w:t>
            </w:r>
          </w:p>
        </w:tc>
      </w:tr>
      <w:tr>
        <w:tc>
          <w:tcPr>
            <w:tcW w:type="dxa" w:w="1872"/>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English (EN)</w:t>
            </w:r>
          </w:p>
        </w:tc>
        <w:tc>
          <w:tcPr>
            <w:tcW w:type="dxa" w:w="1872"/>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37 mentions</w:t>
            </w:r>
          </w:p>
        </w:tc>
        <w:tc>
          <w:tcPr>
            <w:tcW w:type="dxa" w:w="1872"/>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34 correct</w:t>
            </w:r>
          </w:p>
        </w:tc>
        <w:tc>
          <w:tcPr>
            <w:tcW w:type="dxa" w:w="1872"/>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91.89%</w:t>
            </w:r>
          </w:p>
        </w:tc>
        <w:tc>
          <w:tcPr>
            <w:tcW w:type="dxa" w:w="1872"/>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Hybrid Retrieval + MPNet</w:t>
            </w:r>
          </w:p>
        </w:tc>
      </w:tr>
      <w:tr>
        <w:tc>
          <w:tcPr>
            <w:tcW w:type="dxa" w:w="1872"/>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Hindi (HI)</w:t>
            </w:r>
          </w:p>
        </w:tc>
        <w:tc>
          <w:tcPr>
            <w:tcW w:type="dxa" w:w="1872"/>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35 mentions</w:t>
            </w:r>
          </w:p>
        </w:tc>
        <w:tc>
          <w:tcPr>
            <w:tcW w:type="dxa" w:w="1872"/>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31 correct</w:t>
            </w:r>
          </w:p>
        </w:tc>
        <w:tc>
          <w:tcPr>
            <w:tcW w:type="dxa" w:w="1872"/>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88.57%</w:t>
            </w:r>
          </w:p>
        </w:tc>
        <w:tc>
          <w:tcPr>
            <w:tcW w:type="dxa" w:w="1872"/>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Hybrid Retrieval + MPNet</w:t>
            </w:r>
          </w:p>
        </w:tc>
      </w:tr>
      <w:tr>
        <w:tc>
          <w:tcPr>
            <w:tcW w:type="dxa" w:w="1872"/>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Spanish (ES)</w:t>
            </w:r>
          </w:p>
        </w:tc>
        <w:tc>
          <w:tcPr>
            <w:tcW w:type="dxa" w:w="1872"/>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35 mentions</w:t>
            </w:r>
          </w:p>
        </w:tc>
        <w:tc>
          <w:tcPr>
            <w:tcW w:type="dxa" w:w="1872"/>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28 correct</w:t>
            </w:r>
          </w:p>
        </w:tc>
        <w:tc>
          <w:tcPr>
            <w:tcW w:type="dxa" w:w="1872"/>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80.00%</w:t>
            </w:r>
          </w:p>
        </w:tc>
        <w:tc>
          <w:tcPr>
            <w:tcW w:type="dxa" w:w="1872"/>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Hybrid Retrieval + MPNet</w:t>
            </w:r>
          </w:p>
        </w:tc>
      </w:tr>
      <w:tr>
        <w:tc>
          <w:tcPr>
            <w:tcW w:type="dxa" w:w="1872"/>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German (DE)</w:t>
            </w:r>
          </w:p>
        </w:tc>
        <w:tc>
          <w:tcPr>
            <w:tcW w:type="dxa" w:w="1872"/>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35 mentions</w:t>
            </w:r>
          </w:p>
        </w:tc>
        <w:tc>
          <w:tcPr>
            <w:tcW w:type="dxa" w:w="1872"/>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28 correct</w:t>
            </w:r>
          </w:p>
        </w:tc>
        <w:tc>
          <w:tcPr>
            <w:tcW w:type="dxa" w:w="1872"/>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80.00%</w:t>
            </w:r>
          </w:p>
        </w:tc>
        <w:tc>
          <w:tcPr>
            <w:tcW w:type="dxa" w:w="1872"/>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Hybrid Retrieval + MPNet</w:t>
            </w:r>
          </w:p>
        </w:tc>
      </w:tr>
      <w:tr>
        <w:tc>
          <w:tcPr>
            <w:tcW w:type="dxa" w:w="1872"/>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Overall Combined</w:t>
            </w:r>
          </w:p>
        </w:tc>
        <w:tc>
          <w:tcPr>
            <w:tcW w:type="dxa" w:w="1872"/>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142 mentions</w:t>
            </w:r>
          </w:p>
        </w:tc>
        <w:tc>
          <w:tcPr>
            <w:tcW w:type="dxa" w:w="1872"/>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121 correct</w:t>
            </w:r>
          </w:p>
        </w:tc>
        <w:tc>
          <w:tcPr>
            <w:tcW w:type="dxa" w:w="1872"/>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85.21%</w:t>
            </w:r>
          </w:p>
        </w:tc>
        <w:tc>
          <w:tcPr>
            <w:tcW w:type="dxa" w:w="1872"/>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Cross-Lingual Benchmark</w:t>
            </w:r>
          </w:p>
        </w:tc>
      </w:tr>
    </w:tbl>
    <w:p>
      <w:pPr>
        <w:keepNext/>
        <w:spacing w:before="280" w:after="80"/>
      </w:pPr>
      <w:r>
        <w:rPr>
          <w:rFonts w:ascii="Calibri" w:hAnsi="Calibri"/>
          <w:b/>
          <w:color w:val="2B579A"/>
          <w:sz w:val="28"/>
        </w:rPr>
        <w:t>5.3 Combined System Results (from results/combined_results.csv)</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0F4C81"/>
            <w:tcMar>
              <w:top w:w="100" w:type="dxa"/>
              <w:bottom w:w="100" w:type="dxa"/>
              <w:left w:w="120" w:type="dxa"/>
              <w:right w:w="120" w:type="dxa"/>
            </w:tcMar>
            <w:tcBorders>
              <w:top w:val="single" w:sz="4" w:space="0" w:color="0F4C81"/>
              <w:left w:val="single" w:sz="4" w:space="0" w:color="0F4C81"/>
              <w:bottom w:val="single" w:sz="12" w:space="0" w:color="0F4C81"/>
              <w:right w:val="single" w:sz="4" w:space="0" w:color="0F4C81"/>
              <w:insideH w:val="none"/>
              <w:insideV w:val="none"/>
            </w:tcBorders>
          </w:tcPr>
          <w:p>
            <w:pPr>
              <w:spacing w:before="40" w:after="40"/>
            </w:pPr>
            <w:r/>
            <w:r>
              <w:rPr>
                <w:rFonts w:ascii="Calibri" w:hAnsi="Calibri"/>
                <w:b/>
                <w:color w:val="FFFFFF"/>
                <w:sz w:val="20"/>
              </w:rPr>
              <w:t>Language Code</w:t>
            </w:r>
          </w:p>
        </w:tc>
        <w:tc>
          <w:tcPr>
            <w:tcW w:type="dxa" w:w="2304"/>
            <w:shd w:fill="0F4C81"/>
            <w:tcMar>
              <w:top w:w="100" w:type="dxa"/>
              <w:bottom w:w="100" w:type="dxa"/>
              <w:left w:w="120" w:type="dxa"/>
              <w:right w:w="120" w:type="dxa"/>
            </w:tcMar>
            <w:tcBorders>
              <w:top w:val="single" w:sz="4" w:space="0" w:color="0F4C81"/>
              <w:left w:val="single" w:sz="4" w:space="0" w:color="0F4C81"/>
              <w:bottom w:val="single" w:sz="12" w:space="0" w:color="0F4C81"/>
              <w:right w:val="single" w:sz="4" w:space="0" w:color="0F4C81"/>
              <w:insideH w:val="none"/>
              <w:insideV w:val="none"/>
            </w:tcBorders>
          </w:tcPr>
          <w:p>
            <w:pPr>
              <w:spacing w:before="40" w:after="40"/>
            </w:pPr>
            <w:r/>
            <w:r>
              <w:rPr>
                <w:rFonts w:ascii="Calibri" w:hAnsi="Calibri"/>
                <w:b/>
                <w:color w:val="FFFFFF"/>
                <w:sz w:val="20"/>
              </w:rPr>
              <w:t>NER F1 Score</w:t>
            </w:r>
          </w:p>
        </w:tc>
        <w:tc>
          <w:tcPr>
            <w:tcW w:type="dxa" w:w="2592"/>
            <w:shd w:fill="0F4C81"/>
            <w:tcMar>
              <w:top w:w="100" w:type="dxa"/>
              <w:bottom w:w="100" w:type="dxa"/>
              <w:left w:w="120" w:type="dxa"/>
              <w:right w:w="120" w:type="dxa"/>
            </w:tcMar>
            <w:tcBorders>
              <w:top w:val="single" w:sz="4" w:space="0" w:color="0F4C81"/>
              <w:left w:val="single" w:sz="4" w:space="0" w:color="0F4C81"/>
              <w:bottom w:val="single" w:sz="12" w:space="0" w:color="0F4C81"/>
              <w:right w:val="single" w:sz="4" w:space="0" w:color="0F4C81"/>
              <w:insideH w:val="none"/>
              <w:insideV w:val="none"/>
            </w:tcBorders>
          </w:tcPr>
          <w:p>
            <w:pPr>
              <w:spacing w:before="40" w:after="40"/>
            </w:pPr>
            <w:r/>
            <w:r>
              <w:rPr>
                <w:rFonts w:ascii="Calibri" w:hAnsi="Calibri"/>
                <w:b/>
                <w:color w:val="FFFFFF"/>
                <w:sz w:val="20"/>
              </w:rPr>
              <w:t>Linking Accuracy</w:t>
            </w:r>
          </w:p>
        </w:tc>
        <w:tc>
          <w:tcPr>
            <w:tcW w:type="dxa" w:w="2304"/>
            <w:shd w:fill="0F4C81"/>
            <w:tcMar>
              <w:top w:w="100" w:type="dxa"/>
              <w:bottom w:w="100" w:type="dxa"/>
              <w:left w:w="120" w:type="dxa"/>
              <w:right w:w="120" w:type="dxa"/>
            </w:tcMar>
            <w:tcBorders>
              <w:top w:val="single" w:sz="4" w:space="0" w:color="0F4C81"/>
              <w:left w:val="single" w:sz="4" w:space="0" w:color="0F4C81"/>
              <w:bottom w:val="single" w:sz="12" w:space="0" w:color="0F4C81"/>
              <w:right w:val="single" w:sz="4" w:space="0" w:color="0F4C81"/>
              <w:insideH w:val="none"/>
              <w:insideV w:val="none"/>
            </w:tcBorders>
          </w:tcPr>
          <w:p>
            <w:pPr>
              <w:spacing w:before="40" w:after="40"/>
            </w:pPr>
            <w:r/>
            <w:r>
              <w:rPr>
                <w:rFonts w:ascii="Calibri" w:hAnsi="Calibri"/>
                <w:b/>
                <w:color w:val="FFFFFF"/>
                <w:sz w:val="20"/>
              </w:rPr>
              <w:t>Linking Sample (N)</w:t>
            </w:r>
          </w:p>
        </w:tc>
      </w:tr>
      <w:tr>
        <w:tc>
          <w:tcPr>
            <w:tcW w:type="dxa" w:w="2160"/>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en</w:t>
            </w:r>
          </w:p>
        </w:tc>
        <w:tc>
          <w:tcPr>
            <w:tcW w:type="dxa" w:w="2304"/>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0.8391</w:t>
            </w:r>
          </w:p>
        </w:tc>
        <w:tc>
          <w:tcPr>
            <w:tcW w:type="dxa" w:w="2592"/>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0.9189 (91.89%)</w:t>
            </w:r>
          </w:p>
        </w:tc>
        <w:tc>
          <w:tcPr>
            <w:tcW w:type="dxa" w:w="2304"/>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37</w:t>
            </w:r>
          </w:p>
        </w:tc>
      </w:tr>
      <w:tr>
        <w:tc>
          <w:tcPr>
            <w:tcW w:type="dxa" w:w="2160"/>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hi</w:t>
            </w:r>
          </w:p>
        </w:tc>
        <w:tc>
          <w:tcPr>
            <w:tcW w:type="dxa" w:w="2304"/>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0.8901</w:t>
            </w:r>
          </w:p>
        </w:tc>
        <w:tc>
          <w:tcPr>
            <w:tcW w:type="dxa" w:w="2592"/>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0.8857 (88.57%)</w:t>
            </w:r>
          </w:p>
        </w:tc>
        <w:tc>
          <w:tcPr>
            <w:tcW w:type="dxa" w:w="2304"/>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35</w:t>
            </w:r>
          </w:p>
        </w:tc>
      </w:tr>
      <w:tr>
        <w:tc>
          <w:tcPr>
            <w:tcW w:type="dxa" w:w="2160"/>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es</w:t>
            </w:r>
          </w:p>
        </w:tc>
        <w:tc>
          <w:tcPr>
            <w:tcW w:type="dxa" w:w="2304"/>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0.9143</w:t>
            </w:r>
          </w:p>
        </w:tc>
        <w:tc>
          <w:tcPr>
            <w:tcW w:type="dxa" w:w="2592"/>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0.8000 (80.00%)</w:t>
            </w:r>
          </w:p>
        </w:tc>
        <w:tc>
          <w:tcPr>
            <w:tcW w:type="dxa" w:w="2304"/>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35</w:t>
            </w:r>
          </w:p>
        </w:tc>
      </w:tr>
      <w:tr>
        <w:tc>
          <w:tcPr>
            <w:tcW w:type="dxa" w:w="2160"/>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de</w:t>
            </w:r>
          </w:p>
        </w:tc>
        <w:tc>
          <w:tcPr>
            <w:tcW w:type="dxa" w:w="2304"/>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0.8828</w:t>
            </w:r>
          </w:p>
        </w:tc>
        <w:tc>
          <w:tcPr>
            <w:tcW w:type="dxa" w:w="2592"/>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0.8000 (80.00%)</w:t>
            </w:r>
          </w:p>
        </w:tc>
        <w:tc>
          <w:tcPr>
            <w:tcW w:type="dxa" w:w="2304"/>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35</w:t>
            </w:r>
          </w:p>
        </w:tc>
      </w:tr>
    </w:tbl>
    <w:p>
      <w:pPr>
        <w:keepNext/>
        <w:spacing w:before="280" w:after="80"/>
      </w:pPr>
      <w:r>
        <w:rPr>
          <w:rFonts w:ascii="Calibri" w:hAnsi="Calibri"/>
          <w:b/>
          <w:color w:val="2B579A"/>
          <w:sz w:val="28"/>
        </w:rPr>
        <w:t>5.4 Experimental Ablation Studies &amp; Architectural Comparisons</w:t>
      </w:r>
    </w:p>
    <w:p>
      <w:pPr>
        <w:spacing w:before="0" w:after="120" w:line="276" w:lineRule="auto"/>
        <w:jc w:val="left"/>
      </w:pPr>
      <w:r>
        <w:rPr>
          <w:rFonts w:ascii="Calibri" w:hAnsi="Calibri"/>
          <w:color w:val="222222"/>
          <w:sz w:val="22"/>
        </w:rPr>
        <w:t>To rigorously validate each architectural decision, systematic ablation experiments were conducted. The findings demonstrate clear empirical justification for model selections: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304"/>
            <w:shd w:fill="0F4C81"/>
            <w:tcMar>
              <w:top w:w="100" w:type="dxa"/>
              <w:bottom w:w="100" w:type="dxa"/>
              <w:left w:w="120" w:type="dxa"/>
              <w:right w:w="120" w:type="dxa"/>
            </w:tcMar>
            <w:tcBorders>
              <w:top w:val="single" w:sz="4" w:space="0" w:color="0F4C81"/>
              <w:left w:val="single" w:sz="4" w:space="0" w:color="0F4C81"/>
              <w:bottom w:val="single" w:sz="12" w:space="0" w:color="0F4C81"/>
              <w:right w:val="single" w:sz="4" w:space="0" w:color="0F4C81"/>
              <w:insideH w:val="none"/>
              <w:insideV w:val="none"/>
            </w:tcBorders>
          </w:tcPr>
          <w:p>
            <w:pPr>
              <w:spacing w:before="40" w:after="40"/>
            </w:pPr>
            <w:r/>
            <w:r>
              <w:rPr>
                <w:rFonts w:ascii="Calibri" w:hAnsi="Calibri"/>
                <w:b/>
                <w:color w:val="FFFFFF"/>
                <w:sz w:val="20"/>
              </w:rPr>
              <w:t>Ablation Experiment</w:t>
            </w:r>
          </w:p>
        </w:tc>
        <w:tc>
          <w:tcPr>
            <w:tcW w:type="dxa" w:w="2160"/>
            <w:shd w:fill="0F4C81"/>
            <w:tcMar>
              <w:top w:w="100" w:type="dxa"/>
              <w:bottom w:w="100" w:type="dxa"/>
              <w:left w:w="120" w:type="dxa"/>
              <w:right w:w="120" w:type="dxa"/>
            </w:tcMar>
            <w:tcBorders>
              <w:top w:val="single" w:sz="4" w:space="0" w:color="0F4C81"/>
              <w:left w:val="single" w:sz="4" w:space="0" w:color="0F4C81"/>
              <w:bottom w:val="single" w:sz="12" w:space="0" w:color="0F4C81"/>
              <w:right w:val="single" w:sz="4" w:space="0" w:color="0F4C81"/>
              <w:insideH w:val="none"/>
              <w:insideV w:val="none"/>
            </w:tcBorders>
          </w:tcPr>
          <w:p>
            <w:pPr>
              <w:spacing w:before="40" w:after="40"/>
            </w:pPr>
            <w:r/>
            <w:r>
              <w:rPr>
                <w:rFonts w:ascii="Calibri" w:hAnsi="Calibri"/>
                <w:b/>
                <w:color w:val="FFFFFF"/>
                <w:sz w:val="20"/>
              </w:rPr>
              <w:t>Baseline Approach</w:t>
            </w:r>
          </w:p>
        </w:tc>
        <w:tc>
          <w:tcPr>
            <w:tcW w:type="dxa" w:w="2304"/>
            <w:shd w:fill="0F4C81"/>
            <w:tcMar>
              <w:top w:w="100" w:type="dxa"/>
              <w:bottom w:w="100" w:type="dxa"/>
              <w:left w:w="120" w:type="dxa"/>
              <w:right w:w="120" w:type="dxa"/>
            </w:tcMar>
            <w:tcBorders>
              <w:top w:val="single" w:sz="4" w:space="0" w:color="0F4C81"/>
              <w:left w:val="single" w:sz="4" w:space="0" w:color="0F4C81"/>
              <w:bottom w:val="single" w:sz="12" w:space="0" w:color="0F4C81"/>
              <w:right w:val="single" w:sz="4" w:space="0" w:color="0F4C81"/>
              <w:insideH w:val="none"/>
              <w:insideV w:val="none"/>
            </w:tcBorders>
          </w:tcPr>
          <w:p>
            <w:pPr>
              <w:spacing w:before="40" w:after="40"/>
            </w:pPr>
            <w:r/>
            <w:r>
              <w:rPr>
                <w:rFonts w:ascii="Calibri" w:hAnsi="Calibri"/>
                <w:b/>
                <w:color w:val="FFFFFF"/>
                <w:sz w:val="20"/>
              </w:rPr>
              <w:t>LinguaLink Approach</w:t>
            </w:r>
          </w:p>
        </w:tc>
        <w:tc>
          <w:tcPr>
            <w:tcW w:type="dxa" w:w="2592"/>
            <w:shd w:fill="0F4C81"/>
            <w:tcMar>
              <w:top w:w="100" w:type="dxa"/>
              <w:bottom w:w="100" w:type="dxa"/>
              <w:left w:w="120" w:type="dxa"/>
              <w:right w:w="120" w:type="dxa"/>
            </w:tcMar>
            <w:tcBorders>
              <w:top w:val="single" w:sz="4" w:space="0" w:color="0F4C81"/>
              <w:left w:val="single" w:sz="4" w:space="0" w:color="0F4C81"/>
              <w:bottom w:val="single" w:sz="12" w:space="0" w:color="0F4C81"/>
              <w:right w:val="single" w:sz="4" w:space="0" w:color="0F4C81"/>
              <w:insideH w:val="none"/>
              <w:insideV w:val="none"/>
            </w:tcBorders>
          </w:tcPr>
          <w:p>
            <w:pPr>
              <w:spacing w:before="40" w:after="40"/>
            </w:pPr>
            <w:r/>
            <w:r>
              <w:rPr>
                <w:rFonts w:ascii="Calibri" w:hAnsi="Calibri"/>
                <w:b/>
                <w:color w:val="FFFFFF"/>
                <w:sz w:val="20"/>
              </w:rPr>
              <w:t>Empirical Impact / Finding</w:t>
            </w:r>
          </w:p>
        </w:tc>
      </w:tr>
      <w:tr>
        <w:tc>
          <w:tcPr>
            <w:tcW w:type="dxa" w:w="2304"/>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NER Model Robustness</w:t>
            </w:r>
          </w:p>
        </w:tc>
        <w:tc>
          <w:tcPr>
            <w:tcW w:type="dxa" w:w="2160"/>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WikiAnn Fine-Tuned XLM-R</w:t>
            </w:r>
          </w:p>
        </w:tc>
        <w:tc>
          <w:tcPr>
            <w:tcW w:type="dxa" w:w="2304"/>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Davlan/xlm-roberta-base-ner-hrl</w:t>
            </w:r>
          </w:p>
        </w:tc>
        <w:tc>
          <w:tcPr>
            <w:tcW w:type="dxa" w:w="2592"/>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Fixed complete collapse on casual text ('i live in brazil' tagged as 1 ORG span)</w:t>
            </w:r>
          </w:p>
        </w:tc>
      </w:tr>
      <w:tr>
        <w:tc>
          <w:tcPr>
            <w:tcW w:type="dxa" w:w="2304"/>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STS Disambiguation</w:t>
            </w:r>
          </w:p>
        </w:tc>
        <w:tc>
          <w:tcPr>
            <w:tcW w:type="dxa" w:w="2160"/>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sentence-transformers/LaBSE</w:t>
            </w:r>
          </w:p>
        </w:tc>
        <w:tc>
          <w:tcPr>
            <w:tcW w:type="dxa" w:w="2304"/>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paraphrase-multilingual-mpnet-base-v2</w:t>
            </w:r>
          </w:p>
        </w:tc>
        <w:tc>
          <w:tcPr>
            <w:tcW w:type="dxa" w:w="2592"/>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LaBSE inverted ranking on canonical polysemy; MPNet achieved 100% top-1 match</w:t>
            </w:r>
          </w:p>
        </w:tc>
      </w:tr>
      <w:tr>
        <w:tc>
          <w:tcPr>
            <w:tcW w:type="dxa" w:w="2304"/>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Popularity Tiebreaking</w:t>
            </w:r>
          </w:p>
        </w:tc>
        <w:tc>
          <w:tcPr>
            <w:tcW w:type="dxa" w:w="2160"/>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Pure Semantic Cosine Sim</w:t>
            </w:r>
          </w:p>
        </w:tc>
        <w:tc>
          <w:tcPr>
            <w:tcW w:type="dxa" w:w="2304"/>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Cosine + 0.08 * Sitelink Term</w:t>
            </w:r>
          </w:p>
        </w:tc>
        <w:tc>
          <w:tcPr>
            <w:tcW w:type="dxa" w:w="2592"/>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Resolved obscure same-name entity ties without distorting distinct semantic winners</w:t>
            </w:r>
          </w:p>
        </w:tc>
      </w:tr>
      <w:tr>
        <w:tc>
          <w:tcPr>
            <w:tcW w:type="dxa" w:w="2304"/>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Candidate Enrichment</w:t>
            </w:r>
          </w:p>
        </w:tc>
        <w:tc>
          <w:tcPr>
            <w:tcW w:type="dxa" w:w="2160"/>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Terse Wikidata Descriptions</w:t>
            </w:r>
          </w:p>
        </w:tc>
        <w:tc>
          <w:tcPr>
            <w:tcW w:type="dxa" w:w="2304"/>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Wikipedia REST Intro Extracts</w:t>
            </w:r>
          </w:p>
        </w:tc>
        <w:tc>
          <w:tcPr>
            <w:tcW w:type="dxa" w:w="2592"/>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Increased cosine margin between correct entity and close distractors by +0.18</w:t>
            </w:r>
          </w:p>
        </w:tc>
      </w:tr>
    </w:tbl>
    <w:p>
      <w:pPr>
        <w:keepNext/>
        <w:spacing w:before="280" w:after="80"/>
      </w:pPr>
      <w:r>
        <w:rPr>
          <w:rFonts w:ascii="Calibri" w:hAnsi="Calibri"/>
          <w:b/>
          <w:color w:val="2B579A"/>
          <w:sz w:val="28"/>
        </w:rPr>
        <w:t>5.5 Sample End-to-End Execution Outputs Across All Languages</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440"/>
            <w:shd w:fill="0F4C81"/>
            <w:tcMar>
              <w:top w:w="100" w:type="dxa"/>
              <w:bottom w:w="100" w:type="dxa"/>
              <w:left w:w="120" w:type="dxa"/>
              <w:right w:w="120" w:type="dxa"/>
            </w:tcMar>
            <w:tcBorders>
              <w:top w:val="single" w:sz="4" w:space="0" w:color="0F4C81"/>
              <w:left w:val="single" w:sz="4" w:space="0" w:color="0F4C81"/>
              <w:bottom w:val="single" w:sz="12" w:space="0" w:color="0F4C81"/>
              <w:right w:val="single" w:sz="4" w:space="0" w:color="0F4C81"/>
              <w:insideH w:val="none"/>
              <w:insideV w:val="none"/>
            </w:tcBorders>
          </w:tcPr>
          <w:p>
            <w:pPr>
              <w:spacing w:before="40" w:after="40"/>
            </w:pPr>
            <w:r/>
            <w:r>
              <w:rPr>
                <w:rFonts w:ascii="Calibri" w:hAnsi="Calibri"/>
                <w:b/>
                <w:color w:val="FFFFFF"/>
                <w:sz w:val="20"/>
              </w:rPr>
              <w:t>Lang</w:t>
            </w:r>
          </w:p>
        </w:tc>
        <w:tc>
          <w:tcPr>
            <w:tcW w:type="dxa" w:w="2448"/>
            <w:shd w:fill="0F4C81"/>
            <w:tcMar>
              <w:top w:w="100" w:type="dxa"/>
              <w:bottom w:w="100" w:type="dxa"/>
              <w:left w:w="120" w:type="dxa"/>
              <w:right w:w="120" w:type="dxa"/>
            </w:tcMar>
            <w:tcBorders>
              <w:top w:val="single" w:sz="4" w:space="0" w:color="0F4C81"/>
              <w:left w:val="single" w:sz="4" w:space="0" w:color="0F4C81"/>
              <w:bottom w:val="single" w:sz="12" w:space="0" w:color="0F4C81"/>
              <w:right w:val="single" w:sz="4" w:space="0" w:color="0F4C81"/>
              <w:insideH w:val="none"/>
              <w:insideV w:val="none"/>
            </w:tcBorders>
          </w:tcPr>
          <w:p>
            <w:pPr>
              <w:spacing w:before="40" w:after="40"/>
            </w:pPr>
            <w:r/>
            <w:r>
              <w:rPr>
                <w:rFonts w:ascii="Calibri" w:hAnsi="Calibri"/>
                <w:b/>
                <w:color w:val="FFFFFF"/>
                <w:sz w:val="20"/>
              </w:rPr>
              <w:t>Sample Input Sentence</w:t>
            </w:r>
          </w:p>
        </w:tc>
        <w:tc>
          <w:tcPr>
            <w:tcW w:type="dxa" w:w="1440"/>
            <w:shd w:fill="0F4C81"/>
            <w:tcMar>
              <w:top w:w="100" w:type="dxa"/>
              <w:bottom w:w="100" w:type="dxa"/>
              <w:left w:w="120" w:type="dxa"/>
              <w:right w:w="120" w:type="dxa"/>
            </w:tcMar>
            <w:tcBorders>
              <w:top w:val="single" w:sz="4" w:space="0" w:color="0F4C81"/>
              <w:left w:val="single" w:sz="4" w:space="0" w:color="0F4C81"/>
              <w:bottom w:val="single" w:sz="12" w:space="0" w:color="0F4C81"/>
              <w:right w:val="single" w:sz="4" w:space="0" w:color="0F4C81"/>
              <w:insideH w:val="none"/>
              <w:insideV w:val="none"/>
            </w:tcBorders>
          </w:tcPr>
          <w:p>
            <w:pPr>
              <w:spacing w:before="40" w:after="40"/>
            </w:pPr>
            <w:r/>
            <w:r>
              <w:rPr>
                <w:rFonts w:ascii="Calibri" w:hAnsi="Calibri"/>
                <w:b/>
                <w:color w:val="FFFFFF"/>
                <w:sz w:val="20"/>
              </w:rPr>
              <w:t>Entity</w:t>
            </w:r>
          </w:p>
        </w:tc>
        <w:tc>
          <w:tcPr>
            <w:tcW w:type="dxa" w:w="2160"/>
            <w:shd w:fill="0F4C81"/>
            <w:tcMar>
              <w:top w:w="100" w:type="dxa"/>
              <w:bottom w:w="100" w:type="dxa"/>
              <w:left w:w="120" w:type="dxa"/>
              <w:right w:w="120" w:type="dxa"/>
            </w:tcMar>
            <w:tcBorders>
              <w:top w:val="single" w:sz="4" w:space="0" w:color="0F4C81"/>
              <w:left w:val="single" w:sz="4" w:space="0" w:color="0F4C81"/>
              <w:bottom w:val="single" w:sz="12" w:space="0" w:color="0F4C81"/>
              <w:right w:val="single" w:sz="4" w:space="0" w:color="0F4C81"/>
              <w:insideH w:val="none"/>
              <w:insideV w:val="none"/>
            </w:tcBorders>
          </w:tcPr>
          <w:p>
            <w:pPr>
              <w:spacing w:before="40" w:after="40"/>
            </w:pPr>
            <w:r/>
            <w:r>
              <w:rPr>
                <w:rFonts w:ascii="Calibri" w:hAnsi="Calibri"/>
                <w:b/>
                <w:color w:val="FFFFFF"/>
                <w:sz w:val="20"/>
              </w:rPr>
              <w:t>Linked Wikidata Entity</w:t>
            </w:r>
          </w:p>
        </w:tc>
        <w:tc>
          <w:tcPr>
            <w:tcW w:type="dxa" w:w="1872"/>
            <w:shd w:fill="0F4C81"/>
            <w:tcMar>
              <w:top w:w="100" w:type="dxa"/>
              <w:bottom w:w="100" w:type="dxa"/>
              <w:left w:w="120" w:type="dxa"/>
              <w:right w:w="120" w:type="dxa"/>
            </w:tcMar>
            <w:tcBorders>
              <w:top w:val="single" w:sz="4" w:space="0" w:color="0F4C81"/>
              <w:left w:val="single" w:sz="4" w:space="0" w:color="0F4C81"/>
              <w:bottom w:val="single" w:sz="12" w:space="0" w:color="0F4C81"/>
              <w:right w:val="single" w:sz="4" w:space="0" w:color="0F4C81"/>
              <w:insideH w:val="none"/>
              <w:insideV w:val="none"/>
            </w:tcBorders>
          </w:tcPr>
          <w:p>
            <w:pPr>
              <w:spacing w:before="40" w:after="40"/>
            </w:pPr>
            <w:r/>
            <w:r>
              <w:rPr>
                <w:rFonts w:ascii="Calibri" w:hAnsi="Calibri"/>
                <w:b/>
                <w:color w:val="FFFFFF"/>
                <w:sz w:val="20"/>
              </w:rPr>
              <w:t>Score / NIL</w:t>
            </w:r>
          </w:p>
        </w:tc>
      </w:tr>
      <w:tr>
        <w:tc>
          <w:tcPr>
            <w:tcW w:type="dxa" w:w="1440"/>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EN</w:t>
            </w:r>
          </w:p>
        </w:tc>
        <w:tc>
          <w:tcPr>
            <w:tcW w:type="dxa" w:w="2448"/>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"Satya Nadella visited Microsoft headquarters in Redmond."</w:t>
            </w:r>
          </w:p>
        </w:tc>
        <w:tc>
          <w:tcPr>
            <w:tcW w:type="dxa" w:w="1440"/>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PER / ORG / LOC</w:t>
            </w:r>
          </w:p>
        </w:tc>
        <w:tc>
          <w:tcPr>
            <w:tcW w:type="dxa" w:w="2160"/>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Q16013627 / Q2283 / Q22358</w:t>
            </w:r>
          </w:p>
        </w:tc>
        <w:tc>
          <w:tcPr>
            <w:tcW w:type="dxa" w:w="1872"/>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0.894 (Linked)</w:t>
            </w:r>
          </w:p>
        </w:tc>
      </w:tr>
      <w:tr>
        <w:tc>
          <w:tcPr>
            <w:tcW w:type="dxa" w:w="1440"/>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HI</w:t>
            </w:r>
          </w:p>
        </w:tc>
        <w:tc>
          <w:tcPr>
            <w:tcW w:type="dxa" w:w="2448"/>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"नरेंद्र मोदी ने नई दिल्ली में भाषण दिया।"</w:t>
            </w:r>
          </w:p>
        </w:tc>
        <w:tc>
          <w:tcPr>
            <w:tcW w:type="dxa" w:w="1440"/>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PER / LOC</w:t>
            </w:r>
          </w:p>
        </w:tc>
        <w:tc>
          <w:tcPr>
            <w:tcW w:type="dxa" w:w="2160"/>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Q1058 (Narendra Modi) / Q987 (New Delhi)</w:t>
            </w:r>
          </w:p>
        </w:tc>
        <w:tc>
          <w:tcPr>
            <w:tcW w:type="dxa" w:w="1872"/>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0.912 (Linked)</w:t>
            </w:r>
          </w:p>
        </w:tc>
      </w:tr>
      <w:tr>
        <w:tc>
          <w:tcPr>
            <w:tcW w:type="dxa" w:w="1440"/>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ES</w:t>
            </w:r>
          </w:p>
        </w:tc>
        <w:tc>
          <w:tcPr>
            <w:tcW w:type="dxa" w:w="2448"/>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"Lionel Messi jugó en el FC Barcelona durante años."</w:t>
            </w:r>
          </w:p>
        </w:tc>
        <w:tc>
          <w:tcPr>
            <w:tcW w:type="dxa" w:w="1440"/>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PER / ORG</w:t>
            </w:r>
          </w:p>
        </w:tc>
        <w:tc>
          <w:tcPr>
            <w:tcW w:type="dxa" w:w="2160"/>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Q615 (Lionel Messi) / Q7156 (FC Barcelona)</w:t>
            </w:r>
          </w:p>
        </w:tc>
        <w:tc>
          <w:tcPr>
            <w:tcW w:type="dxa" w:w="1872"/>
            <w:shd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0.942 (Linked)</w:t>
            </w:r>
          </w:p>
        </w:tc>
      </w:tr>
      <w:tr>
        <w:tc>
          <w:tcPr>
            <w:tcW w:type="dxa" w:w="1440"/>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DE</w:t>
            </w:r>
          </w:p>
        </w:tc>
        <w:tc>
          <w:tcPr>
            <w:tcW w:type="dxa" w:w="2448"/>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"Angela Merkel hielt eine Rede in Berlin vor dem Bundestag."</w:t>
            </w:r>
          </w:p>
        </w:tc>
        <w:tc>
          <w:tcPr>
            <w:tcW w:type="dxa" w:w="1440"/>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PER / LOC / ORG</w:t>
            </w:r>
          </w:p>
        </w:tc>
        <w:tc>
          <w:tcPr>
            <w:tcW w:type="dxa" w:w="2160"/>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Q567 (Merkel) / Q64 (Berlin) / Q154797</w:t>
            </w:r>
          </w:p>
        </w:tc>
        <w:tc>
          <w:tcPr>
            <w:tcW w:type="dxa" w:w="1872"/>
            <w:shd w:fill="F8F9FA"/>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insideH w:val="none"/>
              <w:insideV w:val="none"/>
            </w:tcBorders>
          </w:tcPr>
          <w:p>
            <w:pPr>
              <w:spacing w:before="40" w:after="40" w:line="252" w:lineRule="auto"/>
            </w:pPr>
            <w:r/>
            <w:r>
              <w:rPr>
                <w:rFonts w:ascii="Calibri" w:hAnsi="Calibri"/>
                <w:color w:val="222222"/>
                <w:sz w:val="19"/>
              </w:rPr>
              <w:t>0.928 (Linked)</w:t>
            </w:r>
          </w:p>
        </w:tc>
      </w:tr>
    </w:tbl>
    <w:p>
      <w:pPr>
        <w:keepNext/>
        <w:spacing w:before="360" w:after="120"/>
      </w:pPr>
      <w:r>
        <w:rPr>
          <w:rFonts w:ascii="Calibri" w:hAnsi="Calibri"/>
          <w:b/>
          <w:color w:val="0F4C81"/>
          <w:sz w:val="36"/>
        </w:rPr>
        <w:t>6. Interactive Visualizations &amp; Image Placeholders</w:t>
      </w:r>
    </w:p>
    <w:p>
      <w:pPr>
        <w:spacing w:before="0" w:after="120" w:line="276" w:lineRule="auto"/>
        <w:jc w:val="left"/>
      </w:pPr>
      <w:r>
        <w:rPr>
          <w:rFonts w:ascii="Calibri" w:hAnsi="Calibri"/>
          <w:color w:val="222222"/>
          <w:sz w:val="22"/>
        </w:rPr>
        <w:t>The following styled figure placeholder boxes are dedicated to visual architecture diagrams, user interface screenshots, knowledge-graph inspector views, and evaluation metric charts. Each box specifies exact placement instructions for visual assets.</w:t>
      </w:r>
    </w:p>
    <w:tbl>
      <w:tblPr>
        <w:tblW w:type="auto" w:w="0"/>
        <w:jc w:val="center"/>
        <w:tblLayout w:type="fixed"/>
        <w:tblLook w:firstColumn="1" w:firstRow="1" w:lastColumn="0" w:lastRow="0" w:noHBand="0" w:noVBand="1" w:val="04A0"/>
      </w:tblPr>
      <w:tblGrid>
        <w:gridCol w:w="9936"/>
      </w:tblGrid>
      <w:tr>
        <w:tc>
          <w:tcPr>
            <w:tcW w:type="dxa" w:w="9360"/>
            <w:shd w:fill="FAFAFA"/>
            <w:tcMar>
              <w:top w:w="200" w:type="dxa"/>
              <w:bottom w:w="200" w:type="dxa"/>
              <w:left w:w="200" w:type="dxa"/>
              <w:right w:w="200" w:type="dxa"/>
            </w:tcMar>
            <w:tcBorders>
              <w:top w:val="dashed" w:sz="12" w:space="0" w:color="0F4C81"/>
              <w:left w:val="dashed" w:sz="12" w:space="0" w:color="0F4C81"/>
              <w:bottom w:val="dashed" w:sz="12" w:space="0" w:color="0F4C81"/>
              <w:right w:val="dashed" w:sz="12" w:space="0" w:color="0F4C81"/>
              <w:insideH w:val="none"/>
              <w:insideV w:val="none"/>
            </w:tcBorders>
          </w:tcPr>
          <w:p>
            <w:pPr>
              <w:spacing w:before="200" w:after="80"/>
              <w:jc w:val="center"/>
            </w:pPr>
            <w:r>
              <w:rPr>
                <w:rFonts w:ascii="Calibri" w:hAnsi="Calibri"/>
                <w:b/>
                <w:color w:val="0F4C81"/>
                <w:sz w:val="24"/>
              </w:rPr>
              <w:t>[ IMAGE PLACEHOLDER: FIGURE 2 ]</w:t>
            </w:r>
          </w:p>
          <w:p>
            <w:pPr>
              <w:spacing w:before="40" w:after="80"/>
              <w:jc w:val="center"/>
            </w:pPr>
            <w:r>
              <w:rPr>
                <w:rFonts w:ascii="Calibri" w:hAnsi="Calibri"/>
                <w:b/>
                <w:color w:val="222222"/>
                <w:sz w:val="21"/>
              </w:rPr>
              <w:t>Figure 2: LinguaLink Interactive Web Interface &amp; Live Pipeline Dashboard</w:t>
            </w:r>
          </w:p>
          <w:p>
            <w:pPr>
              <w:spacing w:before="40" w:after="200"/>
              <w:jc w:val="center"/>
            </w:pPr>
            <w:r>
              <w:rPr>
                <w:rFonts w:ascii="Calibri" w:hAnsi="Calibri"/>
                <w:i/>
                <w:color w:val="666666"/>
                <w:sz w:val="19"/>
              </w:rPr>
              <w:t>Reserved Space: Reserved Space: Paste screenshot of the React Frontend Dashboard showing the multilingual text input box, detected entity highlights (color-coded PER/ORG/LOC badges), confidence score bar, and candidate selection drawer.</w:t>
            </w:r>
          </w:p>
        </w:tc>
      </w:tr>
    </w:tbl>
    <w:p>
      <w:pPr>
        <w:spacing w:before="0" w:after="160"/>
      </w:pPr>
    </w:p>
    <w:tbl>
      <w:tblPr>
        <w:tblW w:type="auto" w:w="0"/>
        <w:jc w:val="center"/>
        <w:tblLayout w:type="fixed"/>
        <w:tblLook w:firstColumn="1" w:firstRow="1" w:lastColumn="0" w:lastRow="0" w:noHBand="0" w:noVBand="1" w:val="04A0"/>
      </w:tblPr>
      <w:tblGrid>
        <w:gridCol w:w="9936"/>
      </w:tblGrid>
      <w:tr>
        <w:tc>
          <w:tcPr>
            <w:tcW w:type="dxa" w:w="9360"/>
            <w:shd w:fill="FAFAFA"/>
            <w:tcMar>
              <w:top w:w="200" w:type="dxa"/>
              <w:bottom w:w="200" w:type="dxa"/>
              <w:left w:w="200" w:type="dxa"/>
              <w:right w:w="200" w:type="dxa"/>
            </w:tcMar>
            <w:tcBorders>
              <w:top w:val="dashed" w:sz="12" w:space="0" w:color="0F4C81"/>
              <w:left w:val="dashed" w:sz="12" w:space="0" w:color="0F4C81"/>
              <w:bottom w:val="dashed" w:sz="12" w:space="0" w:color="0F4C81"/>
              <w:right w:val="dashed" w:sz="12" w:space="0" w:color="0F4C81"/>
              <w:insideH w:val="none"/>
              <w:insideV w:val="none"/>
            </w:tcBorders>
          </w:tcPr>
          <w:p>
            <w:pPr>
              <w:spacing w:before="200" w:after="80"/>
              <w:jc w:val="center"/>
            </w:pPr>
            <w:r>
              <w:rPr>
                <w:rFonts w:ascii="Calibri" w:hAnsi="Calibri"/>
                <w:b/>
                <w:color w:val="0F4C81"/>
                <w:sz w:val="24"/>
              </w:rPr>
              <w:t>[ IMAGE PLACEHOLDER: FIGURE 3 ]</w:t>
            </w:r>
          </w:p>
          <w:p>
            <w:pPr>
              <w:spacing w:before="40" w:after="80"/>
              <w:jc w:val="center"/>
            </w:pPr>
            <w:r>
              <w:rPr>
                <w:rFonts w:ascii="Calibri" w:hAnsi="Calibri"/>
                <w:b/>
                <w:color w:val="222222"/>
                <w:sz w:val="21"/>
              </w:rPr>
              <w:t>Figure 3: Knowledge Graph Relations &amp; Sitelink Inspector View</w:t>
            </w:r>
          </w:p>
          <w:p>
            <w:pPr>
              <w:spacing w:before="40" w:after="200"/>
              <w:jc w:val="center"/>
            </w:pPr>
            <w:r>
              <w:rPr>
                <w:rFonts w:ascii="Calibri" w:hAnsi="Calibri"/>
                <w:i/>
                <w:color w:val="666666"/>
                <w:sz w:val="19"/>
              </w:rPr>
              <w:t>Reserved Space: Reserved Space: Paste screenshot of the Entity Details Modal showing lazily-fetched Wikidata triples (e.g. spouse, country of citizenship, employer), geographic coordinates map, and Wikipedia article links.</w:t>
            </w:r>
          </w:p>
        </w:tc>
      </w:tr>
    </w:tbl>
    <w:p>
      <w:pPr>
        <w:spacing w:before="0" w:after="160"/>
      </w:pPr>
    </w:p>
    <w:tbl>
      <w:tblPr>
        <w:tblW w:type="auto" w:w="0"/>
        <w:jc w:val="center"/>
        <w:tblLayout w:type="fixed"/>
        <w:tblLook w:firstColumn="1" w:firstRow="1" w:lastColumn="0" w:lastRow="0" w:noHBand="0" w:noVBand="1" w:val="04A0"/>
      </w:tblPr>
      <w:tblGrid>
        <w:gridCol w:w="9936"/>
      </w:tblGrid>
      <w:tr>
        <w:tc>
          <w:tcPr>
            <w:tcW w:type="dxa" w:w="9360"/>
            <w:shd w:fill="FAFAFA"/>
            <w:tcMar>
              <w:top w:w="200" w:type="dxa"/>
              <w:bottom w:w="200" w:type="dxa"/>
              <w:left w:w="200" w:type="dxa"/>
              <w:right w:w="200" w:type="dxa"/>
            </w:tcMar>
            <w:tcBorders>
              <w:top w:val="dashed" w:sz="12" w:space="0" w:color="0F4C81"/>
              <w:left w:val="dashed" w:sz="12" w:space="0" w:color="0F4C81"/>
              <w:bottom w:val="dashed" w:sz="12" w:space="0" w:color="0F4C81"/>
              <w:right w:val="dashed" w:sz="12" w:space="0" w:color="0F4C81"/>
              <w:insideH w:val="none"/>
              <w:insideV w:val="none"/>
            </w:tcBorders>
          </w:tcPr>
          <w:p>
            <w:pPr>
              <w:spacing w:before="200" w:after="80"/>
              <w:jc w:val="center"/>
            </w:pPr>
            <w:r>
              <w:rPr>
                <w:rFonts w:ascii="Calibri" w:hAnsi="Calibri"/>
                <w:b/>
                <w:color w:val="0F4C81"/>
                <w:sz w:val="24"/>
              </w:rPr>
              <w:t>[ IMAGE PLACEHOLDER: FIGURE 4 ]</w:t>
            </w:r>
          </w:p>
          <w:p>
            <w:pPr>
              <w:spacing w:before="40" w:after="80"/>
              <w:jc w:val="center"/>
            </w:pPr>
            <w:r>
              <w:rPr>
                <w:rFonts w:ascii="Calibri" w:hAnsi="Calibri"/>
                <w:b/>
                <w:color w:val="222222"/>
                <w:sz w:val="21"/>
              </w:rPr>
              <w:t>Figure 4: Multilingual Evaluation Metrics &amp; Accuracy Comparison Chart</w:t>
            </w:r>
          </w:p>
          <w:p>
            <w:pPr>
              <w:spacing w:before="40" w:after="200"/>
              <w:jc w:val="center"/>
            </w:pPr>
            <w:r>
              <w:rPr>
                <w:rFonts w:ascii="Calibri" w:hAnsi="Calibri"/>
                <w:i/>
                <w:color w:val="666666"/>
                <w:sz w:val="19"/>
              </w:rPr>
              <w:t>Reserved Space: Reserved Space: Paste comparative bar chart visualizing NER F1 scores (EN: 0.839, HI: 0.890, ES: 0.914, DE: 0.883) and Entity Linking Accuracy (EN: 91.89%, HI: 88.57%, ES: 80.00%, DE: 80.00%).</w:t>
            </w:r>
          </w:p>
        </w:tc>
      </w:tr>
    </w:tbl>
    <w:p>
      <w:pPr>
        <w:spacing w:before="0" w:after="160"/>
      </w:pPr>
    </w:p>
    <w:p>
      <w:pPr>
        <w:keepNext/>
        <w:spacing w:before="360" w:after="120"/>
      </w:pPr>
      <w:r>
        <w:rPr>
          <w:rFonts w:ascii="Calibri" w:hAnsi="Calibri"/>
          <w:b/>
          <w:color w:val="0F4C81"/>
          <w:sz w:val="36"/>
        </w:rPr>
        <w:t>7. Engineering Resilience &amp; Real-World Bug Post-Mortems</w:t>
      </w:r>
    </w:p>
    <w:p>
      <w:pPr>
        <w:spacing w:before="0" w:after="120" w:line="276" w:lineRule="auto"/>
        <w:jc w:val="left"/>
      </w:pPr>
      <w:r>
        <w:rPr>
          <w:rFonts w:ascii="Calibri" w:hAnsi="Calibri"/>
          <w:color w:val="222222"/>
          <w:sz w:val="22"/>
        </w:rPr>
        <w:t>Production entity linking systems frequently encounter unexpected environment and data edge cases. LinguaLink incorporates specific engineering defenses developed from real failure analyses:</w:t>
      </w:r>
    </w:p>
    <w:p>
      <w:pPr>
        <w:keepNext/>
        <w:spacing w:before="280" w:after="80"/>
      </w:pPr>
      <w:r>
        <w:rPr>
          <w:rFonts w:ascii="Calibri" w:hAnsi="Calibri"/>
          <w:b/>
          <w:color w:val="2B579A"/>
          <w:sz w:val="28"/>
        </w:rPr>
        <w:t>7.1 Windows CP1252 Devanagari Encoding Crash</w:t>
      </w:r>
    </w:p>
    <w:p>
      <w:pPr>
        <w:spacing w:before="0" w:after="120" w:line="276" w:lineRule="auto"/>
        <w:jc w:val="left"/>
      </w:pPr>
      <w:r>
        <w:rPr>
          <w:rFonts w:ascii="Calibri" w:hAnsi="Calibri"/>
          <w:color w:val="222222"/>
          <w:sz w:val="22"/>
        </w:rPr>
        <w:t>Problem: When running on Windows operating systems, standard stdout streams use the legacy cp1252 code page. Logging Hindi Devanagari strings (such as 'नरेंद्र मोदी') resulted in unhandled UnicodeEncodeError crashes.\nFix: Standardized all internal logging and stream handlers with errors='replace' or explicit utf-8 encodings, and ensured JSON serialization safely encodes non-ASCII characters without escaping issues.</w:t>
      </w:r>
    </w:p>
    <w:p>
      <w:pPr>
        <w:keepNext/>
        <w:spacing w:before="280" w:after="80"/>
      </w:pPr>
      <w:r>
        <w:rPr>
          <w:rFonts w:ascii="Calibri" w:hAnsi="Calibri"/>
          <w:b/>
          <w:color w:val="2B579A"/>
          <w:sz w:val="28"/>
        </w:rPr>
        <w:t>7.2 Exact-Match vs Substring Alias Search Degradation</w:t>
      </w:r>
    </w:p>
    <w:p>
      <w:pPr>
        <w:spacing w:before="0" w:after="120" w:line="276" w:lineRule="auto"/>
        <w:jc w:val="left"/>
      </w:pPr>
      <w:r>
        <w:rPr>
          <w:rFonts w:ascii="Calibri" w:hAnsi="Calibri"/>
          <w:color w:val="222222"/>
          <w:sz w:val="22"/>
        </w:rPr>
        <w:t>Problem: Initial SPARQL-based candidate retrieval queried exact string equality. In practical use, users type surname-only mentions ('Messi', 'Putin', 'Merkel'). SPARQL exact matches either returned empty candidate sets or non-deterministic low-notability entities.\nFix: Migrated to MediaWiki wbsearchentities API which applies bm25/popularity ranking on prefix queries, and implemented fallback to local alias index.</w:t>
      </w:r>
    </w:p>
    <w:p>
      <w:pPr>
        <w:keepNext/>
        <w:spacing w:before="280" w:after="80"/>
      </w:pPr>
      <w:r>
        <w:rPr>
          <w:rFonts w:ascii="Calibri" w:hAnsi="Calibri"/>
          <w:b/>
          <w:color w:val="2B579A"/>
          <w:sz w:val="28"/>
        </w:rPr>
        <w:t>7.3 Live Wikidata API Throttling &amp; HTTP 429 Backoff</w:t>
      </w:r>
    </w:p>
    <w:p>
      <w:pPr>
        <w:spacing w:before="0" w:after="120" w:line="276" w:lineRule="auto"/>
        <w:jc w:val="left"/>
      </w:pPr>
      <w:r>
        <w:rPr>
          <w:rFonts w:ascii="Calibri" w:hAnsi="Calibri"/>
          <w:color w:val="222222"/>
          <w:sz w:val="22"/>
        </w:rPr>
        <w:t>Problem: Under sustained cross-lingual evaluation benchmarks, unauthenticated requests to Wikidata APIs encountered HTTP 429 rate limit exceptions.\nFix: Built mel.utils.http.get_json_with_retry with exponential backoff (1s, 2s, 4s) and rate-budgeting, ensuring 0% evaluation crashes.</w:t>
      </w:r>
    </w:p>
    <w:p>
      <w:pPr>
        <w:keepNext/>
        <w:spacing w:before="280" w:after="80"/>
      </w:pPr>
      <w:r>
        <w:rPr>
          <w:rFonts w:ascii="Calibri" w:hAnsi="Calibri"/>
          <w:b/>
          <w:color w:val="2B579A"/>
          <w:sz w:val="28"/>
        </w:rPr>
        <w:t>7.4 Upstream Wikidata Data Gaps</w:t>
      </w:r>
    </w:p>
    <w:p>
      <w:pPr>
        <w:spacing w:before="0" w:after="120" w:line="276" w:lineRule="auto"/>
        <w:jc w:val="left"/>
      </w:pPr>
      <w:r>
        <w:rPr>
          <w:rFonts w:ascii="Calibri" w:hAnsi="Calibri"/>
          <w:color w:val="222222"/>
          <w:sz w:val="22"/>
        </w:rPr>
        <w:t>Problem: Certain prominent entities lacked native aliases or intro summaries in specific target languages on Wikidata (e.g. Hindi aliases for specific international figures).\nFix: Implemented English Wikipedia fallback extraction and cross-lingual translation routing (mel.data.translate), ensuring rich semantic contexts even when low-resource language metadata is sparse.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