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GPU AI Platform Capabilities Report</w:t>
      </w:r>
    </w:p>
    <w:p>
      <w:pPr>
        <w:pStyle w:val="Heading1"/>
      </w:pPr>
      <w:r>
        <w:t>Overview</w:t>
      </w:r>
    </w:p>
    <w:p>
      <w:r>
        <w:t>This consolidated report outlines the core capabilities of the AI GPU cluster deployed with 24x NVIDIA H200 GPUs, 1PB NetApp S3-compatible storage, OpenShift (OCP) for orchestration, and Run:AI for AI workload management. It includes both AI lifecycle stages and platform-level cluster management capabilities, highlighting technical details, platform-specific enhancements, granular tasks, and key tools with GPU performance impact.</w:t>
      </w:r>
    </w:p>
    <w:p>
      <w:pPr>
        <w:pStyle w:val="Heading1"/>
      </w:pPr>
      <w:r>
        <w:t>AI Lifecycle Tool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S.No</w:t>
            </w:r>
          </w:p>
        </w:tc>
        <w:tc>
          <w:tcPr>
            <w:tcW w:type="dxa" w:w="1440"/>
          </w:tcPr>
          <w:p>
            <w:r>
              <w:t>Stage</w:t>
            </w:r>
          </w:p>
        </w:tc>
        <w:tc>
          <w:tcPr>
            <w:tcW w:type="dxa" w:w="1440"/>
          </w:tcPr>
          <w:p>
            <w:r>
              <w:t>Technical Details</w:t>
            </w:r>
          </w:p>
        </w:tc>
        <w:tc>
          <w:tcPr>
            <w:tcW w:type="dxa" w:w="1440"/>
          </w:tcPr>
          <w:p>
            <w:r>
              <w:t>Platform-Specific Enhancements</w:t>
            </w:r>
          </w:p>
        </w:tc>
        <w:tc>
          <w:tcPr>
            <w:tcW w:type="dxa" w:w="1440"/>
          </w:tcPr>
          <w:p>
            <w:r>
              <w:t>Granular Tasks/Details</w:t>
            </w:r>
          </w:p>
        </w:tc>
        <w:tc>
          <w:tcPr>
            <w:tcW w:type="dxa" w:w="1440"/>
          </w:tcPr>
          <w:p>
            <w:r>
              <w:t>Key Tools &amp; GPU Performance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Data Ingestion</w:t>
            </w:r>
          </w:p>
        </w:tc>
        <w:tc>
          <w:tcPr>
            <w:tcW w:type="dxa" w:w="1440"/>
          </w:tcPr>
          <w:p>
            <w:r>
              <w:t>Ingest structured/unstructured data from S3, APIs, Kafka, DBs</w:t>
            </w:r>
          </w:p>
        </w:tc>
        <w:tc>
          <w:tcPr>
            <w:tcW w:type="dxa" w:w="1440"/>
          </w:tcPr>
          <w:p>
            <w:r>
              <w:t>NetApp S3 provides scalable, high-speed parallel I/O</w:t>
            </w:r>
          </w:p>
        </w:tc>
        <w:tc>
          <w:tcPr>
            <w:tcW w:type="dxa" w:w="1440"/>
          </w:tcPr>
          <w:p>
            <w:r>
              <w:t>Create ETL pipelines; configure S3 buckets</w:t>
            </w:r>
          </w:p>
        </w:tc>
        <w:tc>
          <w:tcPr>
            <w:tcW w:type="dxa" w:w="1440"/>
          </w:tcPr>
          <w:p>
            <w:r>
              <w:t>AWS S3, NetApp S3, Kafka, Airbyte</w:t>
              <w:br/>
              <w:t>GPU: 4.8 TB/s memory bandwidth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Data Preparation</w:t>
            </w:r>
          </w:p>
        </w:tc>
        <w:tc>
          <w:tcPr>
            <w:tcW w:type="dxa" w:w="1440"/>
          </w:tcPr>
          <w:p>
            <w:r>
              <w:t>ETL pipelines, cleansing, deduplication, annotation</w:t>
            </w:r>
          </w:p>
        </w:tc>
        <w:tc>
          <w:tcPr>
            <w:tcW w:type="dxa" w:w="1440"/>
          </w:tcPr>
          <w:p>
            <w:r>
              <w:t>Run:AI jobs for parallelized data-prep containers on OCP</w:t>
            </w:r>
          </w:p>
        </w:tc>
        <w:tc>
          <w:tcPr>
            <w:tcW w:type="dxa" w:w="1440"/>
          </w:tcPr>
          <w:p>
            <w:r>
              <w:t>Null handling; data-type normalization</w:t>
            </w:r>
          </w:p>
        </w:tc>
        <w:tc>
          <w:tcPr>
            <w:tcW w:type="dxa" w:w="1440"/>
          </w:tcPr>
          <w:p>
            <w:r>
              <w:t>Pandas, Spark, Run:AI</w:t>
              <w:br/>
              <w:t>GPU: 141 GB HBM3e handles 100M rows in-memory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Data Labeling</w:t>
            </w:r>
          </w:p>
        </w:tc>
        <w:tc>
          <w:tcPr>
            <w:tcW w:type="dxa" w:w="1440"/>
          </w:tcPr>
          <w:p>
            <w:r>
              <w:t>Annotation of raw data for supervised learning</w:t>
            </w:r>
          </w:p>
        </w:tc>
        <w:tc>
          <w:tcPr>
            <w:tcW w:type="dxa" w:w="1440"/>
          </w:tcPr>
          <w:p>
            <w:r>
              <w:t>Managed labeling workflows on OCP with GPU-accelerated UI</w:t>
            </w:r>
          </w:p>
        </w:tc>
        <w:tc>
          <w:tcPr>
            <w:tcW w:type="dxa" w:w="1440"/>
          </w:tcPr>
          <w:p>
            <w:r>
              <w:t>Define schemas; assign tasks; review labels</w:t>
            </w:r>
          </w:p>
        </w:tc>
        <w:tc>
          <w:tcPr>
            <w:tcW w:type="dxa" w:w="1440"/>
          </w:tcPr>
          <w:p>
            <w:r>
              <w:t>Label Studio; SageMaker Ground Truth</w:t>
              <w:br/>
              <w:t>GPU: UI rendering at 60 FPS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Feature Engineering</w:t>
            </w:r>
          </w:p>
        </w:tc>
        <w:tc>
          <w:tcPr>
            <w:tcW w:type="dxa" w:w="1440"/>
          </w:tcPr>
          <w:p>
            <w:r>
              <w:t>Vectorization, embeddings, normalization, dimensionality reduction</w:t>
            </w:r>
          </w:p>
        </w:tc>
        <w:tc>
          <w:tcPr>
            <w:tcW w:type="dxa" w:w="1440"/>
          </w:tcPr>
          <w:p>
            <w:r>
              <w:t>GPU acceleration for embeddings &amp; AutoML feature selection</w:t>
            </w:r>
          </w:p>
        </w:tc>
        <w:tc>
          <w:tcPr>
            <w:tcW w:type="dxa" w:w="1440"/>
          </w:tcPr>
          <w:p>
            <w:r>
              <w:t>BERT embeddings; PCA</w:t>
            </w:r>
          </w:p>
        </w:tc>
        <w:tc>
          <w:tcPr>
            <w:tcW w:type="dxa" w:w="1440"/>
          </w:tcPr>
          <w:p>
            <w:r>
              <w:t>Hugging Face; RAPIDS cuDF/cuML; PyTorch</w:t>
              <w:br/>
              <w:t>GPU: 1M tokens/sec for BERT-large (FP16)</w:t>
            </w:r>
          </w:p>
        </w:tc>
      </w:tr>
    </w:tbl>
    <w:p>
      <w:pPr>
        <w:pStyle w:val="Heading1"/>
      </w:pPr>
      <w:r>
        <w:t>Platform &amp; GPU Cluster Management Capabilities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S.No</w:t>
            </w:r>
          </w:p>
        </w:tc>
        <w:tc>
          <w:tcPr>
            <w:tcW w:type="dxa" w:w="1440"/>
          </w:tcPr>
          <w:p>
            <w:r>
              <w:t>Stage</w:t>
            </w:r>
          </w:p>
        </w:tc>
        <w:tc>
          <w:tcPr>
            <w:tcW w:type="dxa" w:w="1440"/>
          </w:tcPr>
          <w:p>
            <w:r>
              <w:t>Technical Details</w:t>
            </w:r>
          </w:p>
        </w:tc>
        <w:tc>
          <w:tcPr>
            <w:tcW w:type="dxa" w:w="1440"/>
          </w:tcPr>
          <w:p>
            <w:r>
              <w:t>Platform-Specific Enhancements</w:t>
            </w:r>
          </w:p>
        </w:tc>
        <w:tc>
          <w:tcPr>
            <w:tcW w:type="dxa" w:w="1440"/>
          </w:tcPr>
          <w:p>
            <w:r>
              <w:t>Granular Tasks/Details</w:t>
            </w:r>
          </w:p>
        </w:tc>
        <w:tc>
          <w:tcPr>
            <w:tcW w:type="dxa" w:w="1440"/>
          </w:tcPr>
          <w:p>
            <w:r>
              <w:t>Key Tools &amp; GPU Performance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Ingress Configuration</w:t>
            </w:r>
          </w:p>
        </w:tc>
        <w:tc>
          <w:tcPr>
            <w:tcW w:type="dxa" w:w="1440"/>
          </w:tcPr>
          <w:p>
            <w:r>
              <w:t>Configure secure ingress routes for user/service access</w:t>
            </w:r>
          </w:p>
        </w:tc>
        <w:tc>
          <w:tcPr>
            <w:tcW w:type="dxa" w:w="1440"/>
          </w:tcPr>
          <w:p>
            <w:r>
              <w:t>OpenShift Ingress with TLS termination; Load Balancer</w:t>
            </w:r>
          </w:p>
        </w:tc>
        <w:tc>
          <w:tcPr>
            <w:tcW w:type="dxa" w:w="1440"/>
          </w:tcPr>
          <w:p>
            <w:r>
              <w:t>- Define ingress routes</w:t>
              <w:br/>
              <w:t>- Apply TLS certs</w:t>
              <w:br/>
              <w:t>- Configure external DNS</w:t>
              <w:br/>
              <w:t>- Restrict ingress with whitelist rules</w:t>
            </w:r>
          </w:p>
        </w:tc>
        <w:tc>
          <w:tcPr>
            <w:tcW w:type="dxa" w:w="1440"/>
          </w:tcPr>
          <w:p>
            <w:r>
              <w:t>OpenShift Ingress; NGINX; Cert Manager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Egress Configuration</w:t>
            </w:r>
          </w:p>
        </w:tc>
        <w:tc>
          <w:tcPr>
            <w:tcW w:type="dxa" w:w="1440"/>
          </w:tcPr>
          <w:p>
            <w:r>
              <w:t>Control outbound traffic from cluster nodes</w:t>
            </w:r>
          </w:p>
        </w:tc>
        <w:tc>
          <w:tcPr>
            <w:tcW w:type="dxa" w:w="1440"/>
          </w:tcPr>
          <w:p>
            <w:r>
              <w:t>OpenShift Egress firewall; EgressNetworkPolicy</w:t>
            </w:r>
          </w:p>
        </w:tc>
        <w:tc>
          <w:tcPr>
            <w:tcW w:type="dxa" w:w="1440"/>
          </w:tcPr>
          <w:p>
            <w:r>
              <w:t>- Define egress firewall rules</w:t>
              <w:br/>
              <w:t>- Block unauthorized outbound traffic</w:t>
              <w:br/>
              <w:t>- Validate DNS/HTTP/S3 outbound paths</w:t>
            </w:r>
          </w:p>
        </w:tc>
        <w:tc>
          <w:tcPr>
            <w:tcW w:type="dxa" w:w="1440"/>
          </w:tcPr>
          <w:p>
            <w:r>
              <w:t>OCP NetworkPolicy; Calico; Istio; Squid Proxy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RBAC &amp; Access Control</w:t>
            </w:r>
          </w:p>
        </w:tc>
        <w:tc>
          <w:tcPr>
            <w:tcW w:type="dxa" w:w="1440"/>
          </w:tcPr>
          <w:p>
            <w:r>
              <w:t>Implement Role-Based Access Control for users/teams</w:t>
            </w:r>
          </w:p>
        </w:tc>
        <w:tc>
          <w:tcPr>
            <w:tcW w:type="dxa" w:w="1440"/>
          </w:tcPr>
          <w:p>
            <w:r>
              <w:t>OpenShift RBAC with fine-grained roles</w:t>
            </w:r>
          </w:p>
        </w:tc>
        <w:tc>
          <w:tcPr>
            <w:tcW w:type="dxa" w:w="1440"/>
          </w:tcPr>
          <w:p>
            <w:r>
              <w:t>- Define ClusterRoles &amp; RoleBindings</w:t>
              <w:br/>
              <w:t>- Map LDAP/SSO users to groups</w:t>
              <w:br/>
              <w:t>- Validate least-privilege access</w:t>
            </w:r>
          </w:p>
        </w:tc>
        <w:tc>
          <w:tcPr>
            <w:tcW w:type="dxa" w:w="1440"/>
          </w:tcPr>
          <w:p>
            <w:r>
              <w:t>OpenShift RBAC; LDAP/SSO; Kubernetes RBAC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Cluster Optimization</w:t>
            </w:r>
          </w:p>
        </w:tc>
        <w:tc>
          <w:tcPr>
            <w:tcW w:type="dxa" w:w="1440"/>
          </w:tcPr>
          <w:p>
            <w:r>
              <w:t>Tune GPU resource utilization and scheduling</w:t>
            </w:r>
          </w:p>
        </w:tc>
        <w:tc>
          <w:tcPr>
            <w:tcW w:type="dxa" w:w="1440"/>
          </w:tcPr>
          <w:p>
            <w:r>
              <w:t>Run:AI Scheduler policies; GPU partitioning; MIG configs</w:t>
            </w:r>
          </w:p>
        </w:tc>
        <w:tc>
          <w:tcPr>
            <w:tcW w:type="dxa" w:w="1440"/>
          </w:tcPr>
          <w:p>
            <w:r>
              <w:t>- Configure fair-share queues</w:t>
              <w:br/>
              <w:t>- Analyze GPU utilization reports</w:t>
              <w:br/>
              <w:t>- Enable MIG (if supported)</w:t>
            </w:r>
          </w:p>
        </w:tc>
        <w:tc>
          <w:tcPr>
            <w:tcW w:type="dxa" w:w="1440"/>
          </w:tcPr>
          <w:p>
            <w:r>
              <w:t>Run:AI; NVIDIA DCGM; MIG Toolkit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GPU Monitoring</w:t>
            </w:r>
          </w:p>
        </w:tc>
        <w:tc>
          <w:tcPr>
            <w:tcW w:type="dxa" w:w="1440"/>
          </w:tcPr>
          <w:p>
            <w:r>
              <w:t>Enable real-time GPU utilization, thermal, and power monitoring</w:t>
            </w:r>
          </w:p>
        </w:tc>
        <w:tc>
          <w:tcPr>
            <w:tcW w:type="dxa" w:w="1440"/>
          </w:tcPr>
          <w:p>
            <w:r>
              <w:t>GPU metrics exported to Prometheus &amp; Grafana</w:t>
            </w:r>
          </w:p>
        </w:tc>
        <w:tc>
          <w:tcPr>
            <w:tcW w:type="dxa" w:w="1440"/>
          </w:tcPr>
          <w:p>
            <w:r>
              <w:t>- Deploy NVIDIA DCGM Exporter</w:t>
              <w:br/>
              <w:t>- Set Grafana dashboards</w:t>
              <w:br/>
              <w:t>- Configure alerts for overheating, low utilization</w:t>
            </w:r>
          </w:p>
        </w:tc>
        <w:tc>
          <w:tcPr>
            <w:tcW w:type="dxa" w:w="1440"/>
          </w:tcPr>
          <w:p>
            <w:r>
              <w:t>Prometheus; Grafana; NVIDIA DCGM; Run:AI Monitoring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GPU Performance Tuning</w:t>
            </w:r>
          </w:p>
        </w:tc>
        <w:tc>
          <w:tcPr>
            <w:tcW w:type="dxa" w:w="1440"/>
          </w:tcPr>
          <w:p>
            <w:r>
              <w:t>Optimize kernel, drivers, CUDA stack for workloads</w:t>
            </w:r>
          </w:p>
        </w:tc>
        <w:tc>
          <w:tcPr>
            <w:tcW w:type="dxa" w:w="1440"/>
          </w:tcPr>
          <w:p>
            <w:r>
              <w:t>Custom CUDA config; optimized NCCL settings; driver tuning</w:t>
            </w:r>
          </w:p>
        </w:tc>
        <w:tc>
          <w:tcPr>
            <w:tcW w:type="dxa" w:w="1440"/>
          </w:tcPr>
          <w:p>
            <w:r>
              <w:t>- Validate GPU clocks</w:t>
              <w:br/>
              <w:t>- Enable persistence mode</w:t>
              <w:br/>
              <w:t>- Tune NCCL params</w:t>
              <w:br/>
              <w:t>- Benchmark PCIe/NVLink throughput</w:t>
            </w:r>
          </w:p>
        </w:tc>
        <w:tc>
          <w:tcPr>
            <w:tcW w:type="dxa" w:w="1440"/>
          </w:tcPr>
          <w:p>
            <w:r>
              <w:t>NVIDIA SMI; NCCL Tests; CUDA Toolkit; Run:AI Benchmarks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Cluster Networking</w:t>
            </w:r>
          </w:p>
        </w:tc>
        <w:tc>
          <w:tcPr>
            <w:tcW w:type="dxa" w:w="1440"/>
          </w:tcPr>
          <w:p>
            <w:r>
              <w:t>Ensure high-speed intra-node &amp; inter-node connectivity</w:t>
            </w:r>
          </w:p>
        </w:tc>
        <w:tc>
          <w:tcPr>
            <w:tcW w:type="dxa" w:w="1440"/>
          </w:tcPr>
          <w:p>
            <w:r>
              <w:t>InfiniBand/100G Ethernet with RDMA</w:t>
            </w:r>
          </w:p>
        </w:tc>
        <w:tc>
          <w:tcPr>
            <w:tcW w:type="dxa" w:w="1440"/>
          </w:tcPr>
          <w:p>
            <w:r>
              <w:t>- Validate RDMA working</w:t>
              <w:br/>
              <w:t>- Tune MTU, jumbo frames</w:t>
              <w:br/>
              <w:t>- Monitor packet drops</w:t>
              <w:br/>
              <w:t>- Optimize kube-proxy settings</w:t>
            </w:r>
          </w:p>
        </w:tc>
        <w:tc>
          <w:tcPr>
            <w:tcW w:type="dxa" w:w="1440"/>
          </w:tcPr>
          <w:p>
            <w:r>
              <w:t>Mellanox OFED; iperf3; Prometheus Node Exporter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Resource Quotas &amp; Isolation</w:t>
            </w:r>
          </w:p>
        </w:tc>
        <w:tc>
          <w:tcPr>
            <w:tcW w:type="dxa" w:w="1440"/>
          </w:tcPr>
          <w:p>
            <w:r>
              <w:t>Apply namespace-level quotas and isolation</w:t>
            </w:r>
          </w:p>
        </w:tc>
        <w:tc>
          <w:tcPr>
            <w:tcW w:type="dxa" w:w="1440"/>
          </w:tcPr>
          <w:p>
            <w:r>
              <w:t>OpenShift ResourceQuota; LimitRange; NetworkPolicy</w:t>
            </w:r>
          </w:p>
        </w:tc>
        <w:tc>
          <w:tcPr>
            <w:tcW w:type="dxa" w:w="1440"/>
          </w:tcPr>
          <w:p>
            <w:r>
              <w:t>- Define GPU resource quotas per namespace</w:t>
              <w:br/>
              <w:t>- Restrict cross-namespace access</w:t>
              <w:br/>
              <w:t>- Apply pod-level GPU limits</w:t>
            </w:r>
          </w:p>
        </w:tc>
        <w:tc>
          <w:tcPr>
            <w:tcW w:type="dxa" w:w="1440"/>
          </w:tcPr>
          <w:p>
            <w:r>
              <w:t>OpenShift Quota API; Kubernetes LimitRange; Calico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