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p>
    <w:p>
      <w:pPr>
        <w:spacing w:after="120"/>
        <w:jc w:val="center"/>
      </w:pPr>
      <w:r>
        <w:rPr>
          <w:rFonts w:ascii="Times New Roman" w:hAnsi="Times New Roman"/>
        </w:rPr>
        <w:t>[College logo]</w:t>
      </w:r>
    </w:p>
    <w:p>
      <w:pPr>
        <w:spacing w:after="120"/>
        <w:jc w:val="center"/>
      </w:pPr>
      <w:r>
        <w:rPr>
          <w:rFonts w:ascii="Times New Roman" w:hAnsi="Times New Roman"/>
          <w:b/>
        </w:rPr>
        <w:t>[University name]</w:t>
      </w:r>
    </w:p>
    <w:p>
      <w:pPr>
        <w:spacing w:after="120"/>
        <w:jc w:val="center"/>
      </w:pPr>
      <w:r>
        <w:rPr>
          <w:rFonts w:ascii="Times New Roman" w:hAnsi="Times New Roman"/>
          <w:b/>
        </w:rPr>
        <w:t>[College name]</w:t>
      </w:r>
    </w:p>
    <w:p>
      <w:pPr>
        <w:spacing w:after="120"/>
        <w:jc w:val="both"/>
      </w:pPr>
    </w:p>
    <w:p>
      <w:pPr>
        <w:spacing w:after="120"/>
        <w:jc w:val="center"/>
      </w:pPr>
      <w:r>
        <w:rPr>
          <w:rFonts w:ascii="Times New Roman" w:hAnsi="Times New Roman"/>
          <w:b/>
          <w:sz w:val="36"/>
        </w:rPr>
        <w:t>Artificial Intelligence, Search Engines, and Cyberchondria: A Study of Patient Pre-Consultation Behavior in Baghdad</w:t>
      </w:r>
    </w:p>
    <w:p>
      <w:pPr>
        <w:spacing w:after="120"/>
        <w:jc w:val="both"/>
      </w:pPr>
    </w:p>
    <w:p>
      <w:pPr>
        <w:spacing w:after="120"/>
        <w:jc w:val="center"/>
      </w:pPr>
      <w:r>
        <w:rPr>
          <w:rFonts w:ascii="Times New Roman" w:hAnsi="Times New Roman"/>
        </w:rPr>
        <w:t>A graduation research project submitted in partial fulfilment of the requirements for the degree of [Degree]</w:t>
      </w:r>
    </w:p>
    <w:p>
      <w:pPr>
        <w:spacing w:after="120"/>
        <w:jc w:val="both"/>
      </w:pPr>
    </w:p>
    <w:p>
      <w:pPr>
        <w:spacing w:after="120"/>
        <w:jc w:val="center"/>
      </w:pPr>
      <w:r>
        <w:rPr>
          <w:rFonts w:ascii="Times New Roman" w:hAnsi="Times New Roman"/>
          <w:b/>
        </w:rPr>
        <w:t>Prepared by:</w:t>
      </w:r>
    </w:p>
    <w:p>
      <w:pPr>
        <w:spacing w:after="120"/>
        <w:jc w:val="center"/>
      </w:pPr>
      <w:r>
        <w:rPr>
          <w:rFonts w:ascii="Times New Roman" w:hAnsi="Times New Roman"/>
        </w:rPr>
        <w:t>[Student name 1]   ·   [Student name 2]   ·   [Student name 3]</w:t>
      </w:r>
    </w:p>
    <w:p>
      <w:pPr>
        <w:spacing w:after="120"/>
        <w:jc w:val="both"/>
      </w:pPr>
    </w:p>
    <w:p>
      <w:pPr>
        <w:spacing w:after="120"/>
        <w:jc w:val="center"/>
      </w:pPr>
      <w:r>
        <w:rPr>
          <w:rFonts w:ascii="Times New Roman" w:hAnsi="Times New Roman"/>
          <w:b/>
        </w:rPr>
        <w:t>Supervised by:</w:t>
      </w:r>
    </w:p>
    <w:p>
      <w:pPr>
        <w:spacing w:after="120"/>
        <w:jc w:val="center"/>
      </w:pPr>
      <w:r>
        <w:rPr>
          <w:rFonts w:ascii="Times New Roman" w:hAnsi="Times New Roman"/>
        </w:rPr>
        <w:t>[Supervisor name and title]</w:t>
      </w:r>
    </w:p>
    <w:p>
      <w:pPr>
        <w:spacing w:after="120"/>
        <w:jc w:val="both"/>
      </w:pPr>
    </w:p>
    <w:p>
      <w:pPr>
        <w:spacing w:after="120"/>
        <w:jc w:val="center"/>
      </w:pPr>
      <w:r>
        <w:rPr>
          <w:rFonts w:ascii="Times New Roman" w:hAnsi="Times New Roman"/>
        </w:rPr>
        <w:t>[Academic year]</w:t>
      </w:r>
    </w:p>
    <w:p>
      <w:r>
        <w:br w:type="page"/>
      </w:r>
    </w:p>
    <w:p>
      <w:pPr>
        <w:pStyle w:val="Heading1"/>
      </w:pPr>
      <w:r>
        <w:t>Acknowledgment</w:t>
      </w:r>
    </w:p>
    <w:p>
      <w:pPr>
        <w:spacing w:after="120"/>
        <w:jc w:val="both"/>
      </w:pPr>
      <w:r>
        <w:rPr>
          <w:rFonts w:ascii="Times New Roman" w:hAnsi="Times New Roman"/>
        </w:rPr>
        <w:t>[To be completed by the authors.]</w:t>
      </w:r>
    </w:p>
    <w:p>
      <w:pPr>
        <w:spacing w:after="120"/>
        <w:ind w:firstLine="567"/>
        <w:jc w:val="both"/>
      </w:pPr>
      <w:r>
        <w:rPr>
          <w:rFonts w:ascii="Times New Roman" w:hAnsi="Times New Roman"/>
        </w:rPr>
        <w:t>We thank all the participants who gave their time to complete this survey, and [names of supervisor, department and any others to be acknowledged].</w:t>
      </w:r>
    </w:p>
    <w:p>
      <w:r>
        <w:br w:type="page"/>
      </w:r>
    </w:p>
    <w:p>
      <w:pPr>
        <w:pStyle w:val="Heading1"/>
      </w:pPr>
      <w:r>
        <w:t>Table of Contents</w:t>
      </w:r>
    </w:p>
    <w:p/>
    <w:p>
      <w:pPr>
        <w:tabs>
          <w:tab w:pos="8787" w:val="right" w:leader="dot"/>
        </w:tabs>
        <w:spacing w:line="276" w:lineRule="auto" w:after="100"/>
        <w:ind w:left="0"/>
      </w:pPr>
      <w:r>
        <w:fldChar w:fldCharType="begin"/>
        <w:instrText xml:space="preserve">TOC \o "1-2" \h \z \u</w:instrText>
        <w:fldChar w:fldCharType="separate"/>
      </w:r>
      <w:r>
        <w:rPr>
          <w:b/>
          <w:sz w:val="26"/>
        </w:rPr>
        <w:t>Summary / Abstract</w:t>
      </w:r>
      <w:r>
        <w:rPr>
          <w:sz w:val="26"/>
        </w:rPr>
        <w:tab/>
        <w:t>viii</w:t>
      </w:r>
    </w:p>
    <w:p>
      <w:pPr>
        <w:tabs>
          <w:tab w:pos="8787" w:val="right" w:leader="dot"/>
        </w:tabs>
        <w:spacing w:line="276" w:lineRule="auto" w:after="100"/>
        <w:ind w:left="0"/>
      </w:pPr>
      <w:r>
        <w:rPr>
          <w:b/>
          <w:sz w:val="26"/>
        </w:rPr>
        <w:t>1. Introduction</w:t>
      </w:r>
      <w:r>
        <w:rPr>
          <w:sz w:val="26"/>
        </w:rPr>
        <w:tab/>
        <w:t>1</w:t>
      </w:r>
    </w:p>
    <w:p>
      <w:pPr>
        <w:tabs>
          <w:tab w:pos="8787" w:val="right" w:leader="dot"/>
        </w:tabs>
        <w:spacing w:line="276" w:lineRule="auto" w:after="60"/>
        <w:ind w:left="454"/>
      </w:pPr>
      <w:r>
        <w:rPr>
          <w:b w:val="0"/>
          <w:sz w:val="24"/>
        </w:rPr>
        <w:t>1.1 Background</w:t>
      </w:r>
      <w:r>
        <w:rPr>
          <w:sz w:val="24"/>
        </w:rPr>
        <w:tab/>
        <w:t>1</w:t>
      </w:r>
    </w:p>
    <w:p>
      <w:pPr>
        <w:tabs>
          <w:tab w:pos="8787" w:val="right" w:leader="dot"/>
        </w:tabs>
        <w:spacing w:line="276" w:lineRule="auto" w:after="60"/>
        <w:ind w:left="454"/>
      </w:pPr>
      <w:r>
        <w:rPr>
          <w:b w:val="0"/>
          <w:sz w:val="24"/>
        </w:rPr>
        <w:t>1.2 Health anxiety</w:t>
      </w:r>
      <w:r>
        <w:rPr>
          <w:sz w:val="24"/>
        </w:rPr>
        <w:tab/>
        <w:t>1</w:t>
      </w:r>
    </w:p>
    <w:p>
      <w:pPr>
        <w:tabs>
          <w:tab w:pos="8787" w:val="right" w:leader="dot"/>
        </w:tabs>
        <w:spacing w:line="276" w:lineRule="auto" w:after="60"/>
        <w:ind w:left="454"/>
      </w:pPr>
      <w:r>
        <w:rPr>
          <w:b w:val="0"/>
          <w:sz w:val="24"/>
        </w:rPr>
        <w:t>1.3 Cyberchondria</w:t>
      </w:r>
      <w:r>
        <w:rPr>
          <w:sz w:val="24"/>
        </w:rPr>
        <w:tab/>
        <w:t>2</w:t>
      </w:r>
    </w:p>
    <w:p>
      <w:pPr>
        <w:tabs>
          <w:tab w:pos="8787" w:val="right" w:leader="dot"/>
        </w:tabs>
        <w:spacing w:line="276" w:lineRule="auto" w:after="60"/>
        <w:ind w:left="454"/>
      </w:pPr>
      <w:r>
        <w:rPr>
          <w:b w:val="0"/>
          <w:sz w:val="24"/>
        </w:rPr>
        <w:t>1.4 The relationship between health anxiety and cyberchondria</w:t>
      </w:r>
      <w:r>
        <w:rPr>
          <w:sz w:val="24"/>
        </w:rPr>
        <w:tab/>
        <w:t>3</w:t>
      </w:r>
    </w:p>
    <w:p>
      <w:pPr>
        <w:tabs>
          <w:tab w:pos="8787" w:val="right" w:leader="dot"/>
        </w:tabs>
        <w:spacing w:line="276" w:lineRule="auto" w:after="60"/>
        <w:ind w:left="454"/>
      </w:pPr>
      <w:r>
        <w:rPr>
          <w:b w:val="0"/>
          <w:sz w:val="24"/>
        </w:rPr>
        <w:t>1.5 From search engines to AI chatbots</w:t>
      </w:r>
      <w:r>
        <w:rPr>
          <w:sz w:val="24"/>
        </w:rPr>
        <w:tab/>
        <w:t>4</w:t>
      </w:r>
    </w:p>
    <w:p>
      <w:pPr>
        <w:tabs>
          <w:tab w:pos="8787" w:val="right" w:leader="dot"/>
        </w:tabs>
        <w:spacing w:line="276" w:lineRule="auto" w:after="60"/>
        <w:ind w:left="454"/>
      </w:pPr>
      <w:r>
        <w:rPr>
          <w:b w:val="0"/>
          <w:sz w:val="24"/>
        </w:rPr>
        <w:t>1.6 Online searching and the doctor–patient relationship</w:t>
      </w:r>
      <w:r>
        <w:rPr>
          <w:sz w:val="24"/>
        </w:rPr>
        <w:tab/>
        <w:t>5</w:t>
      </w:r>
    </w:p>
    <w:p>
      <w:pPr>
        <w:tabs>
          <w:tab w:pos="8787" w:val="right" w:leader="dot"/>
        </w:tabs>
        <w:spacing w:line="276" w:lineRule="auto" w:after="60"/>
        <w:ind w:left="454"/>
      </w:pPr>
      <w:r>
        <w:rPr>
          <w:b w:val="0"/>
          <w:sz w:val="24"/>
        </w:rPr>
        <w:t>1.7 Rationale</w:t>
      </w:r>
      <w:r>
        <w:rPr>
          <w:sz w:val="24"/>
        </w:rPr>
        <w:tab/>
        <w:t>5</w:t>
      </w:r>
    </w:p>
    <w:p>
      <w:pPr>
        <w:tabs>
          <w:tab w:pos="8787" w:val="right" w:leader="dot"/>
        </w:tabs>
        <w:spacing w:line="276" w:lineRule="auto" w:after="60"/>
        <w:ind w:left="454"/>
      </w:pPr>
      <w:r>
        <w:rPr>
          <w:b w:val="0"/>
          <w:sz w:val="24"/>
        </w:rPr>
        <w:t>1.8 Aim and objectives</w:t>
      </w:r>
      <w:r>
        <w:rPr>
          <w:sz w:val="24"/>
        </w:rPr>
        <w:tab/>
        <w:t>6</w:t>
      </w:r>
    </w:p>
    <w:p>
      <w:pPr>
        <w:tabs>
          <w:tab w:pos="8787" w:val="right" w:leader="dot"/>
        </w:tabs>
        <w:spacing w:line="276" w:lineRule="auto" w:after="100"/>
        <w:ind w:left="0"/>
      </w:pPr>
      <w:r>
        <w:rPr>
          <w:b/>
          <w:sz w:val="26"/>
        </w:rPr>
        <w:t>2. Method</w:t>
      </w:r>
      <w:r>
        <w:rPr>
          <w:sz w:val="26"/>
        </w:rPr>
        <w:tab/>
        <w:t>7</w:t>
      </w:r>
    </w:p>
    <w:p>
      <w:pPr>
        <w:tabs>
          <w:tab w:pos="8787" w:val="right" w:leader="dot"/>
        </w:tabs>
        <w:spacing w:line="276" w:lineRule="auto" w:after="60"/>
        <w:ind w:left="454"/>
      </w:pPr>
      <w:r>
        <w:rPr>
          <w:b w:val="0"/>
          <w:sz w:val="24"/>
        </w:rPr>
        <w:t>2.1 Study design and setting</w:t>
      </w:r>
      <w:r>
        <w:rPr>
          <w:sz w:val="24"/>
        </w:rPr>
        <w:tab/>
        <w:t>7</w:t>
      </w:r>
    </w:p>
    <w:p>
      <w:pPr>
        <w:tabs>
          <w:tab w:pos="8787" w:val="right" w:leader="dot"/>
        </w:tabs>
        <w:spacing w:line="276" w:lineRule="auto" w:after="60"/>
        <w:ind w:left="454"/>
      </w:pPr>
      <w:r>
        <w:rPr>
          <w:b w:val="0"/>
          <w:sz w:val="24"/>
        </w:rPr>
        <w:t>2.2 Participants and sampling</w:t>
      </w:r>
      <w:r>
        <w:rPr>
          <w:sz w:val="24"/>
        </w:rPr>
        <w:tab/>
        <w:t>7</w:t>
      </w:r>
    </w:p>
    <w:p>
      <w:pPr>
        <w:tabs>
          <w:tab w:pos="8787" w:val="right" w:leader="dot"/>
        </w:tabs>
        <w:spacing w:line="276" w:lineRule="auto" w:after="60"/>
        <w:ind w:left="454"/>
      </w:pPr>
      <w:r>
        <w:rPr>
          <w:b w:val="0"/>
          <w:sz w:val="24"/>
        </w:rPr>
        <w:t>2.3 Sample size</w:t>
      </w:r>
      <w:r>
        <w:rPr>
          <w:sz w:val="24"/>
        </w:rPr>
        <w:tab/>
        <w:t>7</w:t>
      </w:r>
    </w:p>
    <w:p>
      <w:pPr>
        <w:tabs>
          <w:tab w:pos="8787" w:val="right" w:leader="dot"/>
        </w:tabs>
        <w:spacing w:line="276" w:lineRule="auto" w:after="60"/>
        <w:ind w:left="454"/>
      </w:pPr>
      <w:r>
        <w:rPr>
          <w:b w:val="0"/>
          <w:sz w:val="24"/>
        </w:rPr>
        <w:t>2.4 Data collection instrument</w:t>
      </w:r>
      <w:r>
        <w:rPr>
          <w:sz w:val="24"/>
        </w:rPr>
        <w:tab/>
        <w:t>8</w:t>
      </w:r>
    </w:p>
    <w:p>
      <w:pPr>
        <w:tabs>
          <w:tab w:pos="8787" w:val="right" w:leader="dot"/>
        </w:tabs>
        <w:spacing w:line="276" w:lineRule="auto" w:after="60"/>
        <w:ind w:left="454"/>
      </w:pPr>
      <w:r>
        <w:rPr>
          <w:b w:val="0"/>
          <w:sz w:val="24"/>
        </w:rPr>
        <w:t>2.5 Variables and operational definitions</w:t>
      </w:r>
      <w:r>
        <w:rPr>
          <w:sz w:val="24"/>
        </w:rPr>
        <w:tab/>
        <w:t>9</w:t>
      </w:r>
    </w:p>
    <w:p>
      <w:pPr>
        <w:tabs>
          <w:tab w:pos="8787" w:val="right" w:leader="dot"/>
        </w:tabs>
        <w:spacing w:line="276" w:lineRule="auto" w:after="60"/>
        <w:ind w:left="454"/>
      </w:pPr>
      <w:r>
        <w:rPr>
          <w:b w:val="0"/>
          <w:sz w:val="24"/>
        </w:rPr>
        <w:t>2.6 Statistical analysis</w:t>
      </w:r>
      <w:r>
        <w:rPr>
          <w:sz w:val="24"/>
        </w:rPr>
        <w:tab/>
        <w:t>10</w:t>
      </w:r>
    </w:p>
    <w:p>
      <w:pPr>
        <w:tabs>
          <w:tab w:pos="8787" w:val="right" w:leader="dot"/>
        </w:tabs>
        <w:spacing w:line="276" w:lineRule="auto" w:after="60"/>
        <w:ind w:left="454"/>
      </w:pPr>
      <w:r>
        <w:rPr>
          <w:b w:val="0"/>
          <w:sz w:val="24"/>
        </w:rPr>
        <w:t>2.7 Ethical considerations</w:t>
      </w:r>
      <w:r>
        <w:rPr>
          <w:sz w:val="24"/>
        </w:rPr>
        <w:tab/>
        <w:t>12</w:t>
      </w:r>
    </w:p>
    <w:p>
      <w:pPr>
        <w:tabs>
          <w:tab w:pos="8787" w:val="right" w:leader="dot"/>
        </w:tabs>
        <w:spacing w:line="276" w:lineRule="auto" w:after="100"/>
        <w:ind w:left="0"/>
      </w:pPr>
      <w:r>
        <w:rPr>
          <w:b/>
          <w:sz w:val="26"/>
        </w:rPr>
        <w:t>3. Results</w:t>
      </w:r>
      <w:r>
        <w:rPr>
          <w:sz w:val="26"/>
        </w:rPr>
        <w:tab/>
        <w:t>12</w:t>
      </w:r>
    </w:p>
    <w:p>
      <w:pPr>
        <w:tabs>
          <w:tab w:pos="8787" w:val="right" w:leader="dot"/>
        </w:tabs>
        <w:spacing w:line="276" w:lineRule="auto" w:after="60"/>
        <w:ind w:left="454"/>
      </w:pPr>
      <w:r>
        <w:rPr>
          <w:b w:val="0"/>
          <w:sz w:val="24"/>
        </w:rPr>
        <w:t>3.1 Characteristics of participants</w:t>
      </w:r>
      <w:r>
        <w:rPr>
          <w:sz w:val="24"/>
        </w:rPr>
        <w:tab/>
        <w:t>12</w:t>
      </w:r>
    </w:p>
    <w:p>
      <w:pPr>
        <w:tabs>
          <w:tab w:pos="8787" w:val="right" w:leader="dot"/>
        </w:tabs>
        <w:spacing w:line="276" w:lineRule="auto" w:after="60"/>
        <w:ind w:left="454"/>
      </w:pPr>
      <w:r>
        <w:rPr>
          <w:b w:val="0"/>
          <w:sz w:val="24"/>
        </w:rPr>
        <w:t>3.2 Patterns of online health information seeking</w:t>
      </w:r>
      <w:r>
        <w:rPr>
          <w:sz w:val="24"/>
        </w:rPr>
        <w:tab/>
        <w:t>13</w:t>
      </w:r>
    </w:p>
    <w:p>
      <w:pPr>
        <w:tabs>
          <w:tab w:pos="8787" w:val="right" w:leader="dot"/>
        </w:tabs>
        <w:spacing w:line="276" w:lineRule="auto" w:after="60"/>
        <w:ind w:left="454"/>
      </w:pPr>
      <w:r>
        <w:rPr>
          <w:b w:val="0"/>
          <w:sz w:val="24"/>
        </w:rPr>
        <w:t>3.3 Pre-consultation behaviour and the doctor–patient relationship</w:t>
      </w:r>
      <w:r>
        <w:rPr>
          <w:sz w:val="24"/>
        </w:rPr>
        <w:tab/>
        <w:t>15</w:t>
      </w:r>
    </w:p>
    <w:p>
      <w:pPr>
        <w:tabs>
          <w:tab w:pos="8787" w:val="right" w:leader="dot"/>
        </w:tabs>
        <w:spacing w:line="276" w:lineRule="auto" w:after="60"/>
        <w:ind w:left="454"/>
      </w:pPr>
      <w:r>
        <w:rPr>
          <w:b w:val="0"/>
          <w:sz w:val="24"/>
        </w:rPr>
        <w:t>3.4 Levels of health anxiety and cyberchondria, and psychometric properties</w:t>
      </w:r>
      <w:r>
        <w:rPr>
          <w:sz w:val="24"/>
        </w:rPr>
        <w:tab/>
        <w:t>16</w:t>
      </w:r>
    </w:p>
    <w:p>
      <w:pPr>
        <w:tabs>
          <w:tab w:pos="8787" w:val="right" w:leader="dot"/>
        </w:tabs>
        <w:spacing w:line="276" w:lineRule="auto" w:after="60"/>
        <w:ind w:left="454"/>
      </w:pPr>
      <w:r>
        <w:rPr>
          <w:b w:val="0"/>
          <w:sz w:val="24"/>
        </w:rPr>
        <w:t>3.5 Association between health anxiety and cyberchondria</w:t>
      </w:r>
      <w:r>
        <w:rPr>
          <w:sz w:val="24"/>
        </w:rPr>
        <w:tab/>
        <w:t>17</w:t>
      </w:r>
    </w:p>
    <w:p>
      <w:pPr>
        <w:tabs>
          <w:tab w:pos="8787" w:val="right" w:leader="dot"/>
        </w:tabs>
        <w:spacing w:line="276" w:lineRule="auto" w:after="60"/>
        <w:ind w:left="454"/>
      </w:pPr>
      <w:r>
        <w:rPr>
          <w:b w:val="0"/>
          <w:sz w:val="24"/>
        </w:rPr>
        <w:t>3.6 Factors associated with health anxiety and cyberchondria (bivariate analysis)</w:t>
      </w:r>
      <w:r>
        <w:rPr>
          <w:sz w:val="24"/>
        </w:rPr>
        <w:tab/>
        <w:t>20</w:t>
      </w:r>
    </w:p>
    <w:p>
      <w:pPr>
        <w:tabs>
          <w:tab w:pos="8787" w:val="right" w:leader="dot"/>
        </w:tabs>
        <w:spacing w:line="276" w:lineRule="auto" w:after="60"/>
        <w:ind w:left="454"/>
      </w:pPr>
      <w:r>
        <w:rPr>
          <w:b w:val="0"/>
          <w:sz w:val="24"/>
        </w:rPr>
        <w:t>3.7 Independent predictors (multivariable analysis)</w:t>
      </w:r>
      <w:r>
        <w:rPr>
          <w:sz w:val="24"/>
        </w:rPr>
        <w:tab/>
        <w:t>24</w:t>
      </w:r>
    </w:p>
    <w:p>
      <w:pPr>
        <w:tabs>
          <w:tab w:pos="8787" w:val="right" w:leader="dot"/>
        </w:tabs>
        <w:spacing w:line="276" w:lineRule="auto" w:after="60"/>
        <w:ind w:left="454"/>
      </w:pPr>
      <w:r>
        <w:rPr>
          <w:b w:val="0"/>
          <w:sz w:val="24"/>
        </w:rPr>
        <w:t>3.8 Health anxiety, cyberchondria and pre-consultation behaviour</w:t>
      </w:r>
      <w:r>
        <w:rPr>
          <w:sz w:val="24"/>
        </w:rPr>
        <w:tab/>
        <w:t>26</w:t>
      </w:r>
    </w:p>
    <w:p>
      <w:pPr>
        <w:tabs>
          <w:tab w:pos="8787" w:val="right" w:leader="dot"/>
        </w:tabs>
        <w:spacing w:line="276" w:lineRule="auto" w:after="60"/>
        <w:ind w:left="454"/>
      </w:pPr>
      <w:r>
        <w:rPr>
          <w:b w:val="0"/>
          <w:sz w:val="24"/>
        </w:rPr>
        <w:t>3.9 Pathways: mediation and moderation</w:t>
      </w:r>
      <w:r>
        <w:rPr>
          <w:sz w:val="24"/>
        </w:rPr>
        <w:tab/>
        <w:t>27</w:t>
      </w:r>
    </w:p>
    <w:p>
      <w:pPr>
        <w:tabs>
          <w:tab w:pos="8787" w:val="right" w:leader="dot"/>
        </w:tabs>
        <w:spacing w:line="276" w:lineRule="auto" w:after="60"/>
        <w:ind w:left="454"/>
      </w:pPr>
      <w:r>
        <w:rPr>
          <w:b w:val="0"/>
          <w:sz w:val="24"/>
        </w:rPr>
        <w:t>3.10 Sensitivity analyses</w:t>
      </w:r>
      <w:r>
        <w:rPr>
          <w:sz w:val="24"/>
        </w:rPr>
        <w:tab/>
        <w:t>29</w:t>
      </w:r>
    </w:p>
    <w:p>
      <w:pPr>
        <w:tabs>
          <w:tab w:pos="8787" w:val="right" w:leader="dot"/>
        </w:tabs>
        <w:spacing w:line="276" w:lineRule="auto" w:after="100"/>
        <w:ind w:left="0"/>
      </w:pPr>
      <w:r>
        <w:rPr>
          <w:b/>
          <w:sz w:val="26"/>
        </w:rPr>
        <w:t>4. Discussion</w:t>
      </w:r>
      <w:r>
        <w:rPr>
          <w:sz w:val="26"/>
        </w:rPr>
        <w:tab/>
        <w:t>30</w:t>
      </w:r>
    </w:p>
    <w:p>
      <w:pPr>
        <w:tabs>
          <w:tab w:pos="8787" w:val="right" w:leader="dot"/>
        </w:tabs>
        <w:spacing w:line="276" w:lineRule="auto" w:after="60"/>
        <w:ind w:left="454"/>
      </w:pPr>
      <w:r>
        <w:rPr>
          <w:b w:val="0"/>
          <w:sz w:val="24"/>
        </w:rPr>
        <w:t>4.1 Principal findings</w:t>
      </w:r>
      <w:r>
        <w:rPr>
          <w:sz w:val="24"/>
        </w:rPr>
        <w:tab/>
        <w:t>30</w:t>
      </w:r>
    </w:p>
    <w:p>
      <w:pPr>
        <w:tabs>
          <w:tab w:pos="8787" w:val="right" w:leader="dot"/>
        </w:tabs>
        <w:spacing w:line="276" w:lineRule="auto" w:after="60"/>
        <w:ind w:left="454"/>
      </w:pPr>
      <w:r>
        <w:rPr>
          <w:b w:val="0"/>
          <w:sz w:val="24"/>
        </w:rPr>
        <w:t>4.2 Health anxiety and cyberchondria</w:t>
      </w:r>
      <w:r>
        <w:rPr>
          <w:sz w:val="24"/>
        </w:rPr>
        <w:tab/>
        <w:t>30</w:t>
      </w:r>
    </w:p>
    <w:p>
      <w:pPr>
        <w:tabs>
          <w:tab w:pos="8787" w:val="right" w:leader="dot"/>
        </w:tabs>
        <w:spacing w:line="276" w:lineRule="auto" w:after="60"/>
        <w:ind w:left="454"/>
      </w:pPr>
      <w:r>
        <w:rPr>
          <w:b w:val="0"/>
          <w:sz w:val="24"/>
        </w:rPr>
        <w:t>4.3 Do health anxiety and cyberchondria fuel each other?</w:t>
      </w:r>
      <w:r>
        <w:rPr>
          <w:sz w:val="24"/>
        </w:rPr>
        <w:tab/>
        <w:t>31</w:t>
      </w:r>
    </w:p>
    <w:p>
      <w:pPr>
        <w:tabs>
          <w:tab w:pos="8787" w:val="right" w:leader="dot"/>
        </w:tabs>
        <w:spacing w:line="276" w:lineRule="auto" w:after="60"/>
        <w:ind w:left="454"/>
      </w:pPr>
      <w:r>
        <w:rPr>
          <w:b w:val="0"/>
          <w:sz w:val="24"/>
        </w:rPr>
        <w:t>4.4 The role of AI chatbots</w:t>
      </w:r>
      <w:r>
        <w:rPr>
          <w:sz w:val="24"/>
        </w:rPr>
        <w:tab/>
        <w:t>32</w:t>
      </w:r>
    </w:p>
    <w:p>
      <w:pPr>
        <w:tabs>
          <w:tab w:pos="8787" w:val="right" w:leader="dot"/>
        </w:tabs>
        <w:spacing w:line="276" w:lineRule="auto" w:after="60"/>
        <w:ind w:left="454"/>
      </w:pPr>
      <w:r>
        <w:rPr>
          <w:b w:val="0"/>
          <w:sz w:val="24"/>
        </w:rPr>
        <w:t>4.5 Pre-consultation behaviour and the doctor–patient relationship</w:t>
      </w:r>
      <w:r>
        <w:rPr>
          <w:sz w:val="24"/>
        </w:rPr>
        <w:tab/>
        <w:t>33</w:t>
      </w:r>
    </w:p>
    <w:p>
      <w:pPr>
        <w:tabs>
          <w:tab w:pos="8787" w:val="right" w:leader="dot"/>
        </w:tabs>
        <w:spacing w:line="276" w:lineRule="auto" w:after="60"/>
        <w:ind w:left="454"/>
      </w:pPr>
      <w:r>
        <w:rPr>
          <w:b w:val="0"/>
          <w:sz w:val="24"/>
        </w:rPr>
        <w:t>4.6 Medical and health-science students</w:t>
      </w:r>
      <w:r>
        <w:rPr>
          <w:sz w:val="24"/>
        </w:rPr>
        <w:tab/>
        <w:t>34</w:t>
      </w:r>
    </w:p>
    <w:p>
      <w:pPr>
        <w:tabs>
          <w:tab w:pos="8787" w:val="right" w:leader="dot"/>
        </w:tabs>
        <w:spacing w:line="276" w:lineRule="auto" w:after="60"/>
        <w:ind w:left="454"/>
      </w:pPr>
      <w:r>
        <w:rPr>
          <w:b w:val="0"/>
          <w:sz w:val="24"/>
        </w:rPr>
        <w:t>4.7 Comparison with regional studies</w:t>
      </w:r>
      <w:r>
        <w:rPr>
          <w:sz w:val="24"/>
        </w:rPr>
        <w:tab/>
        <w:t>35</w:t>
      </w:r>
    </w:p>
    <w:p>
      <w:pPr>
        <w:tabs>
          <w:tab w:pos="8787" w:val="right" w:leader="dot"/>
        </w:tabs>
        <w:spacing w:line="276" w:lineRule="auto" w:after="60"/>
        <w:ind w:left="454"/>
      </w:pPr>
      <w:r>
        <w:rPr>
          <w:b w:val="0"/>
          <w:sz w:val="24"/>
        </w:rPr>
        <w:t>4.8 Strengths and limitations</w:t>
      </w:r>
      <w:r>
        <w:rPr>
          <w:sz w:val="24"/>
        </w:rPr>
        <w:tab/>
        <w:t>35</w:t>
      </w:r>
    </w:p>
    <w:p>
      <w:pPr>
        <w:tabs>
          <w:tab w:pos="8787" w:val="right" w:leader="dot"/>
        </w:tabs>
        <w:spacing w:line="276" w:lineRule="auto" w:after="100"/>
        <w:ind w:left="0"/>
      </w:pPr>
      <w:r>
        <w:rPr>
          <w:b/>
          <w:sz w:val="26"/>
        </w:rPr>
        <w:t>5. Conclusions and Recommendations</w:t>
      </w:r>
      <w:r>
        <w:rPr>
          <w:sz w:val="26"/>
        </w:rPr>
        <w:tab/>
        <w:t>37</w:t>
      </w:r>
    </w:p>
    <w:p>
      <w:pPr>
        <w:tabs>
          <w:tab w:pos="8787" w:val="right" w:leader="dot"/>
        </w:tabs>
        <w:spacing w:line="276" w:lineRule="auto" w:after="60"/>
        <w:ind w:left="454"/>
      </w:pPr>
      <w:r>
        <w:rPr>
          <w:b w:val="0"/>
          <w:sz w:val="24"/>
        </w:rPr>
        <w:t>5.1 Conclusions</w:t>
      </w:r>
      <w:r>
        <w:rPr>
          <w:sz w:val="24"/>
        </w:rPr>
        <w:tab/>
        <w:t>37</w:t>
      </w:r>
    </w:p>
    <w:p>
      <w:pPr>
        <w:tabs>
          <w:tab w:pos="8787" w:val="right" w:leader="dot"/>
        </w:tabs>
        <w:spacing w:line="276" w:lineRule="auto" w:after="60"/>
        <w:ind w:left="454"/>
      </w:pPr>
      <w:r>
        <w:rPr>
          <w:b w:val="0"/>
          <w:sz w:val="24"/>
        </w:rPr>
        <w:t>5.2 Recommendations</w:t>
      </w:r>
      <w:r>
        <w:rPr>
          <w:sz w:val="24"/>
        </w:rPr>
        <w:tab/>
        <w:t>38</w:t>
      </w:r>
    </w:p>
    <w:p>
      <w:pPr>
        <w:tabs>
          <w:tab w:pos="8787" w:val="right" w:leader="dot"/>
        </w:tabs>
        <w:spacing w:line="276" w:lineRule="auto" w:after="100"/>
        <w:ind w:left="0"/>
      </w:pPr>
      <w:r>
        <w:rPr>
          <w:b/>
          <w:sz w:val="26"/>
        </w:rPr>
        <w:t>6. References</w:t>
      </w:r>
      <w:r>
        <w:rPr>
          <w:sz w:val="26"/>
        </w:rPr>
        <w:tab/>
        <w:t>39</w:t>
      </w:r>
    </w:p>
    <w:p>
      <w:pPr>
        <w:tabs>
          <w:tab w:pos="8787" w:val="right" w:leader="dot"/>
        </w:tabs>
        <w:spacing w:line="276" w:lineRule="auto" w:after="100"/>
        <w:ind w:left="0"/>
      </w:pPr>
      <w:r>
        <w:rPr>
          <w:b/>
          <w:sz w:val="26"/>
        </w:rPr>
        <w:t>Appendices</w:t>
      </w:r>
      <w:r>
        <w:rPr>
          <w:sz w:val="26"/>
        </w:rPr>
        <w:tab/>
        <w:t>44</w:t>
      </w:r>
    </w:p>
    <w:p>
      <w:pPr>
        <w:tabs>
          <w:tab w:pos="8787" w:val="right" w:leader="dot"/>
        </w:tabs>
        <w:spacing w:line="276" w:lineRule="auto" w:after="60"/>
        <w:ind w:left="454"/>
      </w:pPr>
      <w:r>
        <w:rPr>
          <w:b w:val="0"/>
          <w:sz w:val="24"/>
        </w:rPr>
        <w:t>Appendix A. Item-by-item correlations between the SHAI-14 and CSS-12</w:t>
      </w:r>
      <w:r>
        <w:rPr>
          <w:sz w:val="24"/>
        </w:rPr>
        <w:tab/>
        <w:t>44</w:t>
      </w:r>
    </w:p>
    <w:p>
      <w:pPr>
        <w:tabs>
          <w:tab w:pos="8787" w:val="right" w:leader="dot"/>
        </w:tabs>
        <w:spacing w:line="276" w:lineRule="auto" w:after="60"/>
        <w:ind w:left="454"/>
      </w:pPr>
      <w:r>
        <w:rPr>
          <w:b w:val="0"/>
          <w:sz w:val="24"/>
        </w:rPr>
        <w:t>Appendix B. Study questionnaire</w:t>
      </w:r>
      <w:r>
        <w:rPr>
          <w:sz w:val="24"/>
        </w:rPr>
        <w:tab/>
        <w:t>45</w:t>
        <w:fldChar w:fldCharType="end"/>
      </w:r>
    </w:p>
    <w:p>
      <w:r>
        <w:br w:type="page"/>
      </w:r>
    </w:p>
    <w:p>
      <w:pPr>
        <w:pStyle w:val="Heading1"/>
      </w:pPr>
      <w:r>
        <w:t>List of Abbreviations</w:t>
      </w:r>
    </w:p>
    <w:tbl>
      <w:tblPr>
        <w:tblW w:type="auto" w:w="0"/>
        <w:tblLook w:firstColumn="1" w:firstRow="1" w:lastColumn="0" w:lastRow="0" w:noHBand="0" w:noVBand="1" w:val="04A0"/>
      </w:tblPr>
      <w:tblGrid>
        <w:gridCol w:w="4394"/>
        <w:gridCol w:w="4394"/>
      </w:tblGrid>
      <w:tr>
        <w:tc>
          <w:tcPr>
            <w:tcW w:type="dxa" w:w="1984"/>
          </w:tcPr>
          <w:p>
            <w:pPr>
              <w:spacing w:after="20" w:line="276" w:lineRule="auto"/>
            </w:pPr>
            <w:r>
              <w:rPr>
                <w:b/>
                <w:sz w:val="26"/>
              </w:rPr>
              <w:t>AI</w:t>
            </w:r>
          </w:p>
        </w:tc>
        <w:tc>
          <w:tcPr>
            <w:tcW w:type="dxa" w:w="6803"/>
          </w:tcPr>
          <w:p>
            <w:pPr>
              <w:spacing w:after="20" w:line="276" w:lineRule="auto"/>
            </w:pPr>
            <w:r>
              <w:rPr>
                <w:sz w:val="26"/>
              </w:rPr>
              <w:t>Artificial intelligence</w:t>
            </w:r>
          </w:p>
        </w:tc>
      </w:tr>
      <w:tr>
        <w:tc>
          <w:tcPr>
            <w:tcW w:type="dxa" w:w="1984"/>
          </w:tcPr>
          <w:p>
            <w:pPr>
              <w:spacing w:after="20" w:line="276" w:lineRule="auto"/>
            </w:pPr>
            <w:r>
              <w:rPr>
                <w:b/>
                <w:sz w:val="26"/>
              </w:rPr>
              <w:t>AOR</w:t>
            </w:r>
          </w:p>
        </w:tc>
        <w:tc>
          <w:tcPr>
            <w:tcW w:type="dxa" w:w="6803"/>
          </w:tcPr>
          <w:p>
            <w:pPr>
              <w:spacing w:after="20" w:line="276" w:lineRule="auto"/>
            </w:pPr>
            <w:r>
              <w:rPr>
                <w:sz w:val="26"/>
              </w:rPr>
              <w:t>Adjusted odds ratio</w:t>
            </w:r>
          </w:p>
        </w:tc>
      </w:tr>
      <w:tr>
        <w:tc>
          <w:tcPr>
            <w:tcW w:type="dxa" w:w="1984"/>
          </w:tcPr>
          <w:p>
            <w:pPr>
              <w:spacing w:after="20" w:line="276" w:lineRule="auto"/>
            </w:pPr>
            <w:r>
              <w:rPr>
                <w:b/>
                <w:sz w:val="26"/>
              </w:rPr>
              <w:t>AUC</w:t>
            </w:r>
          </w:p>
        </w:tc>
        <w:tc>
          <w:tcPr>
            <w:tcW w:type="dxa" w:w="6803"/>
          </w:tcPr>
          <w:p>
            <w:pPr>
              <w:spacing w:after="20" w:line="276" w:lineRule="auto"/>
            </w:pPr>
            <w:r>
              <w:rPr>
                <w:sz w:val="26"/>
              </w:rPr>
              <w:t>Area under the receiver operating characteristic curve</w:t>
            </w:r>
          </w:p>
        </w:tc>
      </w:tr>
      <w:tr>
        <w:tc>
          <w:tcPr>
            <w:tcW w:type="dxa" w:w="1984"/>
          </w:tcPr>
          <w:p>
            <w:pPr>
              <w:spacing w:after="20" w:line="276" w:lineRule="auto"/>
            </w:pPr>
            <w:r>
              <w:rPr>
                <w:b/>
                <w:sz w:val="26"/>
              </w:rPr>
              <w:t>CFA</w:t>
            </w:r>
          </w:p>
        </w:tc>
        <w:tc>
          <w:tcPr>
            <w:tcW w:type="dxa" w:w="6803"/>
          </w:tcPr>
          <w:p>
            <w:pPr>
              <w:spacing w:after="20" w:line="276" w:lineRule="auto"/>
            </w:pPr>
            <w:r>
              <w:rPr>
                <w:sz w:val="26"/>
              </w:rPr>
              <w:t>Confirmatory factor analysis</w:t>
            </w:r>
          </w:p>
        </w:tc>
      </w:tr>
      <w:tr>
        <w:tc>
          <w:tcPr>
            <w:tcW w:type="dxa" w:w="1984"/>
          </w:tcPr>
          <w:p>
            <w:pPr>
              <w:spacing w:after="20" w:line="276" w:lineRule="auto"/>
            </w:pPr>
            <w:r>
              <w:rPr>
                <w:b/>
                <w:sz w:val="26"/>
              </w:rPr>
              <w:t>CFI</w:t>
            </w:r>
          </w:p>
        </w:tc>
        <w:tc>
          <w:tcPr>
            <w:tcW w:type="dxa" w:w="6803"/>
          </w:tcPr>
          <w:p>
            <w:pPr>
              <w:spacing w:after="20" w:line="276" w:lineRule="auto"/>
            </w:pPr>
            <w:r>
              <w:rPr>
                <w:sz w:val="26"/>
              </w:rPr>
              <w:t>Comparative fit index</w:t>
            </w:r>
          </w:p>
        </w:tc>
      </w:tr>
      <w:tr>
        <w:tc>
          <w:tcPr>
            <w:tcW w:type="dxa" w:w="1984"/>
          </w:tcPr>
          <w:p>
            <w:pPr>
              <w:spacing w:after="20" w:line="276" w:lineRule="auto"/>
            </w:pPr>
            <w:r>
              <w:rPr>
                <w:b/>
                <w:sz w:val="26"/>
              </w:rPr>
              <w:t>CI</w:t>
            </w:r>
          </w:p>
        </w:tc>
        <w:tc>
          <w:tcPr>
            <w:tcW w:type="dxa" w:w="6803"/>
          </w:tcPr>
          <w:p>
            <w:pPr>
              <w:spacing w:after="20" w:line="276" w:lineRule="auto"/>
            </w:pPr>
            <w:r>
              <w:rPr>
                <w:sz w:val="26"/>
              </w:rPr>
              <w:t>Confidence interval</w:t>
            </w:r>
          </w:p>
        </w:tc>
      </w:tr>
      <w:tr>
        <w:tc>
          <w:tcPr>
            <w:tcW w:type="dxa" w:w="1984"/>
          </w:tcPr>
          <w:p>
            <w:pPr>
              <w:spacing w:after="20" w:line="276" w:lineRule="auto"/>
            </w:pPr>
            <w:r>
              <w:rPr>
                <w:b/>
                <w:sz w:val="26"/>
              </w:rPr>
              <w:t>CSS-12</w:t>
            </w:r>
          </w:p>
        </w:tc>
        <w:tc>
          <w:tcPr>
            <w:tcW w:type="dxa" w:w="6803"/>
          </w:tcPr>
          <w:p>
            <w:pPr>
              <w:spacing w:after="20" w:line="276" w:lineRule="auto"/>
            </w:pPr>
            <w:r>
              <w:rPr>
                <w:sz w:val="26"/>
              </w:rPr>
              <w:t>Cyberchondria Severity Scale, 12-item short form</w:t>
            </w:r>
          </w:p>
        </w:tc>
      </w:tr>
      <w:tr>
        <w:tc>
          <w:tcPr>
            <w:tcW w:type="dxa" w:w="1984"/>
          </w:tcPr>
          <w:p>
            <w:pPr>
              <w:spacing w:after="20" w:line="276" w:lineRule="auto"/>
            </w:pPr>
            <w:r>
              <w:rPr>
                <w:b/>
                <w:sz w:val="26"/>
              </w:rPr>
              <w:t>DWLS</w:t>
            </w:r>
          </w:p>
        </w:tc>
        <w:tc>
          <w:tcPr>
            <w:tcW w:type="dxa" w:w="6803"/>
          </w:tcPr>
          <w:p>
            <w:pPr>
              <w:spacing w:after="20" w:line="276" w:lineRule="auto"/>
            </w:pPr>
            <w:r>
              <w:rPr>
                <w:sz w:val="26"/>
              </w:rPr>
              <w:t>Diagonally weighted least squares</w:t>
            </w:r>
          </w:p>
        </w:tc>
      </w:tr>
      <w:tr>
        <w:tc>
          <w:tcPr>
            <w:tcW w:type="dxa" w:w="1984"/>
          </w:tcPr>
          <w:p>
            <w:pPr>
              <w:spacing w:after="20" w:line="276" w:lineRule="auto"/>
            </w:pPr>
            <w:r>
              <w:rPr>
                <w:b/>
                <w:sz w:val="26"/>
              </w:rPr>
              <w:t>ER</w:t>
            </w:r>
          </w:p>
        </w:tc>
        <w:tc>
          <w:tcPr>
            <w:tcW w:type="dxa" w:w="6803"/>
          </w:tcPr>
          <w:p>
            <w:pPr>
              <w:spacing w:after="20" w:line="276" w:lineRule="auto"/>
            </w:pPr>
            <w:r>
              <w:rPr>
                <w:sz w:val="26"/>
              </w:rPr>
              <w:t>Emergency room</w:t>
            </w:r>
          </w:p>
        </w:tc>
      </w:tr>
      <w:tr>
        <w:tc>
          <w:tcPr>
            <w:tcW w:type="dxa" w:w="1984"/>
          </w:tcPr>
          <w:p>
            <w:pPr>
              <w:spacing w:after="20" w:line="276" w:lineRule="auto"/>
            </w:pPr>
            <w:r>
              <w:rPr>
                <w:b/>
                <w:sz w:val="26"/>
              </w:rPr>
              <w:t>FDR</w:t>
            </w:r>
          </w:p>
        </w:tc>
        <w:tc>
          <w:tcPr>
            <w:tcW w:type="dxa" w:w="6803"/>
          </w:tcPr>
          <w:p>
            <w:pPr>
              <w:spacing w:after="20" w:line="276" w:lineRule="auto"/>
            </w:pPr>
            <w:r>
              <w:rPr>
                <w:sz w:val="26"/>
              </w:rPr>
              <w:t>False discovery rate</w:t>
            </w:r>
          </w:p>
        </w:tc>
      </w:tr>
      <w:tr>
        <w:tc>
          <w:tcPr>
            <w:tcW w:type="dxa" w:w="1984"/>
          </w:tcPr>
          <w:p>
            <w:pPr>
              <w:spacing w:after="20" w:line="276" w:lineRule="auto"/>
            </w:pPr>
            <w:r>
              <w:rPr>
                <w:b/>
                <w:sz w:val="26"/>
              </w:rPr>
              <w:t>GP</w:t>
            </w:r>
          </w:p>
        </w:tc>
        <w:tc>
          <w:tcPr>
            <w:tcW w:type="dxa" w:w="6803"/>
          </w:tcPr>
          <w:p>
            <w:pPr>
              <w:spacing w:after="20" w:line="276" w:lineRule="auto"/>
            </w:pPr>
            <w:r>
              <w:rPr>
                <w:sz w:val="26"/>
              </w:rPr>
              <w:t>General practitioner</w:t>
            </w:r>
          </w:p>
        </w:tc>
      </w:tr>
      <w:tr>
        <w:tc>
          <w:tcPr>
            <w:tcW w:type="dxa" w:w="1984"/>
          </w:tcPr>
          <w:p>
            <w:pPr>
              <w:spacing w:after="20" w:line="276" w:lineRule="auto"/>
            </w:pPr>
            <w:r>
              <w:rPr>
                <w:b/>
                <w:sz w:val="26"/>
              </w:rPr>
              <w:t>HA</w:t>
            </w:r>
          </w:p>
        </w:tc>
        <w:tc>
          <w:tcPr>
            <w:tcW w:type="dxa" w:w="6803"/>
          </w:tcPr>
          <w:p>
            <w:pPr>
              <w:spacing w:after="20" w:line="276" w:lineRule="auto"/>
            </w:pPr>
            <w:r>
              <w:rPr>
                <w:sz w:val="26"/>
              </w:rPr>
              <w:t>Health anxiety</w:t>
            </w:r>
          </w:p>
        </w:tc>
      </w:tr>
      <w:tr>
        <w:tc>
          <w:tcPr>
            <w:tcW w:type="dxa" w:w="1984"/>
          </w:tcPr>
          <w:p>
            <w:pPr>
              <w:spacing w:after="20" w:line="276" w:lineRule="auto"/>
            </w:pPr>
            <w:r>
              <w:rPr>
                <w:b/>
                <w:sz w:val="26"/>
              </w:rPr>
              <w:t>HC3</w:t>
            </w:r>
          </w:p>
        </w:tc>
        <w:tc>
          <w:tcPr>
            <w:tcW w:type="dxa" w:w="6803"/>
          </w:tcPr>
          <w:p>
            <w:pPr>
              <w:spacing w:after="20" w:line="276" w:lineRule="auto"/>
            </w:pPr>
            <w:r>
              <w:rPr>
                <w:sz w:val="26"/>
              </w:rPr>
              <w:t>Heteroskedasticity-consistent standard errors, type 3</w:t>
            </w:r>
          </w:p>
        </w:tc>
      </w:tr>
      <w:tr>
        <w:tc>
          <w:tcPr>
            <w:tcW w:type="dxa" w:w="1984"/>
          </w:tcPr>
          <w:p>
            <w:pPr>
              <w:spacing w:after="20" w:line="276" w:lineRule="auto"/>
            </w:pPr>
            <w:r>
              <w:rPr>
                <w:b/>
                <w:sz w:val="26"/>
              </w:rPr>
              <w:t>IQR</w:t>
            </w:r>
          </w:p>
        </w:tc>
        <w:tc>
          <w:tcPr>
            <w:tcW w:type="dxa" w:w="6803"/>
          </w:tcPr>
          <w:p>
            <w:pPr>
              <w:spacing w:after="20" w:line="276" w:lineRule="auto"/>
            </w:pPr>
            <w:r>
              <w:rPr>
                <w:sz w:val="26"/>
              </w:rPr>
              <w:t>Interquartile range</w:t>
            </w:r>
          </w:p>
        </w:tc>
      </w:tr>
      <w:tr>
        <w:tc>
          <w:tcPr>
            <w:tcW w:type="dxa" w:w="1984"/>
          </w:tcPr>
          <w:p>
            <w:pPr>
              <w:spacing w:after="20" w:line="276" w:lineRule="auto"/>
            </w:pPr>
            <w:r>
              <w:rPr>
                <w:b/>
                <w:sz w:val="26"/>
              </w:rPr>
              <w:t>KMO</w:t>
            </w:r>
          </w:p>
        </w:tc>
        <w:tc>
          <w:tcPr>
            <w:tcW w:type="dxa" w:w="6803"/>
          </w:tcPr>
          <w:p>
            <w:pPr>
              <w:spacing w:after="20" w:line="276" w:lineRule="auto"/>
            </w:pPr>
            <w:r>
              <w:rPr>
                <w:sz w:val="26"/>
              </w:rPr>
              <w:t>Kaiser–Meyer–Olkin measure of sampling adequacy</w:t>
            </w:r>
          </w:p>
        </w:tc>
      </w:tr>
      <w:tr>
        <w:tc>
          <w:tcPr>
            <w:tcW w:type="dxa" w:w="1984"/>
          </w:tcPr>
          <w:p>
            <w:pPr>
              <w:spacing w:after="20" w:line="276" w:lineRule="auto"/>
            </w:pPr>
            <w:r>
              <w:rPr>
                <w:b/>
                <w:sz w:val="26"/>
              </w:rPr>
              <w:t>LLM</w:t>
            </w:r>
          </w:p>
        </w:tc>
        <w:tc>
          <w:tcPr>
            <w:tcW w:type="dxa" w:w="6803"/>
          </w:tcPr>
          <w:p>
            <w:pPr>
              <w:spacing w:after="20" w:line="276" w:lineRule="auto"/>
            </w:pPr>
            <w:r>
              <w:rPr>
                <w:sz w:val="26"/>
              </w:rPr>
              <w:t>Large language model</w:t>
            </w:r>
          </w:p>
        </w:tc>
      </w:tr>
      <w:tr>
        <w:tc>
          <w:tcPr>
            <w:tcW w:type="dxa" w:w="1984"/>
          </w:tcPr>
          <w:p>
            <w:pPr>
              <w:spacing w:after="20" w:line="276" w:lineRule="auto"/>
            </w:pPr>
            <w:r>
              <w:rPr>
                <w:b/>
                <w:sz w:val="26"/>
              </w:rPr>
              <w:t>ML</w:t>
            </w:r>
          </w:p>
        </w:tc>
        <w:tc>
          <w:tcPr>
            <w:tcW w:type="dxa" w:w="6803"/>
          </w:tcPr>
          <w:p>
            <w:pPr>
              <w:spacing w:after="20" w:line="276" w:lineRule="auto"/>
            </w:pPr>
            <w:r>
              <w:rPr>
                <w:sz w:val="26"/>
              </w:rPr>
              <w:t>Maximum likelihood</w:t>
            </w:r>
          </w:p>
        </w:tc>
      </w:tr>
      <w:tr>
        <w:tc>
          <w:tcPr>
            <w:tcW w:type="dxa" w:w="1984"/>
          </w:tcPr>
          <w:p>
            <w:pPr>
              <w:spacing w:after="20" w:line="276" w:lineRule="auto"/>
            </w:pPr>
            <w:r>
              <w:rPr>
                <w:b/>
                <w:sz w:val="26"/>
              </w:rPr>
              <w:t>OLS</w:t>
            </w:r>
          </w:p>
        </w:tc>
        <w:tc>
          <w:tcPr>
            <w:tcW w:type="dxa" w:w="6803"/>
          </w:tcPr>
          <w:p>
            <w:pPr>
              <w:spacing w:after="20" w:line="276" w:lineRule="auto"/>
            </w:pPr>
            <w:r>
              <w:rPr>
                <w:sz w:val="26"/>
              </w:rPr>
              <w:t>Ordinary least squares</w:t>
            </w:r>
          </w:p>
        </w:tc>
      </w:tr>
      <w:tr>
        <w:tc>
          <w:tcPr>
            <w:tcW w:type="dxa" w:w="1984"/>
          </w:tcPr>
          <w:p>
            <w:pPr>
              <w:spacing w:after="20" w:line="276" w:lineRule="auto"/>
            </w:pPr>
            <w:r>
              <w:rPr>
                <w:b/>
                <w:sz w:val="26"/>
              </w:rPr>
              <w:t>OR</w:t>
            </w:r>
          </w:p>
        </w:tc>
        <w:tc>
          <w:tcPr>
            <w:tcW w:type="dxa" w:w="6803"/>
          </w:tcPr>
          <w:p>
            <w:pPr>
              <w:spacing w:after="20" w:line="276" w:lineRule="auto"/>
            </w:pPr>
            <w:r>
              <w:rPr>
                <w:sz w:val="26"/>
              </w:rPr>
              <w:t>Odds ratio</w:t>
            </w:r>
          </w:p>
        </w:tc>
      </w:tr>
      <w:tr>
        <w:tc>
          <w:tcPr>
            <w:tcW w:type="dxa" w:w="1984"/>
          </w:tcPr>
          <w:p>
            <w:pPr>
              <w:spacing w:after="20" w:line="276" w:lineRule="auto"/>
            </w:pPr>
            <w:r>
              <w:rPr>
                <w:b/>
                <w:sz w:val="26"/>
              </w:rPr>
              <w:t>RMSEA</w:t>
            </w:r>
          </w:p>
        </w:tc>
        <w:tc>
          <w:tcPr>
            <w:tcW w:type="dxa" w:w="6803"/>
          </w:tcPr>
          <w:p>
            <w:pPr>
              <w:spacing w:after="20" w:line="276" w:lineRule="auto"/>
            </w:pPr>
            <w:r>
              <w:rPr>
                <w:sz w:val="26"/>
              </w:rPr>
              <w:t>Root mean square error of approximation</w:t>
            </w:r>
          </w:p>
        </w:tc>
      </w:tr>
      <w:tr>
        <w:tc>
          <w:tcPr>
            <w:tcW w:type="dxa" w:w="1984"/>
          </w:tcPr>
          <w:p>
            <w:pPr>
              <w:spacing w:after="20" w:line="276" w:lineRule="auto"/>
            </w:pPr>
            <w:r>
              <w:rPr>
                <w:b/>
                <w:sz w:val="26"/>
              </w:rPr>
              <w:t>SD</w:t>
            </w:r>
          </w:p>
        </w:tc>
        <w:tc>
          <w:tcPr>
            <w:tcW w:type="dxa" w:w="6803"/>
          </w:tcPr>
          <w:p>
            <w:pPr>
              <w:spacing w:after="20" w:line="276" w:lineRule="auto"/>
            </w:pPr>
            <w:r>
              <w:rPr>
                <w:sz w:val="26"/>
              </w:rPr>
              <w:t>Standard deviation</w:t>
            </w:r>
          </w:p>
        </w:tc>
      </w:tr>
      <w:tr>
        <w:tc>
          <w:tcPr>
            <w:tcW w:type="dxa" w:w="1984"/>
          </w:tcPr>
          <w:p>
            <w:pPr>
              <w:spacing w:after="20" w:line="276" w:lineRule="auto"/>
            </w:pPr>
            <w:r>
              <w:rPr>
                <w:b/>
                <w:sz w:val="26"/>
              </w:rPr>
              <w:t>SHAI-14</w:t>
            </w:r>
          </w:p>
        </w:tc>
        <w:tc>
          <w:tcPr>
            <w:tcW w:type="dxa" w:w="6803"/>
          </w:tcPr>
          <w:p>
            <w:pPr>
              <w:spacing w:after="20" w:line="276" w:lineRule="auto"/>
            </w:pPr>
            <w:r>
              <w:rPr>
                <w:sz w:val="26"/>
              </w:rPr>
              <w:t>Short Health Anxiety Inventory, 14-item version</w:t>
            </w:r>
          </w:p>
        </w:tc>
      </w:tr>
      <w:tr>
        <w:tc>
          <w:tcPr>
            <w:tcW w:type="dxa" w:w="1984"/>
          </w:tcPr>
          <w:p>
            <w:pPr>
              <w:spacing w:after="20" w:line="276" w:lineRule="auto"/>
            </w:pPr>
            <w:r>
              <w:rPr>
                <w:b/>
                <w:sz w:val="26"/>
              </w:rPr>
              <w:t>STROBE</w:t>
            </w:r>
          </w:p>
        </w:tc>
        <w:tc>
          <w:tcPr>
            <w:tcW w:type="dxa" w:w="6803"/>
          </w:tcPr>
          <w:p>
            <w:pPr>
              <w:spacing w:after="20" w:line="276" w:lineRule="auto"/>
            </w:pPr>
            <w:r>
              <w:rPr>
                <w:sz w:val="26"/>
              </w:rPr>
              <w:t>Strengthening the Reporting of Observational Studies in Epidemiology</w:t>
            </w:r>
          </w:p>
        </w:tc>
      </w:tr>
      <w:tr>
        <w:tc>
          <w:tcPr>
            <w:tcW w:type="dxa" w:w="1984"/>
          </w:tcPr>
          <w:p>
            <w:pPr>
              <w:spacing w:after="20" w:line="276" w:lineRule="auto"/>
            </w:pPr>
            <w:r>
              <w:rPr>
                <w:b/>
                <w:sz w:val="26"/>
              </w:rPr>
              <w:t>TLI</w:t>
            </w:r>
          </w:p>
        </w:tc>
        <w:tc>
          <w:tcPr>
            <w:tcW w:type="dxa" w:w="6803"/>
          </w:tcPr>
          <w:p>
            <w:pPr>
              <w:spacing w:after="20" w:line="276" w:lineRule="auto"/>
            </w:pPr>
            <w:r>
              <w:rPr>
                <w:sz w:val="26"/>
              </w:rPr>
              <w:t>Tucker–Lewis index</w:t>
            </w:r>
          </w:p>
        </w:tc>
      </w:tr>
      <w:tr>
        <w:tc>
          <w:tcPr>
            <w:tcW w:type="dxa" w:w="1984"/>
          </w:tcPr>
          <w:p>
            <w:pPr>
              <w:spacing w:after="20" w:line="276" w:lineRule="auto"/>
            </w:pPr>
            <w:r>
              <w:rPr>
                <w:b/>
                <w:sz w:val="26"/>
              </w:rPr>
              <w:t>VIF</w:t>
            </w:r>
          </w:p>
        </w:tc>
        <w:tc>
          <w:tcPr>
            <w:tcW w:type="dxa" w:w="6803"/>
          </w:tcPr>
          <w:p>
            <w:pPr>
              <w:spacing w:after="20" w:line="276" w:lineRule="auto"/>
            </w:pPr>
            <w:r>
              <w:rPr>
                <w:sz w:val="26"/>
              </w:rPr>
              <w:t>Variance inflation factor</w:t>
            </w:r>
          </w:p>
        </w:tc>
      </w:tr>
    </w:tbl>
    <w:p>
      <w:r>
        <w:br w:type="page"/>
      </w:r>
    </w:p>
    <w:p>
      <w:pPr>
        <w:pStyle w:val="Heading1"/>
      </w:pPr>
      <w:r>
        <w:t>List of Tables</w:t>
      </w:r>
    </w:p>
    <w:p/>
    <w:p>
      <w:pPr>
        <w:tabs>
          <w:tab w:pos="1134" w:val="left"/>
          <w:tab w:pos="8787" w:val="right" w:leader="dot"/>
        </w:tabs>
        <w:spacing w:line="276" w:lineRule="auto" w:after="80"/>
        <w:ind w:left="1134" w:hanging="1134"/>
      </w:pPr>
      <w:r>
        <w:fldChar w:fldCharType="begin"/>
        <w:instrText xml:space="preserve">TOC \h \z \c "Table"</w:instrText>
        <w:fldChar w:fldCharType="separate"/>
      </w:r>
      <w:r>
        <w:rPr>
          <w:b/>
          <w:sz w:val="26"/>
        </w:rPr>
        <w:t>Table 1.</w:t>
        <w:tab/>
      </w:r>
      <w:r>
        <w:rPr>
          <w:sz w:val="26"/>
        </w:rPr>
        <w:t>Socio-demographic characteristics of the participants (n = 300)</w:t>
      </w:r>
      <w:r>
        <w:rPr>
          <w:sz w:val="26"/>
        </w:rPr>
        <w:tab/>
        <w:t>12</w:t>
      </w:r>
    </w:p>
    <w:p>
      <w:pPr>
        <w:tabs>
          <w:tab w:pos="1134" w:val="left"/>
          <w:tab w:pos="8787" w:val="right" w:leader="dot"/>
        </w:tabs>
        <w:spacing w:line="276" w:lineRule="auto" w:after="80"/>
        <w:ind w:left="1134" w:hanging="1134"/>
      </w:pPr>
      <w:r>
        <w:rPr>
          <w:b/>
          <w:sz w:val="26"/>
        </w:rPr>
        <w:t>Table 2.</w:t>
        <w:tab/>
      </w:r>
      <w:r>
        <w:rPr>
          <w:sz w:val="26"/>
        </w:rPr>
        <w:t>Online health information seeking, pre-consultation behaviour and relationship with physicians (n = 300)</w:t>
      </w:r>
      <w:r>
        <w:rPr>
          <w:sz w:val="26"/>
        </w:rPr>
        <w:tab/>
        <w:t>14</w:t>
      </w:r>
    </w:p>
    <w:p>
      <w:pPr>
        <w:tabs>
          <w:tab w:pos="1134" w:val="left"/>
          <w:tab w:pos="8787" w:val="right" w:leader="dot"/>
        </w:tabs>
        <w:spacing w:line="276" w:lineRule="auto" w:after="80"/>
        <w:ind w:left="1134" w:hanging="1134"/>
      </w:pPr>
      <w:r>
        <w:rPr>
          <w:b/>
          <w:sz w:val="26"/>
        </w:rPr>
        <w:t>Table 3.</w:t>
        <w:tab/>
      </w:r>
      <w:r>
        <w:rPr>
          <w:sz w:val="26"/>
        </w:rPr>
        <w:t>Descriptive statistics, reliability and language equivalence of the SHAI-14 and CSS-12 (n = 300)</w:t>
      </w:r>
      <w:r>
        <w:rPr>
          <w:sz w:val="26"/>
        </w:rPr>
        <w:tab/>
        <w:t>17</w:t>
      </w:r>
    </w:p>
    <w:p>
      <w:pPr>
        <w:tabs>
          <w:tab w:pos="1134" w:val="left"/>
          <w:tab w:pos="8787" w:val="right" w:leader="dot"/>
        </w:tabs>
        <w:spacing w:line="276" w:lineRule="auto" w:after="80"/>
        <w:ind w:left="1134" w:hanging="1134"/>
      </w:pPr>
      <w:r>
        <w:rPr>
          <w:b/>
          <w:sz w:val="26"/>
        </w:rPr>
        <w:t>Table 4.</w:t>
        <w:tab/>
      </w:r>
      <w:r>
        <w:rPr>
          <w:sz w:val="26"/>
        </w:rPr>
        <w:t>Correlation between health anxiety (SHAI-14) and cyberchondria (CSS-12) and its dimensions (n = 300)</w:t>
      </w:r>
      <w:r>
        <w:rPr>
          <w:sz w:val="26"/>
        </w:rPr>
        <w:tab/>
        <w:t>18</w:t>
      </w:r>
    </w:p>
    <w:p>
      <w:pPr>
        <w:tabs>
          <w:tab w:pos="1134" w:val="left"/>
          <w:tab w:pos="8787" w:val="right" w:leader="dot"/>
        </w:tabs>
        <w:spacing w:line="276" w:lineRule="auto" w:after="80"/>
        <w:ind w:left="1134" w:hanging="1134"/>
      </w:pPr>
      <w:r>
        <w:rPr>
          <w:b/>
          <w:sz w:val="26"/>
        </w:rPr>
        <w:t>Table 5.</w:t>
        <w:tab/>
      </w:r>
      <w:r>
        <w:rPr>
          <w:sz w:val="26"/>
        </w:rPr>
        <w:t>Health anxiety (SHAI-14) and cyberchondria (CSS-12) scores by participant characteristics (n = 300)</w:t>
      </w:r>
      <w:r>
        <w:rPr>
          <w:sz w:val="26"/>
        </w:rPr>
        <w:tab/>
        <w:t>21</w:t>
      </w:r>
    </w:p>
    <w:p>
      <w:pPr>
        <w:tabs>
          <w:tab w:pos="1134" w:val="left"/>
          <w:tab w:pos="8787" w:val="right" w:leader="dot"/>
        </w:tabs>
        <w:spacing w:line="276" w:lineRule="auto" w:after="80"/>
        <w:ind w:left="1134" w:hanging="1134"/>
      </w:pPr>
      <w:r>
        <w:rPr>
          <w:b/>
          <w:sz w:val="26"/>
        </w:rPr>
        <w:t>Table 6.</w:t>
        <w:tab/>
      </w:r>
      <w:r>
        <w:rPr>
          <w:sz w:val="26"/>
        </w:rPr>
        <w:t>Variables significantly associated (p &lt; 0.05) with elevated health anxiety and with high cyberchondria</w:t>
      </w:r>
      <w:r>
        <w:rPr>
          <w:sz w:val="26"/>
        </w:rPr>
        <w:tab/>
        <w:t>23</w:t>
      </w:r>
    </w:p>
    <w:p>
      <w:pPr>
        <w:tabs>
          <w:tab w:pos="1134" w:val="left"/>
          <w:tab w:pos="8787" w:val="right" w:leader="dot"/>
        </w:tabs>
        <w:spacing w:line="276" w:lineRule="auto" w:after="80"/>
        <w:ind w:left="1134" w:hanging="1134"/>
      </w:pPr>
      <w:r>
        <w:rPr>
          <w:b/>
          <w:sz w:val="26"/>
        </w:rPr>
        <w:t>Table 7.</w:t>
        <w:tab/>
      </w:r>
      <w:r>
        <w:rPr>
          <w:sz w:val="26"/>
        </w:rPr>
        <w:t>Hierarchical robust linear regression of cyberchondria (CSS-12 total) – final model (n = 300)</w:t>
      </w:r>
      <w:r>
        <w:rPr>
          <w:sz w:val="26"/>
        </w:rPr>
        <w:tab/>
        <w:t>25</w:t>
      </w:r>
    </w:p>
    <w:p>
      <w:pPr>
        <w:tabs>
          <w:tab w:pos="1134" w:val="left"/>
          <w:tab w:pos="8787" w:val="right" w:leader="dot"/>
        </w:tabs>
        <w:spacing w:line="276" w:lineRule="auto" w:after="80"/>
        <w:ind w:left="1134" w:hanging="1134"/>
      </w:pPr>
      <w:r>
        <w:rPr>
          <w:b/>
          <w:sz w:val="26"/>
        </w:rPr>
        <w:t>Table 8.</w:t>
        <w:tab/>
      </w:r>
      <w:r>
        <w:rPr>
          <w:sz w:val="26"/>
        </w:rPr>
        <w:t>Multivariable logistic regression of elevated health anxiety (SHAI ≥ 18; 57 events, n = 300)</w:t>
      </w:r>
      <w:r>
        <w:rPr>
          <w:sz w:val="26"/>
        </w:rPr>
        <w:tab/>
        <w:t>25</w:t>
      </w:r>
    </w:p>
    <w:p>
      <w:pPr>
        <w:tabs>
          <w:tab w:pos="1134" w:val="left"/>
          <w:tab w:pos="8787" w:val="right" w:leader="dot"/>
        </w:tabs>
        <w:spacing w:line="276" w:lineRule="auto" w:after="80"/>
        <w:ind w:left="1134" w:hanging="1134"/>
      </w:pPr>
      <w:r>
        <w:rPr>
          <w:b/>
          <w:sz w:val="26"/>
        </w:rPr>
        <w:t>Table 9.</w:t>
        <w:tab/>
      </w:r>
      <w:r>
        <w:rPr>
          <w:sz w:val="26"/>
        </w:rPr>
        <w:t>Adjusted associations of health anxiety and cyberchondria with pre-consultation behaviours and the doctor–patient relationship</w:t>
      </w:r>
      <w:r>
        <w:rPr>
          <w:sz w:val="26"/>
        </w:rPr>
        <w:tab/>
        <w:t>27</w:t>
      </w:r>
    </w:p>
    <w:p>
      <w:pPr>
        <w:tabs>
          <w:tab w:pos="1134" w:val="left"/>
          <w:tab w:pos="8787" w:val="right" w:leader="dot"/>
        </w:tabs>
        <w:spacing w:line="276" w:lineRule="auto" w:after="80"/>
        <w:ind w:left="1134" w:hanging="1134"/>
      </w:pPr>
      <w:r>
        <w:rPr>
          <w:b/>
          <w:sz w:val="26"/>
        </w:rPr>
        <w:t>Table 10.</w:t>
        <w:tab/>
      </w:r>
      <w:r>
        <w:rPr>
          <w:sz w:val="26"/>
        </w:rPr>
        <w:t>Mediation models linking health anxiety (HA) and the dimensions of cyberchondria (standardised coefficients, n = 300)</w:t>
      </w:r>
      <w:r>
        <w:rPr>
          <w:sz w:val="26"/>
        </w:rPr>
        <w:tab/>
        <w:t>28</w:t>
        <w:fldChar w:fldCharType="end"/>
      </w:r>
    </w:p>
    <w:p>
      <w:r>
        <w:br w:type="page"/>
      </w:r>
    </w:p>
    <w:p>
      <w:pPr>
        <w:pStyle w:val="Heading1"/>
      </w:pPr>
      <w:r>
        <w:t>List of Figures</w:t>
      </w:r>
    </w:p>
    <w:p/>
    <w:p>
      <w:pPr>
        <w:tabs>
          <w:tab w:pos="1134" w:val="left"/>
          <w:tab w:pos="8787" w:val="right" w:leader="dot"/>
        </w:tabs>
        <w:spacing w:line="276" w:lineRule="auto" w:after="80"/>
        <w:ind w:left="1134" w:hanging="1134"/>
      </w:pPr>
      <w:r>
        <w:fldChar w:fldCharType="begin"/>
        <w:instrText xml:space="preserve">TOC \h \z \c "Figure"</w:instrText>
        <w:fldChar w:fldCharType="separate"/>
      </w:r>
      <w:r>
        <w:rPr>
          <w:b/>
          <w:sz w:val="26"/>
        </w:rPr>
        <w:t>Figure 1.</w:t>
        <w:tab/>
      </w:r>
      <w:r>
        <w:rPr>
          <w:sz w:val="26"/>
        </w:rPr>
        <w:t>Tools used and motivations for searching for health information online (n = 300).</w:t>
      </w:r>
      <w:r>
        <w:rPr>
          <w:sz w:val="26"/>
        </w:rPr>
        <w:tab/>
        <w:t>15</w:t>
      </w:r>
    </w:p>
    <w:p>
      <w:pPr>
        <w:tabs>
          <w:tab w:pos="1134" w:val="left"/>
          <w:tab w:pos="8787" w:val="right" w:leader="dot"/>
        </w:tabs>
        <w:spacing w:line="276" w:lineRule="auto" w:after="80"/>
        <w:ind w:left="1134" w:hanging="1134"/>
      </w:pPr>
      <w:r>
        <w:rPr>
          <w:b/>
          <w:sz w:val="26"/>
        </w:rPr>
        <w:t>Figure 2.</w:t>
        <w:tab/>
      </w:r>
      <w:r>
        <w:rPr>
          <w:sz w:val="26"/>
        </w:rPr>
        <w:t>Behavioural responses after searching, disclosure of searches to physicians and perceived effect on the doctor–patient relationship (n = 300).</w:t>
      </w:r>
      <w:r>
        <w:rPr>
          <w:sz w:val="26"/>
        </w:rPr>
        <w:tab/>
        <w:t>16</w:t>
      </w:r>
    </w:p>
    <w:p>
      <w:pPr>
        <w:tabs>
          <w:tab w:pos="1134" w:val="left"/>
          <w:tab w:pos="8787" w:val="right" w:leader="dot"/>
        </w:tabs>
        <w:spacing w:line="276" w:lineRule="auto" w:after="80"/>
        <w:ind w:left="1134" w:hanging="1134"/>
      </w:pPr>
      <w:r>
        <w:rPr>
          <w:b/>
          <w:sz w:val="26"/>
        </w:rPr>
        <w:t>Figure 3.</w:t>
        <w:tab/>
      </w:r>
      <w:r>
        <w:rPr>
          <w:sz w:val="26"/>
        </w:rPr>
        <w:t>Scatter plot of health anxiety (SHAI-14) against cyberchondria (CSS-12) with the least-squares line and 95% confidence band (n = 300; points slightly jittered).</w:t>
      </w:r>
      <w:r>
        <w:rPr>
          <w:sz w:val="26"/>
        </w:rPr>
        <w:tab/>
        <w:t>19</w:t>
      </w:r>
    </w:p>
    <w:p>
      <w:pPr>
        <w:tabs>
          <w:tab w:pos="1134" w:val="left"/>
          <w:tab w:pos="8787" w:val="right" w:leader="dot"/>
        </w:tabs>
        <w:spacing w:line="276" w:lineRule="auto" w:after="80"/>
        <w:ind w:left="1134" w:hanging="1134"/>
      </w:pPr>
      <w:r>
        <w:rPr>
          <w:b/>
          <w:sz w:val="26"/>
        </w:rPr>
        <w:t>Figure 4.</w:t>
        <w:tab/>
      </w:r>
      <w:r>
        <w:rPr>
          <w:sz w:val="26"/>
        </w:rPr>
        <w:t>Spearman correlation matrix of health anxiety, cyberchondria and its dimensions, trust in online/AI information, number of tools, number of motives and age group (FDR-adjusted significance).</w:t>
      </w:r>
      <w:r>
        <w:rPr>
          <w:sz w:val="26"/>
        </w:rPr>
        <w:tab/>
        <w:t>20</w:t>
      </w:r>
    </w:p>
    <w:p>
      <w:pPr>
        <w:tabs>
          <w:tab w:pos="1134" w:val="left"/>
          <w:tab w:pos="8787" w:val="right" w:leader="dot"/>
        </w:tabs>
        <w:spacing w:line="276" w:lineRule="auto" w:after="80"/>
        <w:ind w:left="1134" w:hanging="1134"/>
      </w:pPr>
      <w:r>
        <w:rPr>
          <w:b/>
          <w:sz w:val="26"/>
        </w:rPr>
        <w:t>Figure 5.</w:t>
        <w:tab/>
      </w:r>
      <w:r>
        <w:rPr>
          <w:sz w:val="26"/>
        </w:rPr>
        <w:t>Cyberchondria (CSS-12) by online tool profile.</w:t>
      </w:r>
      <w:r>
        <w:rPr>
          <w:sz w:val="26"/>
        </w:rPr>
        <w:tab/>
        <w:t>23</w:t>
      </w:r>
    </w:p>
    <w:p>
      <w:pPr>
        <w:tabs>
          <w:tab w:pos="1134" w:val="left"/>
          <w:tab w:pos="8787" w:val="right" w:leader="dot"/>
        </w:tabs>
        <w:spacing w:line="276" w:lineRule="auto" w:after="80"/>
        <w:ind w:left="1134" w:hanging="1134"/>
      </w:pPr>
      <w:r>
        <w:rPr>
          <w:b/>
          <w:sz w:val="26"/>
        </w:rPr>
        <w:t>Figure 6.</w:t>
        <w:tab/>
      </w:r>
      <w:r>
        <w:rPr>
          <w:sz w:val="26"/>
        </w:rPr>
        <w:t>Adjusted odds ratios for elevated health anxiety (SHAI ≥ 18). Orange: p &lt; 0.05.</w:t>
      </w:r>
      <w:r>
        <w:rPr>
          <w:sz w:val="26"/>
        </w:rPr>
        <w:tab/>
        <w:t>26</w:t>
      </w:r>
    </w:p>
    <w:p>
      <w:pPr>
        <w:tabs>
          <w:tab w:pos="1134" w:val="left"/>
          <w:tab w:pos="8787" w:val="right" w:leader="dot"/>
        </w:tabs>
        <w:spacing w:line="276" w:lineRule="auto" w:after="80"/>
        <w:ind w:left="1134" w:hanging="1134"/>
      </w:pPr>
      <w:r>
        <w:rPr>
          <w:b/>
          <w:sz w:val="26"/>
        </w:rPr>
        <w:t>Figure 7.</w:t>
        <w:tab/>
      </w:r>
      <w:r>
        <w:rPr>
          <w:sz w:val="26"/>
        </w:rPr>
        <w:t>Mediation models: (A) excessive searching as a pathway from health anxiety to post-search distress; (B) post-search distress as a pathway from health anxiety to reassurance seeking.</w:t>
      </w:r>
      <w:r>
        <w:rPr>
          <w:sz w:val="26"/>
        </w:rPr>
        <w:tab/>
        <w:t>29</w:t>
      </w:r>
    </w:p>
    <w:p>
      <w:pPr>
        <w:tabs>
          <w:tab w:pos="1134" w:val="left"/>
          <w:tab w:pos="8787" w:val="right" w:leader="dot"/>
        </w:tabs>
        <w:spacing w:line="276" w:lineRule="auto" w:after="80"/>
        <w:ind w:left="1134" w:hanging="1134"/>
      </w:pPr>
      <w:r>
        <w:rPr>
          <w:b/>
          <w:sz w:val="26"/>
        </w:rPr>
        <w:t>Figure 8.</w:t>
        <w:tab/>
      </w:r>
      <w:r>
        <w:rPr>
          <w:sz w:val="26"/>
        </w:rPr>
        <w:t>Cyberchondria dimensions by health-anxiety status (mean ± 95% CI).</w:t>
      </w:r>
      <w:r>
        <w:rPr>
          <w:sz w:val="26"/>
        </w:rPr>
        <w:tab/>
        <w:t>29</w:t>
      </w:r>
    </w:p>
    <w:p>
      <w:pPr>
        <w:tabs>
          <w:tab w:pos="1134" w:val="left"/>
          <w:tab w:pos="8787" w:val="right" w:leader="dot"/>
        </w:tabs>
        <w:spacing w:line="276" w:lineRule="auto" w:after="80"/>
        <w:ind w:left="1134" w:hanging="1134"/>
      </w:pPr>
      <w:r>
        <w:rPr>
          <w:b/>
          <w:sz w:val="26"/>
        </w:rPr>
        <w:t>Figure 9.</w:t>
        <w:tab/>
      </w:r>
      <w:r>
        <w:rPr>
          <w:sz w:val="26"/>
        </w:rPr>
        <w:t>Item-by-item correlations between SHAI-14 and CSS-12 items (Spearman ρ). * significant after FDR correction across the 168 pairs; ** also significant after Holm–Bonferroni correction.</w:t>
      </w:r>
      <w:r>
        <w:rPr>
          <w:sz w:val="26"/>
        </w:rPr>
        <w:tab/>
        <w:t>44</w:t>
        <w:fldChar w:fldCharType="end"/>
      </w:r>
    </w:p>
    <w:p>
      <w:r>
        <w:br w:type="page"/>
      </w:r>
    </w:p>
    <w:p>
      <w:pPr>
        <w:pStyle w:val="Heading1"/>
      </w:pPr>
      <w:r>
        <w:t>Summary / Abstract</w:t>
      </w:r>
    </w:p>
    <w:p>
      <w:pPr>
        <w:spacing w:after="80"/>
        <w:ind w:firstLine="567"/>
        <w:jc w:val="both"/>
      </w:pPr>
      <w:r>
        <w:rPr>
          <w:rFonts w:ascii="Times New Roman" w:hAnsi="Times New Roman"/>
          <w:b/>
        </w:rPr>
        <w:t>Background:</w:t>
      </w:r>
      <w:r>
        <w:rPr>
          <w:rFonts w:ascii="Times New Roman" w:hAnsi="Times New Roman"/>
        </w:rPr>
        <w:t xml:space="preserve"> Adults increasingly consult search engines and, more recently, artificial-intelligence (AI) chatbots before seeing a doctor. Health anxiety and cyberchondria (excessive, distressing online health searching) are thought to reinforce each other, but evidence from Iraq, and on AI chatbots, is scarce.</w:t>
      </w:r>
    </w:p>
    <w:p>
      <w:pPr>
        <w:spacing w:after="80"/>
        <w:ind w:firstLine="567"/>
        <w:jc w:val="both"/>
      </w:pPr>
      <w:r>
        <w:rPr>
          <w:rFonts w:ascii="Times New Roman" w:hAnsi="Times New Roman"/>
          <w:b/>
        </w:rPr>
        <w:t>Objectives:</w:t>
      </w:r>
      <w:r>
        <w:rPr>
          <w:rFonts w:ascii="Times New Roman" w:hAnsi="Times New Roman"/>
        </w:rPr>
        <w:t xml:space="preserve"> To measure the association between health anxiety and cyberchondria among adults in Baghdad, and to describe online and AI health-information seeking and pre-consultation behaviour.</w:t>
      </w:r>
    </w:p>
    <w:p>
      <w:pPr>
        <w:spacing w:after="80"/>
        <w:ind w:firstLine="567"/>
        <w:jc w:val="both"/>
      </w:pPr>
      <w:r>
        <w:rPr>
          <w:rFonts w:ascii="Times New Roman" w:hAnsi="Times New Roman"/>
          <w:b/>
        </w:rPr>
        <w:t>Methods:</w:t>
      </w:r>
      <w:r>
        <w:rPr>
          <w:rFonts w:ascii="Times New Roman" w:hAnsi="Times New Roman"/>
        </w:rPr>
        <w:t xml:space="preserve"> Cross-sectional online survey of 300 adults in Baghdad (July–September 2026) using the Short Health Anxiety Inventory (SHAI-14) and the Cyberchondria Severity Scale (CSS-12). Analyses included FDR-corrected group comparisons, robust regression and bootstrapped mediation.</w:t>
      </w:r>
    </w:p>
    <w:p>
      <w:pPr>
        <w:spacing w:after="80"/>
        <w:ind w:firstLine="567"/>
        <w:jc w:val="both"/>
      </w:pPr>
      <w:r>
        <w:rPr>
          <w:rFonts w:ascii="Times New Roman" w:hAnsi="Times New Roman"/>
          <w:b/>
        </w:rPr>
        <w:t>Results:</w:t>
      </w:r>
      <w:r>
        <w:rPr>
          <w:rFonts w:ascii="Times New Roman" w:hAnsi="Times New Roman"/>
        </w:rPr>
        <w:t xml:space="preserve"> AI chatbots were the most used tool (88.7%; search engines 56.3%). Elevated health anxiety (SHAI ≥ 18) was present in 19.0%. Health anxiety correlated with cyberchondria (r = 0.47, 95% CI 0.38–0.55), independently of covariates (partial r = 0.48), most strongly with excessive searching and post-search distress, and was its strongest predictor (β = 0.48). Statistically, excessive searching partly mediated the link with post-search distress, but the reverse ordering fitted equally well. After searching, 34.7% delayed or skipped care because they felt reassured and 31.7% never told their doctor; higher health anxiety went with more concealment. The association of AI use with cyberchondria depended on how 32 inconsistent answers were classified.</w:t>
      </w:r>
    </w:p>
    <w:p>
      <w:pPr>
        <w:spacing w:after="80"/>
        <w:ind w:firstLine="567"/>
        <w:jc w:val="both"/>
      </w:pPr>
      <w:r>
        <w:rPr>
          <w:rFonts w:ascii="Times New Roman" w:hAnsi="Times New Roman"/>
          <w:b/>
        </w:rPr>
        <w:t>Conclusion:</w:t>
      </w:r>
      <w:r>
        <w:rPr>
          <w:rFonts w:ascii="Times New Roman" w:hAnsi="Times New Roman"/>
        </w:rPr>
        <w:t xml:space="preserve"> Health anxiety and cyberchondria are linked, and AI chatbots are now the main gateway to online health information in this young, health-oriented convenience sample. The cross-sectional design cannot establish direction. Clinicians should ask about online and AI searches.</w:t>
      </w:r>
    </w:p>
    <w:p>
      <w:pPr>
        <w:spacing w:after="80"/>
        <w:ind w:firstLine="567"/>
        <w:jc w:val="both"/>
      </w:pPr>
      <w:r>
        <w:rPr>
          <w:rFonts w:ascii="Times New Roman" w:hAnsi="Times New Roman"/>
          <w:b/>
        </w:rPr>
        <w:t>Keywords:</w:t>
      </w:r>
      <w:r>
        <w:rPr>
          <w:rFonts w:ascii="Times New Roman" w:hAnsi="Times New Roman"/>
        </w:rPr>
        <w:t xml:space="preserve"> cyberchondria; health anxiety; artificial intelligence; chatbots; online health information seeking; Iraq.</w:t>
      </w:r>
    </w:p>
    <w:p>
      <w:pPr>
        <w:sectPr>
          <w:footerReference w:type="default" r:id="rId38"/>
          <w:pgSz w:w="11906" w:h="16838"/>
          <w:pgMar w:top="1417" w:right="1417" w:bottom="1417" w:left="1701" w:header="720" w:footer="720" w:gutter="0"/>
          <w:cols w:space="720"/>
          <w:titlePg/>
          <w:docGrid w:linePitch="360"/>
          <w:pgNumType w:fmt="lowerRoman" w:start="1"/>
        </w:sectPr>
      </w:pPr>
    </w:p>
    <w:p>
      <w:pPr>
        <w:pStyle w:val="Heading1"/>
      </w:pPr>
      <w:r>
        <w:t>1. Introduction</w:t>
      </w:r>
    </w:p>
    <w:p>
      <w:pPr>
        <w:pStyle w:val="Heading2"/>
      </w:pPr>
      <w:r>
        <w:t>1.1 Background</w:t>
      </w:r>
    </w:p>
    <w:p>
      <w:pPr>
        <w:spacing w:after="120"/>
        <w:ind w:firstLine="567"/>
        <w:jc w:val="both"/>
      </w:pPr>
      <w:r>
        <w:rPr>
          <w:rFonts w:ascii="Times New Roman" w:hAnsi="Times New Roman"/>
        </w:rPr>
        <w:t xml:space="preserve">Searching the Internet before seeing a doctor has become an ordinary part of being ill. A symptom is now often typed into a search engine, or described to an AI chatbot, long before it is described to a physician. This shift has clear benefits: information is immediate, free and available at any hour, and it can help people judge whether a symptom needs medical attention. It also has a well-documented downside. For a sizeable minority of people, online searching does not settle a worry but amplifies it, a phenomenon that has come to be called </w:t>
      </w:r>
      <w:r>
        <w:rPr>
          <w:rFonts w:ascii="Times New Roman" w:hAnsi="Times New Roman"/>
          <w:i/>
        </w:rPr>
        <w:t>cyberchondria</w:t>
      </w:r>
      <w:r>
        <w:rPr>
          <w:rFonts w:ascii="Times New Roman" w:hAnsi="Times New Roman"/>
        </w:rPr>
        <w:t xml:space="preserve"> [1,2].</w:t>
      </w:r>
    </w:p>
    <w:p>
      <w:pPr>
        <w:spacing w:after="120"/>
        <w:ind w:firstLine="567"/>
        <w:jc w:val="both"/>
      </w:pPr>
      <w:r>
        <w:rPr>
          <w:rFonts w:ascii="Times New Roman" w:hAnsi="Times New Roman"/>
        </w:rPr>
        <w:t>Iraq offers a useful and under-studied setting in which to examine this. Internet access in the country has expanded rapidly, with roughly four in five Iraqis online by the start of 2025 [3], and in such a highly connected population the Internet and, increasingly, AI chatbots may function as a first point of contact for health concerns. How this behaviour interacts with health anxiety, and what it means for the consultation that follows, has not been examined in Baghdad.</w:t>
      </w:r>
    </w:p>
    <w:p>
      <w:pPr>
        <w:pStyle w:val="Heading2"/>
      </w:pPr>
      <w:r>
        <w:t>1.2 Health anxiety</w:t>
      </w:r>
    </w:p>
    <w:p>
      <w:pPr>
        <w:spacing w:after="120"/>
        <w:ind w:firstLine="567"/>
        <w:jc w:val="both"/>
      </w:pPr>
      <w:r>
        <w:rPr>
          <w:rFonts w:ascii="Times New Roman" w:hAnsi="Times New Roman"/>
        </w:rPr>
        <w:t>Health anxiety refers to a persistent preoccupation with having, or acquiring, a serious illness, maintained by misinterpretation of normal bodily sensations. It lies on a continuum, from transient worry that most people experience to clinically significant illness anxiety disorder and somatic symptom disorder in the DSM-5 [4]. The cognitive-behavioural model proposes that bodily sensations are interpreted as signs of serious disease and that the resulting anxiety is maintained by safety behaviours such as body checking and reassurance seeking: these behaviours relieve anxiety briefly but prevent the person from learning that the feared outcome does not occur, so the worry returns [5].</w:t>
      </w:r>
    </w:p>
    <w:p>
      <w:pPr>
        <w:spacing w:after="120"/>
        <w:ind w:firstLine="567"/>
        <w:jc w:val="both"/>
      </w:pPr>
      <w:r>
        <w:rPr>
          <w:rFonts w:ascii="Times New Roman" w:hAnsi="Times New Roman"/>
        </w:rPr>
        <w:t>Health anxiety is not rare. In a national Australian survey, 5.7% of adults met lifetime criteria and 3.4% current criteria for health anxiety [6], and sub-threshold forms are considerably more common. Its costs are substantial: patients in the top band of health anxiety and somatisation in primary care had markedly more physician visits and higher outpatient costs than other patients, even after adjustment for medical comorbidity [7]. In Iraq, almost half of 1591 respondents in an online survey during the COVID-19 restrictions reported health anxiety [8], and a second national online survey of 1578 Iraqi adults found that home quarantine was accompanied by greater health anxiety and increased reassurance-seeking behaviour [9], suggesting that the population is far from immune to illness worry.</w:t>
      </w:r>
    </w:p>
    <w:p>
      <w:pPr>
        <w:pStyle w:val="Heading2"/>
      </w:pPr>
      <w:r>
        <w:t>1.3 Cyberchondria</w:t>
      </w:r>
    </w:p>
    <w:p>
      <w:pPr>
        <w:spacing w:after="120"/>
        <w:ind w:firstLine="567"/>
        <w:jc w:val="both"/>
      </w:pPr>
      <w:r>
        <w:rPr>
          <w:rFonts w:ascii="Times New Roman" w:hAnsi="Times New Roman"/>
        </w:rPr>
        <w:t>The term cyberchondria was popularised by White and Horvitz, whose analysis of large-scale search logs showed that searches for common, benign symptoms frequently escalated towards rare and serious diagnoses, and that this escalation was driven by the amount and wording of medical content viewed and by the user's own predisposition to escalate [1]. Starcevic and Berle later defined cyberchondria as excessive or repeated online searching for health information that is associated with increasing, rather than relieving, distress or anxiety [2]. Crucially, searching for health information is not itself pathological; it becomes cyberchondria when it is excessive, compulsive and distressing, and when it drives further reassurance seeking [10,11]. A systematic review described cyberchondria as a possible transdiagnostic, compulsive digital syndrome closely linked to health anxiety and obsessive-compulsive symptoms, while noting that the evidence base was almost entirely cross-sectional and based on online student samples [12].</w:t>
      </w:r>
    </w:p>
    <w:p>
      <w:pPr>
        <w:spacing w:after="120"/>
        <w:ind w:firstLine="567"/>
        <w:jc w:val="both"/>
      </w:pPr>
      <w:r>
        <w:rPr>
          <w:rFonts w:ascii="Times New Roman" w:hAnsi="Times New Roman"/>
        </w:rPr>
        <w:t>The most widely used instrument is the Cyberchondria Severity Scale (CSS), originally a 33-item measure with five factors: compulsion, distress, excessiveness, reassurance seeking and mistrust of medical professionals [13]. Its 12-item short form (CSS-12) drops the mistrust dimension and retains four three-item subscales that load substantially on a general cyberchondria factor, supporting both a total and subscale scores [14]. An Arabic version of the CSS-12 has shown acceptable structure and validity among Lebanese adults [15].</w:t>
      </w:r>
    </w:p>
    <w:p>
      <w:pPr>
        <w:pStyle w:val="Heading2"/>
      </w:pPr>
      <w:r>
        <w:t>1.4 The relationship between health anxiety and cyberchondria</w:t>
      </w:r>
    </w:p>
    <w:p>
      <w:pPr>
        <w:spacing w:after="120"/>
        <w:ind w:firstLine="567"/>
        <w:jc w:val="both"/>
      </w:pPr>
      <w:r>
        <w:rPr>
          <w:rFonts w:ascii="Times New Roman" w:hAnsi="Times New Roman"/>
        </w:rPr>
        <w:t>People with higher health anxiety search for health information more often, spend longer doing so and find searching more distressing than people with low health anxiety [16]. Among people who search online for symptoms, those with high illness anxiety tend to feel worse after searching whereas those with low illness anxiety tend to feel relieved [17]. Two meta-analyses have quantified the association: health anxiety correlates moderately with general online health information seeking (r = 0.34) but strongly with cyberchondria (r = 0.62) [18], and a later meta-analysis reported a similar pooled correlation (r = 0.63), with subscale correlations ranging from 0.24 to 0.66 [19]. The same work frames health-related Internet use in anxious individuals as a safety behaviour maintained by intermittent reinforcement [19]. Intolerance of uncertainty strengthens the link between searching and anxiety, presumably because search results rarely deliver a single, certain answer [20].</w:t>
      </w:r>
    </w:p>
    <w:p>
      <w:pPr>
        <w:spacing w:after="120"/>
        <w:ind w:firstLine="567"/>
        <w:jc w:val="both"/>
      </w:pPr>
      <w:r>
        <w:rPr>
          <w:rFonts w:ascii="Times New Roman" w:hAnsi="Times New Roman"/>
        </w:rPr>
        <w:t>Whether the two conditions "fuel each other" is the central question. The only large longitudinal study, a four-wave Dutch panel of 5322 adults, found initial evidence of a reciprocal relationship in which health-anxious people search more and searching in turn raises health anxiety; however, this loop appeared among people with non-clinical health anxiety and not in the clinically anxious subsample, in whom searching seemed to maintain rather than worsen anxiety [21]. The COVID-19 pandemic offered a natural test of the cycle: cyberchondria tracked rising concern and safety behaviours in Croatia [22], and was linked with health anxiety among university students in Turkey [23]. A recent scoping review reported cyberchondria prevalence estimates between 30.7% and 55.6% across studies and consistent associations with health anxiety [24].</w:t>
      </w:r>
    </w:p>
    <w:p>
      <w:pPr>
        <w:pStyle w:val="Heading2"/>
      </w:pPr>
      <w:r>
        <w:t>1.5 From search engines to AI chatbots</w:t>
      </w:r>
    </w:p>
    <w:p>
      <w:pPr>
        <w:spacing w:after="120"/>
        <w:ind w:firstLine="567"/>
        <w:jc w:val="both"/>
      </w:pPr>
      <w:r>
        <w:rPr>
          <w:rFonts w:ascii="Times New Roman" w:hAnsi="Times New Roman"/>
        </w:rPr>
        <w:t>Most of this evidence was gathered when "searching online" meant using a search engine. Large language model (LLM) chatbots such as ChatGPT and Gemini change the experience in important ways: they answer in fluent, personalised, conversational language; they can be questioned repeatedly; and their responses can appear more empathetic than those of physicians [25,26]. In a large US survey, about one in five respondents had used ChatGPT for health information; two-thirds of these users reported scepticism about its output and two-thirds turned to their physicians, yet about a third changed medications or requested referrals based on its answers [27]. Health anxiety has also been identified as a stable predictor of symptom-checker app use, with over half of users meeting a hypochondria classification [28]. In a representative Czech sample of 4775 Internet users, health anxiety was associated with willingness to use generative AI for health information only indirectly, through greater trust in AI [29], and among young dermatology outpatients in Turkey 61% had consulted an AI chatbot (mostly ChatGPT) before their visit, without a detectable increase in anxiety [30]. Whether AI chatbots relieve worry, by offering calm and contextualised answers, or amplify it, by being endlessly available for another round of reassurance, is an open empirical question.</w:t>
      </w:r>
    </w:p>
    <w:p>
      <w:pPr>
        <w:pStyle w:val="Heading2"/>
      </w:pPr>
      <w:r>
        <w:t>1.6 Online searching and the doctor–patient relationship</w:t>
      </w:r>
    </w:p>
    <w:p>
      <w:pPr>
        <w:spacing w:after="120"/>
        <w:ind w:firstLine="567"/>
        <w:jc w:val="both"/>
      </w:pPr>
      <w:r>
        <w:rPr>
          <w:rFonts w:ascii="Times New Roman" w:hAnsi="Times New Roman"/>
        </w:rPr>
        <w:t>What patients do after searching matters for clinical care. Online information can improve the doctor–patient relationship when patients discuss it with their physician, but can strain it when it is withheld or used to challenge the physician [31]. Reassurance seeking may translate into additional consultations, requests for investigations or "doctor shopping", while false reassurance may lead to delayed care. Studies in the Arab region have begun to describe these patterns: cyberchondria was common among adults in Jeddah and associated with smartphone addiction [32], and among Saudi primary-care patients cyberchondria was linked with health anxiety [33]. Across 13 Arabic-speaking countries of the Middle East and North Africa, about a third of 4276 migraine patients had delayed consultation or modified treatment because of online information, and higher trust in online information strongly predicted delayed consultation [34]. No comparable study has been reported from Iraq, and none, to our knowledge, has placed AI chatbots alongside search engines in this population.</w:t>
      </w:r>
    </w:p>
    <w:p>
      <w:pPr>
        <w:pStyle w:val="Heading2"/>
      </w:pPr>
      <w:r>
        <w:t>1.7 Rationale</w:t>
      </w:r>
    </w:p>
    <w:p>
      <w:pPr>
        <w:spacing w:after="120"/>
        <w:ind w:firstLine="567"/>
        <w:jc w:val="both"/>
      </w:pPr>
      <w:r>
        <w:rPr>
          <w:rFonts w:ascii="Times New Roman" w:hAnsi="Times New Roman"/>
        </w:rPr>
        <w:t>This study addresses three gaps. First, it provides the first estimate of the association between health anxiety and cyberchondria among adults in Baghdad. Second, it examines AI chatbots as a distinct, and now dominant, source of online health information, rather than treating "the Internet" as one entity. Third, it links these psychological constructs to concrete pre-consultation behaviours, namely delaying care, self-medication, urgent visits, multiple consultations, disclosure of searches and trust in physicians, that matter directly to clinicians.</w:t>
      </w:r>
    </w:p>
    <w:p>
      <w:pPr>
        <w:pStyle w:val="Heading2"/>
      </w:pPr>
      <w:r>
        <w:t>1.8 Aim and objectives</w:t>
      </w:r>
    </w:p>
    <w:p>
      <w:pPr>
        <w:spacing w:after="120"/>
        <w:jc w:val="both"/>
      </w:pPr>
      <w:r>
        <w:rPr>
          <w:rFonts w:ascii="Times New Roman" w:hAnsi="Times New Roman"/>
          <w:b/>
        </w:rPr>
        <w:t>Aim:</w:t>
      </w:r>
      <w:r>
        <w:rPr>
          <w:rFonts w:ascii="Times New Roman" w:hAnsi="Times New Roman"/>
        </w:rPr>
        <w:t xml:space="preserve"> To study the relationship between health anxiety and cyberchondria and their correlates among adults in Baghdad who search for health information online, with particular attention to AI chatbots and pre-consultation behaviour.</w:t>
      </w:r>
    </w:p>
    <w:p>
      <w:pPr>
        <w:spacing w:after="120"/>
        <w:jc w:val="both"/>
      </w:pPr>
      <w:r>
        <w:rPr>
          <w:rFonts w:ascii="Times New Roman" w:hAnsi="Times New Roman"/>
          <w:b/>
        </w:rPr>
        <w:t>Specific objectives:</w:t>
      </w:r>
    </w:p>
    <w:p>
      <w:pPr>
        <w:tabs>
          <w:tab w:pos="510" w:val="left"/>
        </w:tabs>
        <w:spacing w:after="60"/>
        <w:ind w:left="510" w:hanging="510"/>
        <w:jc w:val="both"/>
      </w:pPr>
      <w:r>
        <w:rPr>
          <w:rFonts w:ascii="Times New Roman" w:hAnsi="Times New Roman"/>
        </w:rPr>
        <w:t>1.</w:t>
        <w:tab/>
        <w:t>To describe online and AI-based health-information seeking and pre-consultation behaviour among adults in Baghdad.</w:t>
      </w:r>
    </w:p>
    <w:p>
      <w:pPr>
        <w:tabs>
          <w:tab w:pos="510" w:val="left"/>
        </w:tabs>
        <w:spacing w:after="60"/>
        <w:ind w:left="510" w:hanging="510"/>
        <w:jc w:val="both"/>
      </w:pPr>
      <w:r>
        <w:rPr>
          <w:rFonts w:ascii="Times New Roman" w:hAnsi="Times New Roman"/>
        </w:rPr>
        <w:t>2.</w:t>
        <w:tab/>
        <w:t>To estimate levels of health anxiety and cyberchondria and the strength of their association, overall and by cyberchondria dimension, independently of socio-demographic and digital-use factors (H1, H2); correlates of each construct were examined as secondary analyses.</w:t>
      </w:r>
    </w:p>
    <w:p>
      <w:pPr>
        <w:tabs>
          <w:tab w:pos="510" w:val="left"/>
        </w:tabs>
        <w:spacing w:after="60"/>
        <w:ind w:left="510" w:hanging="510"/>
        <w:jc w:val="both"/>
      </w:pPr>
      <w:r>
        <w:rPr>
          <w:rFonts w:ascii="Times New Roman" w:hAnsi="Times New Roman"/>
        </w:rPr>
        <w:t>3.</w:t>
        <w:tab/>
        <w:t>To examine statistical pathways consistent with a mutually reinforcing cycle, and factors that might modify the association (H3).</w:t>
      </w:r>
    </w:p>
    <w:p>
      <w:pPr>
        <w:tabs>
          <w:tab w:pos="510" w:val="left"/>
        </w:tabs>
        <w:spacing w:after="60"/>
        <w:ind w:left="510" w:hanging="510"/>
        <w:jc w:val="both"/>
      </w:pPr>
      <w:r>
        <w:rPr>
          <w:rFonts w:ascii="Times New Roman" w:hAnsi="Times New Roman"/>
        </w:rPr>
        <w:t>4.</w:t>
        <w:tab/>
        <w:t>To examine how health anxiety and cyberchondria relate to pre-consultation behaviour, disclosure of searches to physicians and trust in physicians (H4).</w:t>
      </w:r>
    </w:p>
    <w:p>
      <w:pPr>
        <w:spacing w:after="120"/>
        <w:jc w:val="both"/>
      </w:pPr>
      <w:r>
        <w:rPr>
          <w:rFonts w:ascii="Times New Roman" w:hAnsi="Times New Roman"/>
          <w:b/>
        </w:rPr>
        <w:t>Hypotheses:</w:t>
      </w:r>
      <w:r>
        <w:rPr>
          <w:rFonts w:ascii="Times New Roman" w:hAnsi="Times New Roman"/>
        </w:rPr>
        <w:t xml:space="preserve"> (H1) Health anxiety is positively associated with cyberchondria, most strongly with its distress and excessiveness dimensions. (H2) The association is independent of socio-demographic and digital-use factors. (H3) Excessive searching statistically mediates the link between health anxiety and post-search distress. (H4) Higher cyberchondria is associated with care-seeking behaviours (urgent visits, multiple consultations) and with a more strained doctor–patient relationship.</w:t>
      </w:r>
    </w:p>
    <w:p>
      <w:pPr>
        <w:pStyle w:val="Heading1"/>
      </w:pPr>
      <w:r>
        <w:t>2. Method</w:t>
      </w:r>
    </w:p>
    <w:p>
      <w:pPr>
        <w:pStyle w:val="Heading2"/>
      </w:pPr>
      <w:r>
        <w:t>2.1 Study design and setting</w:t>
      </w:r>
    </w:p>
    <w:p>
      <w:pPr>
        <w:spacing w:after="120"/>
        <w:ind w:firstLine="567"/>
        <w:jc w:val="both"/>
      </w:pPr>
      <w:r>
        <w:rPr>
          <w:rFonts w:ascii="Times New Roman" w:hAnsi="Times New Roman"/>
        </w:rPr>
        <w:t>This was an analytical cross-sectional study reported in line with the STROBE statement for observational studies [35] and the CHERRIES checklist for web-based surveys [36]. Data were collected online in Baghdad, Iraq, between 17 July 2026 and 11 September 2026.</w:t>
      </w:r>
    </w:p>
    <w:p>
      <w:pPr>
        <w:pStyle w:val="Heading2"/>
      </w:pPr>
      <w:r>
        <w:t>2.2 Participants and sampling</w:t>
      </w:r>
    </w:p>
    <w:p>
      <w:pPr>
        <w:spacing w:after="120"/>
        <w:ind w:firstLine="567"/>
        <w:jc w:val="both"/>
      </w:pPr>
      <w:r>
        <w:rPr>
          <w:rFonts w:ascii="Times New Roman" w:hAnsi="Times New Roman"/>
        </w:rPr>
        <w:t>A non-probability (convenience and snowball) sampling approach was used. The survey link was distributed through online channels (social media and messaging groups) whose members were based in Baghdad. Inclusion criteria were: age 18 years or older, ability to read Arabic or English, and provision of informed consent. Every completed submission was retained for analysis; three responses that the research team had annotated during data collection were kept and examined in a sensitivity analysis.</w:t>
      </w:r>
    </w:p>
    <w:p>
      <w:pPr>
        <w:pStyle w:val="Heading2"/>
      </w:pPr>
      <w:r>
        <w:t>2.3 Sample size</w:t>
      </w:r>
    </w:p>
    <w:p>
      <w:pPr>
        <w:spacing w:after="120"/>
        <w:ind w:firstLine="567"/>
        <w:jc w:val="both"/>
      </w:pPr>
      <w:r>
        <w:rPr>
          <w:rFonts w:ascii="Times New Roman" w:hAnsi="Times New Roman"/>
        </w:rPr>
        <w:t>The study was powered for its primary objective, the correlation between health anxiety and cyberchondria. Using Fisher's z approximation with two-sided α = 0.05 and 80% power, a minimum of 194 participants is required to detect a small-to-moderate correlation (r = 0.20), and 85 to detect r = 0.30 [37]. Meta-analytic estimates of this association are far larger (r ≈ 0.62) [18,19], so these targets are conservative. For descriptive proportions, 300 participants give a margin of error of ±5.7% at 95% confidence (worst case, p = 0.5), compared with ±5% for the 385 participants of a Cochran-based calculation. The logistic model for elevated health anxiety had 57 events for 11 predictors (≈5 events per variable), which is acknowledged as a limitation of that model.</w:t>
      </w:r>
    </w:p>
    <w:p>
      <w:pPr>
        <w:pStyle w:val="Heading2"/>
      </w:pPr>
      <w:r>
        <w:t>2.4 Data collection instrument</w:t>
      </w:r>
    </w:p>
    <w:p>
      <w:pPr>
        <w:spacing w:after="120"/>
        <w:ind w:firstLine="567"/>
        <w:jc w:val="both"/>
      </w:pPr>
      <w:r>
        <w:rPr>
          <w:rFonts w:ascii="Times New Roman" w:hAnsi="Times New Roman"/>
        </w:rPr>
        <w:t>A bilingual (Arabic–English) self-administered questionnaire was built in Google Forms. All items were required, except the free-text description of chronic disease and the name of the AI chatbot used, which were conditional. The questionnaire had five parts:</w:t>
      </w:r>
    </w:p>
    <w:p>
      <w:pPr>
        <w:tabs>
          <w:tab w:pos="510" w:val="left"/>
        </w:tabs>
        <w:spacing w:after="60"/>
        <w:ind w:left="510" w:hanging="510"/>
        <w:jc w:val="both"/>
      </w:pPr>
      <w:r>
        <w:rPr>
          <w:rFonts w:ascii="Times New Roman" w:hAnsi="Times New Roman"/>
        </w:rPr>
        <w:t>1.</w:t>
        <w:tab/>
      </w:r>
      <w:r>
        <w:rPr>
          <w:rFonts w:ascii="Times New Roman" w:hAnsi="Times New Roman"/>
          <w:b/>
        </w:rPr>
        <w:t>Consent and socio-demographic data:</w:t>
      </w:r>
      <w:r>
        <w:rPr>
          <w:rFonts w:ascii="Times New Roman" w:hAnsi="Times New Roman"/>
        </w:rPr>
        <w:t xml:space="preserve"> confirmation of age ≥18 and consent; age group; gender; highest education; nature of study or work; diagnosed chronic medical condition (and its type).</w:t>
      </w:r>
    </w:p>
    <w:p>
      <w:pPr>
        <w:tabs>
          <w:tab w:pos="510" w:val="left"/>
        </w:tabs>
        <w:spacing w:after="60"/>
        <w:ind w:left="510" w:hanging="510"/>
        <w:jc w:val="both"/>
      </w:pPr>
      <w:r>
        <w:rPr>
          <w:rFonts w:ascii="Times New Roman" w:hAnsi="Times New Roman"/>
        </w:rPr>
        <w:t>2.</w:t>
        <w:tab/>
      </w:r>
      <w:r>
        <w:rPr>
          <w:rFonts w:ascii="Times New Roman" w:hAnsi="Times New Roman"/>
          <w:b/>
        </w:rPr>
        <w:t>Digital health information seeking:</w:t>
      </w:r>
      <w:r>
        <w:rPr>
          <w:rFonts w:ascii="Times New Roman" w:hAnsi="Times New Roman"/>
        </w:rPr>
        <w:t xml:space="preserve"> tools used (search engines, AI chatbots, dedicated medical platforms, social media; multiple answers); main AI chatbot; motivation for searching (multiple answers); and trust in medical information generated by online tools/AI (5-point scale).</w:t>
      </w:r>
    </w:p>
    <w:p>
      <w:pPr>
        <w:tabs>
          <w:tab w:pos="510" w:val="left"/>
        </w:tabs>
        <w:spacing w:after="60"/>
        <w:ind w:left="510" w:hanging="510"/>
        <w:jc w:val="both"/>
      </w:pPr>
      <w:r>
        <w:rPr>
          <w:rFonts w:ascii="Times New Roman" w:hAnsi="Times New Roman"/>
        </w:rPr>
        <w:t>3.</w:t>
        <w:tab/>
      </w:r>
      <w:r>
        <w:rPr>
          <w:rFonts w:ascii="Times New Roman" w:hAnsi="Times New Roman"/>
          <w:b/>
        </w:rPr>
        <w:t>Health anxiety:</w:t>
      </w:r>
      <w:r>
        <w:rPr>
          <w:rFonts w:ascii="Times New Roman" w:hAnsi="Times New Roman"/>
        </w:rPr>
        <w:t xml:space="preserve"> the 14-item Short Health Anxiety Inventory (SHAI-14) [38]. Each item offers four statements scored 0–3, giving a total of 0–42; higher scores indicate greater health anxiety. The SHAI has good reliability and validity in clinical and non-clinical samples [39,40], and an Arabic version has been validated in Saudi Arabia [41].</w:t>
      </w:r>
    </w:p>
    <w:p>
      <w:pPr>
        <w:tabs>
          <w:tab w:pos="510" w:val="left"/>
        </w:tabs>
        <w:spacing w:after="60"/>
        <w:ind w:left="510" w:hanging="510"/>
        <w:jc w:val="both"/>
      </w:pPr>
      <w:r>
        <w:rPr>
          <w:rFonts w:ascii="Times New Roman" w:hAnsi="Times New Roman"/>
        </w:rPr>
        <w:t>4.</w:t>
        <w:tab/>
      </w:r>
      <w:r>
        <w:rPr>
          <w:rFonts w:ascii="Times New Roman" w:hAnsi="Times New Roman"/>
          <w:b/>
        </w:rPr>
        <w:t>Cyberchondria:</w:t>
      </w:r>
      <w:r>
        <w:rPr>
          <w:rFonts w:ascii="Times New Roman" w:hAnsi="Times New Roman"/>
        </w:rPr>
        <w:t xml:space="preserve"> the CSS-12 [14], with items rated on a 5-point frequency scale (1 = never to 5 = always), giving a total of 12–60 and four subscales (3–15 each): Excessiveness (items 1–3), Compulsion (4–6), Distress (7–9) and Reassurance seeking (10–12).</w:t>
      </w:r>
    </w:p>
    <w:p>
      <w:pPr>
        <w:tabs>
          <w:tab w:pos="510" w:val="left"/>
        </w:tabs>
        <w:spacing w:after="60"/>
        <w:ind w:left="510" w:hanging="510"/>
        <w:jc w:val="both"/>
      </w:pPr>
      <w:r>
        <w:rPr>
          <w:rFonts w:ascii="Times New Roman" w:hAnsi="Times New Roman"/>
        </w:rPr>
        <w:t>5.</w:t>
        <w:tab/>
      </w:r>
      <w:r>
        <w:rPr>
          <w:rFonts w:ascii="Times New Roman" w:hAnsi="Times New Roman"/>
          <w:b/>
        </w:rPr>
        <w:t>Pre-consultation behaviour and relationship with physicians:</w:t>
      </w:r>
      <w:r>
        <w:rPr>
          <w:rFonts w:ascii="Times New Roman" w:hAnsi="Times New Roman"/>
        </w:rPr>
        <w:t xml:space="preserve"> behavioural responses after searching (multiple answers), whether search or AI results are disclosed to the physician, the perceived effect of digital information seeking on the relationship with and trust in physicians, and the language mainly relied upon while answering.</w:t>
      </w:r>
    </w:p>
    <w:p>
      <w:pPr>
        <w:spacing w:after="120"/>
        <w:ind w:firstLine="567"/>
        <w:jc w:val="both"/>
      </w:pPr>
      <w:r>
        <w:rPr>
          <w:rFonts w:ascii="Times New Roman" w:hAnsi="Times New Roman"/>
        </w:rPr>
        <w:t>Each item was presented in English and Arabic. The research team produced the Arabic wording; its equivalence was examined empirically by comparing the psychometric behaviour of the scales between participants who relied mainly on Arabic and those who relied mainly on English (Section 2.6). Response options were displayed in the form in an order that occasionally differed from the original scales; items were therefore scored according to the meaning of the chosen statement, following the original scoring key, rather than its position on the form.</w:t>
      </w:r>
    </w:p>
    <w:p>
      <w:pPr>
        <w:pStyle w:val="Heading2"/>
      </w:pPr>
      <w:r>
        <w:t>2.5 Variables and operational definitions</w:t>
      </w:r>
    </w:p>
    <w:p>
      <w:pPr>
        <w:pStyle w:val="ListBullet"/>
        <w:spacing w:after="60"/>
        <w:jc w:val="both"/>
      </w:pPr>
      <w:r>
        <w:rPr>
          <w:rFonts w:ascii="Times New Roman" w:hAnsi="Times New Roman"/>
          <w:b/>
        </w:rPr>
        <w:t>Elevated health anxiety:</w:t>
      </w:r>
      <w:r>
        <w:rPr>
          <w:rFonts w:ascii="Times New Roman" w:hAnsi="Times New Roman"/>
        </w:rPr>
        <w:t xml:space="preserve"> SHAI-14 ≥ 18, the optimal cut-off for distinguishing people with health anxiety from healthy controls in a Swedish diagnostic-accuracy study [42]. Because the same study recommends higher cut-offs in psychiatric (22) and low-prevalence (29) settings, the term "elevated" rather than "clinically relevant" is used, it is not a diagnosis, and prevalence at 15, 22 and 29 is also reported</w:t>
      </w:r>
    </w:p>
    <w:p>
      <w:pPr>
        <w:pStyle w:val="ListBullet"/>
        <w:spacing w:after="60"/>
        <w:jc w:val="both"/>
      </w:pPr>
      <w:r>
        <w:rPr>
          <w:rFonts w:ascii="Times New Roman" w:hAnsi="Times New Roman"/>
          <w:b/>
        </w:rPr>
        <w:t>High cyberchondria:</w:t>
      </w:r>
      <w:r>
        <w:rPr>
          <w:rFonts w:ascii="Times New Roman" w:hAnsi="Times New Roman"/>
        </w:rPr>
        <w:t xml:space="preserve"> CSS-12 total in the upper tertile of the sample (&gt; 33), since the CSS-12 has no validated clinical cut-off.</w:t>
      </w:r>
    </w:p>
    <w:p>
      <w:pPr>
        <w:pStyle w:val="ListBullet"/>
        <w:spacing w:after="60"/>
        <w:jc w:val="both"/>
      </w:pPr>
      <w:r>
        <w:rPr>
          <w:rFonts w:ascii="Times New Roman" w:hAnsi="Times New Roman"/>
          <w:b/>
        </w:rPr>
        <w:t>AI-chatbot user:</w:t>
      </w:r>
      <w:r>
        <w:rPr>
          <w:rFonts w:ascii="Times New Roman" w:hAnsi="Times New Roman"/>
        </w:rPr>
        <w:t xml:space="preserve"> ticked "AI chatbots" as a tool or named an AI chatbot in the follow-up question. Thirty-two respondents named a chatbot without ticking the tool option; they were classified as users (the follow-up question was optional and specifically addressed to chatbot users).</w:t>
      </w:r>
    </w:p>
    <w:p>
      <w:pPr>
        <w:pStyle w:val="ListBullet"/>
        <w:spacing w:after="60"/>
        <w:jc w:val="both"/>
      </w:pPr>
      <w:r>
        <w:rPr>
          <w:rFonts w:ascii="Times New Roman" w:hAnsi="Times New Roman"/>
          <w:b/>
        </w:rPr>
        <w:t>Health-related background:</w:t>
      </w:r>
      <w:r>
        <w:rPr>
          <w:rFonts w:ascii="Times New Roman" w:hAnsi="Times New Roman"/>
        </w:rPr>
        <w:t xml:space="preserve"> medical students, students in other health fields and healthcare workers.</w:t>
      </w:r>
    </w:p>
    <w:p>
      <w:pPr>
        <w:pStyle w:val="ListBullet"/>
        <w:spacing w:after="60"/>
        <w:jc w:val="both"/>
      </w:pPr>
      <w:r>
        <w:rPr>
          <w:rFonts w:ascii="Times New Roman" w:hAnsi="Times New Roman"/>
          <w:b/>
        </w:rPr>
        <w:t>Occupation:</w:t>
      </w:r>
      <w:r>
        <w:rPr>
          <w:rFonts w:ascii="Times New Roman" w:hAnsi="Times New Roman"/>
        </w:rPr>
        <w:t xml:space="preserve"> free-text "Other" answers were recoded into the closest category (e.g. secondary-school students and school leavers as non-health students; housewives, engineers and business owners as non-health employed/other). Age groups 40–49, 50–59 and 60+ were merged (≥40) for inferential analysis because of small cell sizes.</w:t>
      </w:r>
    </w:p>
    <w:p>
      <w:pPr>
        <w:pStyle w:val="Heading2"/>
      </w:pPr>
      <w:r>
        <w:t>2.6 Statistical analysis</w:t>
      </w:r>
    </w:p>
    <w:p>
      <w:pPr>
        <w:spacing w:after="120"/>
        <w:ind w:firstLine="567"/>
        <w:jc w:val="both"/>
      </w:pPr>
      <w:r>
        <w:rPr>
          <w:rFonts w:ascii="Times New Roman" w:hAnsi="Times New Roman"/>
        </w:rPr>
        <w:t>Analyses were carried out in Python 3 (pandas, SciPy, statsmodels, pingouin, factor_analyzer and semopy). The analysis code is fully scripted and reproducible. All tests were two-sided with α = 0.05.</w:t>
      </w:r>
    </w:p>
    <w:p>
      <w:pPr>
        <w:pStyle w:val="ListBullet"/>
        <w:spacing w:after="60"/>
        <w:jc w:val="both"/>
      </w:pPr>
      <w:r>
        <w:rPr>
          <w:rFonts w:ascii="Times New Roman" w:hAnsi="Times New Roman"/>
          <w:b/>
        </w:rPr>
        <w:t>Descriptive statistics:</w:t>
      </w:r>
      <w:r>
        <w:rPr>
          <w:rFonts w:ascii="Times New Roman" w:hAnsi="Times New Roman"/>
        </w:rPr>
        <w:t xml:space="preserve"> frequencies and percentages for categorical variables; mean ± SD and median (IQR) for scores. Normality was assessed with the Shapiro–Wilk test, skewness and kurtosis.</w:t>
      </w:r>
    </w:p>
    <w:p>
      <w:pPr>
        <w:pStyle w:val="ListBullet"/>
        <w:spacing w:after="60"/>
        <w:jc w:val="both"/>
      </w:pPr>
      <w:r>
        <w:rPr>
          <w:rFonts w:ascii="Times New Roman" w:hAnsi="Times New Roman"/>
          <w:b/>
        </w:rPr>
        <w:t>Psychometrics:</w:t>
      </w:r>
      <w:r>
        <w:rPr>
          <w:rFonts w:ascii="Times New Roman" w:hAnsi="Times New Roman"/>
        </w:rPr>
        <w:t xml:space="preserve"> internal consistency by Cronbach's α (with 95% CI) and McDonald's ω [43]; corrected item–rest correlations; sampling adequacy (KMO, Bartlett's test); and confirmatory factor analysis using diagonally weighted least squares (appropriate for ordinal items) with maximum-likelihood estimates reported alongside as a stricter check. Fit was judged against conventional criteria (CFI/TLI ≥ 0.95, RMSEA ≤ 0.06–0.08) [44]. Equivalence of the Arabic and English responders was tested by comparing α values with Feldt's test [45], factor-loading similarity with Tucker's congruence coefficient [46], and adjusted mean differences.</w:t>
      </w:r>
    </w:p>
    <w:p>
      <w:pPr>
        <w:pStyle w:val="ListBullet"/>
        <w:spacing w:after="60"/>
        <w:jc w:val="both"/>
      </w:pPr>
      <w:r>
        <w:rPr>
          <w:rFonts w:ascii="Times New Roman" w:hAnsi="Times New Roman"/>
          <w:b/>
        </w:rPr>
        <w:t>Correlation analysis:</w:t>
      </w:r>
      <w:r>
        <w:rPr>
          <w:rFonts w:ascii="Times New Roman" w:hAnsi="Times New Roman"/>
        </w:rPr>
        <w:t xml:space="preserve"> Pearson and Spearman correlations (bootstrapped 95% CIs) and partial correlations adjusted for covariates. Differences between dependent correlations (health anxiety with each CSS subscale) were tested with Williams' t [47]. Item-level correlations were computed for every SHAI item with the CSS total and every CSS item with the SHAI total.</w:t>
      </w:r>
    </w:p>
    <w:p>
      <w:pPr>
        <w:pStyle w:val="ListBullet"/>
        <w:spacing w:after="60"/>
        <w:jc w:val="both"/>
      </w:pPr>
      <w:r>
        <w:rPr>
          <w:rFonts w:ascii="Times New Roman" w:hAnsi="Times New Roman"/>
          <w:b/>
        </w:rPr>
        <w:t>Group comparisons for every variable:</w:t>
      </w:r>
      <w:r>
        <w:rPr>
          <w:rFonts w:ascii="Times New Roman" w:hAnsi="Times New Roman"/>
        </w:rPr>
        <w:t xml:space="preserve"> Mann–Whitney U (rank-biserial r as effect size) or Kruskal–Wallis H (ε² as effect size) for SHAI, CSS and each CSS subscale, with Welch's t-test/ANOVA as parametric confirmation and pairwise Mann–Whitney post-hoc comparisons with Holm adjustment. Associations of all categorical variables with elevated health anxiety and high cyberchondria were tested with Pearson χ² or Fisher's exact test (Monte-Carlo exact p when expected counts were small), with Cramér's V. Pairwise associations among all categorical variables were also screened.</w:t>
      </w:r>
    </w:p>
    <w:p>
      <w:pPr>
        <w:pStyle w:val="ListBullet"/>
        <w:spacing w:after="60"/>
        <w:jc w:val="both"/>
      </w:pPr>
      <w:r>
        <w:rPr>
          <w:rFonts w:ascii="Times New Roman" w:hAnsi="Times New Roman"/>
          <w:b/>
        </w:rPr>
        <w:t>Multiple testing:</w:t>
      </w:r>
      <w:r>
        <w:rPr>
          <w:rFonts w:ascii="Times New Roman" w:hAnsi="Times New Roman"/>
        </w:rPr>
        <w:t xml:space="preserve"> because many associations were tested, p-values within each family of tests were adjusted with the Benjamini–Hochberg false discovery rate procedure (q-values) [48]. Unadjusted p-values are reported, and associations that do not survive correction are labelled as exploratory.</w:t>
      </w:r>
    </w:p>
    <w:p>
      <w:pPr>
        <w:pStyle w:val="ListBullet"/>
        <w:spacing w:after="60"/>
        <w:jc w:val="both"/>
      </w:pPr>
      <w:r>
        <w:rPr>
          <w:rFonts w:ascii="Times New Roman" w:hAnsi="Times New Roman"/>
          <w:b/>
        </w:rPr>
        <w:t>Multivariable models:</w:t>
      </w:r>
      <w:r>
        <w:rPr>
          <w:rFonts w:ascii="Times New Roman" w:hAnsi="Times New Roman"/>
        </w:rPr>
        <w:t xml:space="preserve"> hierarchical OLS regression of CSS on socio-demographics (block 1), digital-use variables (block 2) and SHAI (block 3), with HC3 robust standard errors, standardised coefficients and VIF checks; the reverse model (SHAI on CSS); models for each CSS subscale; quantile regression (25th–90th percentiles) and a quadratic term to examine non-linearity. Logistic regression identified predictors of elevated health anxiety (AORs, AUC) and of each pre-consultation behaviour; ordinal logistic regression was used for the ordered disclosure and relationship outcomes.</w:t>
      </w:r>
    </w:p>
    <w:p>
      <w:pPr>
        <w:pStyle w:val="ListBullet"/>
        <w:spacing w:after="60"/>
        <w:jc w:val="both"/>
      </w:pPr>
      <w:r>
        <w:rPr>
          <w:rFonts w:ascii="Times New Roman" w:hAnsi="Times New Roman"/>
          <w:b/>
        </w:rPr>
        <w:t>Mediation and moderation:</w:t>
      </w:r>
      <w:r>
        <w:rPr>
          <w:rFonts w:ascii="Times New Roman" w:hAnsi="Times New Roman"/>
        </w:rPr>
        <w:t xml:space="preserve"> mediation models with bootstrap confidence intervals (5000 resamples) tested whether excessive searching mediated the link between health anxiety and post-search distress, and related pathways, including a reverse-direction model and a serial model [49]. Moderation of the SHAI–CSS association by trust, AI use, health background, gender, chronic disease, language and age was tested with interaction terms and simple slopes.</w:t>
      </w:r>
    </w:p>
    <w:p>
      <w:pPr>
        <w:pStyle w:val="ListBullet"/>
        <w:spacing w:after="60"/>
        <w:jc w:val="both"/>
      </w:pPr>
      <w:r>
        <w:rPr>
          <w:rFonts w:ascii="Times New Roman" w:hAnsi="Times New Roman"/>
          <w:b/>
        </w:rPr>
        <w:t>Sensitivity analyses:</w:t>
      </w:r>
      <w:r>
        <w:rPr>
          <w:rFonts w:ascii="Times New Roman" w:hAnsi="Times New Roman"/>
        </w:rPr>
        <w:t xml:space="preserve"> exclusion of annotated responses; exclusion of straight-line responders (identical answers to all items of a scale); alternative SHAI cut-offs; bootstrap of the main regression coefficient; and comparison of early versus late responders as a proxy for non-response bias.</w:t>
      </w:r>
    </w:p>
    <w:p>
      <w:pPr>
        <w:pStyle w:val="Heading2"/>
      </w:pPr>
      <w:r>
        <w:t>2.7 Ethical considerations</w:t>
      </w:r>
    </w:p>
    <w:p>
      <w:pPr>
        <w:spacing w:after="120"/>
        <w:ind w:firstLine="567"/>
        <w:jc w:val="both"/>
      </w:pPr>
      <w:r>
        <w:rPr>
          <w:rFonts w:ascii="Times New Roman" w:hAnsi="Times New Roman"/>
        </w:rPr>
        <w:t>Participation was voluntary and anonymous. The first page of the form explained the purpose of the study, and electronic informed consent (with confirmation of age ≥18) was required before any question was shown; participants could withdraw at any time by closing the form. No names or contact details were collected, and data were stored securely and used only for research purposes. [Ethical approval: committee name, approval number and date to be inserted.]</w:t>
      </w:r>
    </w:p>
    <w:p>
      <w:pPr>
        <w:pStyle w:val="Heading1"/>
      </w:pPr>
      <w:r>
        <w:t>3. Results</w:t>
      </w:r>
    </w:p>
    <w:p>
      <w:pPr>
        <w:pStyle w:val="Heading2"/>
      </w:pPr>
      <w:r>
        <w:t>3.1 Characteristics of participants</w:t>
      </w:r>
    </w:p>
    <w:p>
      <w:pPr>
        <w:spacing w:after="120"/>
        <w:ind w:firstLine="567"/>
        <w:jc w:val="both"/>
      </w:pPr>
      <w:r>
        <w:rPr>
          <w:rFonts w:ascii="Times New Roman" w:hAnsi="Times New Roman"/>
        </w:rPr>
        <w:t>A total of 300 adults completed the questionnaire; all gave consent and no item had missing data. The sample was young, with 187 (62.3%) aged 20–29 and 56 (18.7%) aged 18–19; 169 (56.3%) were female. Most were currently students (189 (63.0%)); medical students were the largest occupational group (132 (44.0%)), and 190 (63.3%) had a health-related background. A diagnosed chronic condition was reported by 65 (21.7%), most commonly migraine, hypertension, asthma, anaemia, psoriasis and diabetes. Most participants relied mainly on Arabic when answering (212 (70.7%)) (Table 1).</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1</w:t>
      </w:r>
      <w:r>
        <w:rPr>
          <w:b/>
          <w:sz w:val="24"/>
        </w:rPr>
        <w:fldChar w:fldCharType="end"/>
      </w:r>
      <w:r>
        <w:rPr>
          <w:b/>
          <w:sz w:val="24"/>
        </w:rPr>
        <w:t xml:space="preserve">. </w:t>
      </w:r>
      <w:r>
        <w:rPr>
          <w:i w:val="0"/>
          <w:sz w:val="24"/>
        </w:rPr>
        <w:t>Socio-demographic characteristics of the participants (n = 300)</w:t>
      </w:r>
    </w:p>
    <w:tbl>
      <w:tblPr>
        <w:tblStyle w:val="TableGrid"/>
        <w:tblW w:type="auto" w:w="0"/>
        <w:jc w:val="center"/>
        <w:tblLayout w:type="fixed"/>
        <w:tblLook w:firstColumn="1" w:firstRow="1" w:lastColumn="0" w:lastRow="0" w:noHBand="0" w:noVBand="1" w:val="04A0"/>
        <w:tblLayout w:type="fixed"/>
      </w:tblPr>
      <w:tblGrid>
        <w:gridCol w:w="5953"/>
        <w:gridCol w:w="1134"/>
        <w:gridCol w:w="1134"/>
      </w:tblGrid>
      <w:tr>
        <w:trPr>
          <w:cantSplit/>
        </w:trPr>
        <w:tc>
          <w:tcPr>
            <w:tcW w:type="dxa" w:w="5953"/>
            <w:tcBorders>
              <w:top w:val="single" w:sz="8" w:color="000000"/>
              <w:bottom w:val="single" w:sz="8" w:color="000000"/>
            </w:tcBorders>
          </w:tcPr>
          <w:p>
            <w:pPr>
              <w:spacing w:line="240" w:lineRule="auto" w:after="0"/>
            </w:pPr>
            <w:r/>
            <w:r>
              <w:rPr>
                <w:rFonts w:ascii="Times New Roman" w:hAnsi="Times New Roman"/>
                <w:b/>
                <w:sz w:val="21"/>
              </w:rPr>
              <w:t>Characteristic</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n</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w:t>
            </w:r>
          </w:p>
        </w:tc>
      </w:tr>
      <w:tr>
        <w:trPr>
          <w:cantSplit/>
        </w:trPr>
        <w:tc>
          <w:tcPr>
            <w:tcW w:type="dxa" w:w="5953"/>
          </w:tcPr>
          <w:p>
            <w:pPr>
              <w:spacing w:line="240" w:lineRule="auto" w:after="0"/>
            </w:pPr>
            <w:r/>
            <w:r>
              <w:rPr>
                <w:rFonts w:ascii="Times New Roman" w:hAnsi="Times New Roman"/>
                <w:b/>
                <w:sz w:val="21"/>
              </w:rPr>
              <w:t>Age group (years)</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18-19</w:t>
            </w:r>
          </w:p>
        </w:tc>
        <w:tc>
          <w:tcPr>
            <w:tcW w:type="dxa" w:w="1134"/>
          </w:tcPr>
          <w:p>
            <w:pPr>
              <w:spacing w:line="240" w:lineRule="auto" w:after="0"/>
            </w:pPr>
            <w:r/>
            <w:r>
              <w:rPr>
                <w:rFonts w:ascii="Times New Roman" w:hAnsi="Times New Roman"/>
                <w:b w:val="0"/>
                <w:sz w:val="21"/>
              </w:rPr>
              <w:t>56</w:t>
            </w:r>
          </w:p>
        </w:tc>
        <w:tc>
          <w:tcPr>
            <w:tcW w:type="dxa" w:w="1134"/>
          </w:tcPr>
          <w:p>
            <w:pPr>
              <w:spacing w:line="240" w:lineRule="auto" w:after="0"/>
            </w:pPr>
            <w:r/>
            <w:r>
              <w:rPr>
                <w:rFonts w:ascii="Times New Roman" w:hAnsi="Times New Roman"/>
                <w:b w:val="0"/>
                <w:sz w:val="21"/>
              </w:rPr>
              <w:t>18.7</w:t>
            </w:r>
          </w:p>
        </w:tc>
      </w:tr>
      <w:tr>
        <w:trPr>
          <w:cantSplit/>
        </w:trPr>
        <w:tc>
          <w:tcPr>
            <w:tcW w:type="dxa" w:w="5953"/>
          </w:tcPr>
          <w:p>
            <w:pPr>
              <w:spacing w:line="240" w:lineRule="auto" w:after="0"/>
            </w:pPr>
            <w:r/>
            <w:r>
              <w:rPr>
                <w:rFonts w:ascii="Times New Roman" w:hAnsi="Times New Roman"/>
                <w:b w:val="0"/>
                <w:sz w:val="21"/>
              </w:rPr>
              <w:t xml:space="preserve">    20-29</w:t>
            </w:r>
          </w:p>
        </w:tc>
        <w:tc>
          <w:tcPr>
            <w:tcW w:type="dxa" w:w="1134"/>
          </w:tcPr>
          <w:p>
            <w:pPr>
              <w:spacing w:line="240" w:lineRule="auto" w:after="0"/>
            </w:pPr>
            <w:r/>
            <w:r>
              <w:rPr>
                <w:rFonts w:ascii="Times New Roman" w:hAnsi="Times New Roman"/>
                <w:b w:val="0"/>
                <w:sz w:val="21"/>
              </w:rPr>
              <w:t>187</w:t>
            </w:r>
          </w:p>
        </w:tc>
        <w:tc>
          <w:tcPr>
            <w:tcW w:type="dxa" w:w="1134"/>
          </w:tcPr>
          <w:p>
            <w:pPr>
              <w:spacing w:line="240" w:lineRule="auto" w:after="0"/>
            </w:pPr>
            <w:r/>
            <w:r>
              <w:rPr>
                <w:rFonts w:ascii="Times New Roman" w:hAnsi="Times New Roman"/>
                <w:b w:val="0"/>
                <w:sz w:val="21"/>
              </w:rPr>
              <w:t>62.3</w:t>
            </w:r>
          </w:p>
        </w:tc>
      </w:tr>
      <w:tr>
        <w:trPr>
          <w:cantSplit/>
        </w:trPr>
        <w:tc>
          <w:tcPr>
            <w:tcW w:type="dxa" w:w="5953"/>
          </w:tcPr>
          <w:p>
            <w:pPr>
              <w:spacing w:line="240" w:lineRule="auto" w:after="0"/>
            </w:pPr>
            <w:r/>
            <w:r>
              <w:rPr>
                <w:rFonts w:ascii="Times New Roman" w:hAnsi="Times New Roman"/>
                <w:b w:val="0"/>
                <w:sz w:val="21"/>
              </w:rPr>
              <w:t xml:space="preserve">    30-39</w:t>
            </w:r>
          </w:p>
        </w:tc>
        <w:tc>
          <w:tcPr>
            <w:tcW w:type="dxa" w:w="1134"/>
          </w:tcPr>
          <w:p>
            <w:pPr>
              <w:spacing w:line="240" w:lineRule="auto" w:after="0"/>
            </w:pPr>
            <w:r/>
            <w:r>
              <w:rPr>
                <w:rFonts w:ascii="Times New Roman" w:hAnsi="Times New Roman"/>
                <w:b w:val="0"/>
                <w:sz w:val="21"/>
              </w:rPr>
              <w:t>21</w:t>
            </w:r>
          </w:p>
        </w:tc>
        <w:tc>
          <w:tcPr>
            <w:tcW w:type="dxa" w:w="1134"/>
          </w:tcPr>
          <w:p>
            <w:pPr>
              <w:spacing w:line="240" w:lineRule="auto" w:after="0"/>
            </w:pPr>
            <w:r/>
            <w:r>
              <w:rPr>
                <w:rFonts w:ascii="Times New Roman" w:hAnsi="Times New Roman"/>
                <w:b w:val="0"/>
                <w:sz w:val="21"/>
              </w:rPr>
              <w:t>7.0</w:t>
            </w:r>
          </w:p>
        </w:tc>
      </w:tr>
      <w:tr>
        <w:trPr>
          <w:cantSplit/>
        </w:trPr>
        <w:tc>
          <w:tcPr>
            <w:tcW w:type="dxa" w:w="5953"/>
          </w:tcPr>
          <w:p>
            <w:pPr>
              <w:spacing w:line="240" w:lineRule="auto" w:after="0"/>
            </w:pPr>
            <w:r/>
            <w:r>
              <w:rPr>
                <w:rFonts w:ascii="Times New Roman" w:hAnsi="Times New Roman"/>
                <w:b w:val="0"/>
                <w:sz w:val="21"/>
              </w:rPr>
              <w:t xml:space="preserve">    40-49</w:t>
            </w:r>
          </w:p>
        </w:tc>
        <w:tc>
          <w:tcPr>
            <w:tcW w:type="dxa" w:w="1134"/>
          </w:tcPr>
          <w:p>
            <w:pPr>
              <w:spacing w:line="240" w:lineRule="auto" w:after="0"/>
            </w:pPr>
            <w:r/>
            <w:r>
              <w:rPr>
                <w:rFonts w:ascii="Times New Roman" w:hAnsi="Times New Roman"/>
                <w:b w:val="0"/>
                <w:sz w:val="21"/>
              </w:rPr>
              <w:t>25</w:t>
            </w:r>
          </w:p>
        </w:tc>
        <w:tc>
          <w:tcPr>
            <w:tcW w:type="dxa" w:w="1134"/>
          </w:tcPr>
          <w:p>
            <w:pPr>
              <w:spacing w:line="240" w:lineRule="auto" w:after="0"/>
            </w:pPr>
            <w:r/>
            <w:r>
              <w:rPr>
                <w:rFonts w:ascii="Times New Roman" w:hAnsi="Times New Roman"/>
                <w:b w:val="0"/>
                <w:sz w:val="21"/>
              </w:rPr>
              <w:t>8.3</w:t>
            </w:r>
          </w:p>
        </w:tc>
      </w:tr>
      <w:tr>
        <w:trPr>
          <w:cantSplit/>
        </w:trPr>
        <w:tc>
          <w:tcPr>
            <w:tcW w:type="dxa" w:w="5953"/>
          </w:tcPr>
          <w:p>
            <w:pPr>
              <w:spacing w:line="240" w:lineRule="auto" w:after="0"/>
            </w:pPr>
            <w:r/>
            <w:r>
              <w:rPr>
                <w:rFonts w:ascii="Times New Roman" w:hAnsi="Times New Roman"/>
                <w:b w:val="0"/>
                <w:sz w:val="21"/>
              </w:rPr>
              <w:t xml:space="preserve">    50-59</w:t>
            </w:r>
          </w:p>
        </w:tc>
        <w:tc>
          <w:tcPr>
            <w:tcW w:type="dxa" w:w="1134"/>
          </w:tcPr>
          <w:p>
            <w:pPr>
              <w:spacing w:line="240" w:lineRule="auto" w:after="0"/>
            </w:pPr>
            <w:r/>
            <w:r>
              <w:rPr>
                <w:rFonts w:ascii="Times New Roman" w:hAnsi="Times New Roman"/>
                <w:b w:val="0"/>
                <w:sz w:val="21"/>
              </w:rPr>
              <w:t>9</w:t>
            </w:r>
          </w:p>
        </w:tc>
        <w:tc>
          <w:tcPr>
            <w:tcW w:type="dxa" w:w="1134"/>
          </w:tcPr>
          <w:p>
            <w:pPr>
              <w:spacing w:line="240" w:lineRule="auto" w:after="0"/>
            </w:pPr>
            <w:r/>
            <w:r>
              <w:rPr>
                <w:rFonts w:ascii="Times New Roman" w:hAnsi="Times New Roman"/>
                <w:b w:val="0"/>
                <w:sz w:val="21"/>
              </w:rPr>
              <w:t>3.0</w:t>
            </w:r>
          </w:p>
        </w:tc>
      </w:tr>
      <w:tr>
        <w:trPr>
          <w:cantSplit/>
        </w:trPr>
        <w:tc>
          <w:tcPr>
            <w:tcW w:type="dxa" w:w="5953"/>
          </w:tcPr>
          <w:p>
            <w:pPr>
              <w:spacing w:line="240" w:lineRule="auto" w:after="0"/>
            </w:pPr>
            <w:r/>
            <w:r>
              <w:rPr>
                <w:rFonts w:ascii="Times New Roman" w:hAnsi="Times New Roman"/>
                <w:b w:val="0"/>
                <w:sz w:val="21"/>
              </w:rPr>
              <w:t xml:space="preserve">    60+</w:t>
            </w:r>
          </w:p>
        </w:tc>
        <w:tc>
          <w:tcPr>
            <w:tcW w:type="dxa" w:w="1134"/>
          </w:tcPr>
          <w:p>
            <w:pPr>
              <w:spacing w:line="240" w:lineRule="auto" w:after="0"/>
            </w:pPr>
            <w:r/>
            <w:r>
              <w:rPr>
                <w:rFonts w:ascii="Times New Roman" w:hAnsi="Times New Roman"/>
                <w:b w:val="0"/>
                <w:sz w:val="21"/>
              </w:rPr>
              <w:t>2</w:t>
            </w:r>
          </w:p>
        </w:tc>
        <w:tc>
          <w:tcPr>
            <w:tcW w:type="dxa" w:w="1134"/>
          </w:tcPr>
          <w:p>
            <w:pPr>
              <w:spacing w:line="240" w:lineRule="auto" w:after="0"/>
            </w:pPr>
            <w:r/>
            <w:r>
              <w:rPr>
                <w:rFonts w:ascii="Times New Roman" w:hAnsi="Times New Roman"/>
                <w:b w:val="0"/>
                <w:sz w:val="21"/>
              </w:rPr>
              <w:t>0.7</w:t>
            </w:r>
          </w:p>
        </w:tc>
      </w:tr>
      <w:tr>
        <w:trPr>
          <w:cantSplit/>
        </w:trPr>
        <w:tc>
          <w:tcPr>
            <w:tcW w:type="dxa" w:w="5953"/>
          </w:tcPr>
          <w:p>
            <w:pPr>
              <w:spacing w:line="240" w:lineRule="auto" w:after="0"/>
            </w:pPr>
            <w:r/>
            <w:r>
              <w:rPr>
                <w:rFonts w:ascii="Times New Roman" w:hAnsi="Times New Roman"/>
                <w:b/>
                <w:sz w:val="21"/>
              </w:rPr>
              <w:t>Gender</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Female</w:t>
            </w:r>
          </w:p>
        </w:tc>
        <w:tc>
          <w:tcPr>
            <w:tcW w:type="dxa" w:w="1134"/>
          </w:tcPr>
          <w:p>
            <w:pPr>
              <w:spacing w:line="240" w:lineRule="auto" w:after="0"/>
            </w:pPr>
            <w:r/>
            <w:r>
              <w:rPr>
                <w:rFonts w:ascii="Times New Roman" w:hAnsi="Times New Roman"/>
                <w:b w:val="0"/>
                <w:sz w:val="21"/>
              </w:rPr>
              <w:t>169</w:t>
            </w:r>
          </w:p>
        </w:tc>
        <w:tc>
          <w:tcPr>
            <w:tcW w:type="dxa" w:w="1134"/>
          </w:tcPr>
          <w:p>
            <w:pPr>
              <w:spacing w:line="240" w:lineRule="auto" w:after="0"/>
            </w:pPr>
            <w:r/>
            <w:r>
              <w:rPr>
                <w:rFonts w:ascii="Times New Roman" w:hAnsi="Times New Roman"/>
                <w:b w:val="0"/>
                <w:sz w:val="21"/>
              </w:rPr>
              <w:t>56.3</w:t>
            </w:r>
          </w:p>
        </w:tc>
      </w:tr>
      <w:tr>
        <w:trPr>
          <w:cantSplit/>
        </w:trPr>
        <w:tc>
          <w:tcPr>
            <w:tcW w:type="dxa" w:w="5953"/>
          </w:tcPr>
          <w:p>
            <w:pPr>
              <w:spacing w:line="240" w:lineRule="auto" w:after="0"/>
            </w:pPr>
            <w:r/>
            <w:r>
              <w:rPr>
                <w:rFonts w:ascii="Times New Roman" w:hAnsi="Times New Roman"/>
                <w:b w:val="0"/>
                <w:sz w:val="21"/>
              </w:rPr>
              <w:t xml:space="preserve">    Male</w:t>
            </w:r>
          </w:p>
        </w:tc>
        <w:tc>
          <w:tcPr>
            <w:tcW w:type="dxa" w:w="1134"/>
          </w:tcPr>
          <w:p>
            <w:pPr>
              <w:spacing w:line="240" w:lineRule="auto" w:after="0"/>
            </w:pPr>
            <w:r/>
            <w:r>
              <w:rPr>
                <w:rFonts w:ascii="Times New Roman" w:hAnsi="Times New Roman"/>
                <w:b w:val="0"/>
                <w:sz w:val="21"/>
              </w:rPr>
              <w:t>131</w:t>
            </w:r>
          </w:p>
        </w:tc>
        <w:tc>
          <w:tcPr>
            <w:tcW w:type="dxa" w:w="1134"/>
          </w:tcPr>
          <w:p>
            <w:pPr>
              <w:spacing w:line="240" w:lineRule="auto" w:after="0"/>
            </w:pPr>
            <w:r/>
            <w:r>
              <w:rPr>
                <w:rFonts w:ascii="Times New Roman" w:hAnsi="Times New Roman"/>
                <w:b w:val="0"/>
                <w:sz w:val="21"/>
              </w:rPr>
              <w:t>43.7</w:t>
            </w:r>
          </w:p>
        </w:tc>
      </w:tr>
      <w:tr>
        <w:trPr>
          <w:cantSplit/>
        </w:trPr>
        <w:tc>
          <w:tcPr>
            <w:tcW w:type="dxa" w:w="5953"/>
          </w:tcPr>
          <w:p>
            <w:pPr>
              <w:spacing w:line="240" w:lineRule="auto" w:after="0"/>
            </w:pPr>
            <w:r/>
            <w:r>
              <w:rPr>
                <w:rFonts w:ascii="Times New Roman" w:hAnsi="Times New Roman"/>
                <w:b/>
                <w:sz w:val="21"/>
              </w:rPr>
              <w:t>Highest education</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Currently a student</w:t>
            </w:r>
          </w:p>
        </w:tc>
        <w:tc>
          <w:tcPr>
            <w:tcW w:type="dxa" w:w="1134"/>
          </w:tcPr>
          <w:p>
            <w:pPr>
              <w:spacing w:line="240" w:lineRule="auto" w:after="0"/>
            </w:pPr>
            <w:r/>
            <w:r>
              <w:rPr>
                <w:rFonts w:ascii="Times New Roman" w:hAnsi="Times New Roman"/>
                <w:b w:val="0"/>
                <w:sz w:val="21"/>
              </w:rPr>
              <w:t>189</w:t>
            </w:r>
          </w:p>
        </w:tc>
        <w:tc>
          <w:tcPr>
            <w:tcW w:type="dxa" w:w="1134"/>
          </w:tcPr>
          <w:p>
            <w:pPr>
              <w:spacing w:line="240" w:lineRule="auto" w:after="0"/>
            </w:pPr>
            <w:r/>
            <w:r>
              <w:rPr>
                <w:rFonts w:ascii="Times New Roman" w:hAnsi="Times New Roman"/>
                <w:b w:val="0"/>
                <w:sz w:val="21"/>
              </w:rPr>
              <w:t>63.0</w:t>
            </w:r>
          </w:p>
        </w:tc>
      </w:tr>
      <w:tr>
        <w:trPr>
          <w:cantSplit/>
        </w:trPr>
        <w:tc>
          <w:tcPr>
            <w:tcW w:type="dxa" w:w="5953"/>
          </w:tcPr>
          <w:p>
            <w:pPr>
              <w:spacing w:line="240" w:lineRule="auto" w:after="0"/>
            </w:pPr>
            <w:r/>
            <w:r>
              <w:rPr>
                <w:rFonts w:ascii="Times New Roman" w:hAnsi="Times New Roman"/>
                <w:b w:val="0"/>
                <w:sz w:val="21"/>
              </w:rPr>
              <w:t xml:space="preserve">    High school or below</w:t>
            </w:r>
          </w:p>
        </w:tc>
        <w:tc>
          <w:tcPr>
            <w:tcW w:type="dxa" w:w="1134"/>
          </w:tcPr>
          <w:p>
            <w:pPr>
              <w:spacing w:line="240" w:lineRule="auto" w:after="0"/>
            </w:pPr>
            <w:r/>
            <w:r>
              <w:rPr>
                <w:rFonts w:ascii="Times New Roman" w:hAnsi="Times New Roman"/>
                <w:b w:val="0"/>
                <w:sz w:val="21"/>
              </w:rPr>
              <w:t>18</w:t>
            </w:r>
          </w:p>
        </w:tc>
        <w:tc>
          <w:tcPr>
            <w:tcW w:type="dxa" w:w="1134"/>
          </w:tcPr>
          <w:p>
            <w:pPr>
              <w:spacing w:line="240" w:lineRule="auto" w:after="0"/>
            </w:pPr>
            <w:r/>
            <w:r>
              <w:rPr>
                <w:rFonts w:ascii="Times New Roman" w:hAnsi="Times New Roman"/>
                <w:b w:val="0"/>
                <w:sz w:val="21"/>
              </w:rPr>
              <w:t>6.0</w:t>
            </w:r>
          </w:p>
        </w:tc>
      </w:tr>
      <w:tr>
        <w:trPr>
          <w:cantSplit/>
        </w:trPr>
        <w:tc>
          <w:tcPr>
            <w:tcW w:type="dxa" w:w="5953"/>
          </w:tcPr>
          <w:p>
            <w:pPr>
              <w:spacing w:line="240" w:lineRule="auto" w:after="0"/>
            </w:pPr>
            <w:r/>
            <w:r>
              <w:rPr>
                <w:rFonts w:ascii="Times New Roman" w:hAnsi="Times New Roman"/>
                <w:b w:val="0"/>
                <w:sz w:val="21"/>
              </w:rPr>
              <w:t xml:space="preserve">    Diploma/Vocational</w:t>
            </w:r>
          </w:p>
        </w:tc>
        <w:tc>
          <w:tcPr>
            <w:tcW w:type="dxa" w:w="1134"/>
          </w:tcPr>
          <w:p>
            <w:pPr>
              <w:spacing w:line="240" w:lineRule="auto" w:after="0"/>
            </w:pPr>
            <w:r/>
            <w:r>
              <w:rPr>
                <w:rFonts w:ascii="Times New Roman" w:hAnsi="Times New Roman"/>
                <w:b w:val="0"/>
                <w:sz w:val="21"/>
              </w:rPr>
              <w:t>7</w:t>
            </w:r>
          </w:p>
        </w:tc>
        <w:tc>
          <w:tcPr>
            <w:tcW w:type="dxa" w:w="1134"/>
          </w:tcPr>
          <w:p>
            <w:pPr>
              <w:spacing w:line="240" w:lineRule="auto" w:after="0"/>
            </w:pPr>
            <w:r/>
            <w:r>
              <w:rPr>
                <w:rFonts w:ascii="Times New Roman" w:hAnsi="Times New Roman"/>
                <w:b w:val="0"/>
                <w:sz w:val="21"/>
              </w:rPr>
              <w:t>2.3</w:t>
            </w:r>
          </w:p>
        </w:tc>
      </w:tr>
      <w:tr>
        <w:trPr>
          <w:cantSplit/>
        </w:trPr>
        <w:tc>
          <w:tcPr>
            <w:tcW w:type="dxa" w:w="5953"/>
          </w:tcPr>
          <w:p>
            <w:pPr>
              <w:spacing w:line="240" w:lineRule="auto" w:after="0"/>
            </w:pPr>
            <w:r/>
            <w:r>
              <w:rPr>
                <w:rFonts w:ascii="Times New Roman" w:hAnsi="Times New Roman"/>
                <w:b w:val="0"/>
                <w:sz w:val="21"/>
              </w:rPr>
              <w:t xml:space="preserve">    Bachelor</w:t>
            </w:r>
          </w:p>
        </w:tc>
        <w:tc>
          <w:tcPr>
            <w:tcW w:type="dxa" w:w="1134"/>
          </w:tcPr>
          <w:p>
            <w:pPr>
              <w:spacing w:line="240" w:lineRule="auto" w:after="0"/>
            </w:pPr>
            <w:r/>
            <w:r>
              <w:rPr>
                <w:rFonts w:ascii="Times New Roman" w:hAnsi="Times New Roman"/>
                <w:b w:val="0"/>
                <w:sz w:val="21"/>
              </w:rPr>
              <w:t>65</w:t>
            </w:r>
          </w:p>
        </w:tc>
        <w:tc>
          <w:tcPr>
            <w:tcW w:type="dxa" w:w="1134"/>
          </w:tcPr>
          <w:p>
            <w:pPr>
              <w:spacing w:line="240" w:lineRule="auto" w:after="0"/>
            </w:pPr>
            <w:r/>
            <w:r>
              <w:rPr>
                <w:rFonts w:ascii="Times New Roman" w:hAnsi="Times New Roman"/>
                <w:b w:val="0"/>
                <w:sz w:val="21"/>
              </w:rPr>
              <w:t>21.7</w:t>
            </w:r>
          </w:p>
        </w:tc>
      </w:tr>
      <w:tr>
        <w:trPr>
          <w:cantSplit/>
        </w:trPr>
        <w:tc>
          <w:tcPr>
            <w:tcW w:type="dxa" w:w="5953"/>
          </w:tcPr>
          <w:p>
            <w:pPr>
              <w:spacing w:line="240" w:lineRule="auto" w:after="0"/>
            </w:pPr>
            <w:r/>
            <w:r>
              <w:rPr>
                <w:rFonts w:ascii="Times New Roman" w:hAnsi="Times New Roman"/>
                <w:b w:val="0"/>
                <w:sz w:val="21"/>
              </w:rPr>
              <w:t xml:space="preserve">    Postgraduate</w:t>
            </w:r>
          </w:p>
        </w:tc>
        <w:tc>
          <w:tcPr>
            <w:tcW w:type="dxa" w:w="1134"/>
          </w:tcPr>
          <w:p>
            <w:pPr>
              <w:spacing w:line="240" w:lineRule="auto" w:after="0"/>
            </w:pPr>
            <w:r/>
            <w:r>
              <w:rPr>
                <w:rFonts w:ascii="Times New Roman" w:hAnsi="Times New Roman"/>
                <w:b w:val="0"/>
                <w:sz w:val="21"/>
              </w:rPr>
              <w:t>21</w:t>
            </w:r>
          </w:p>
        </w:tc>
        <w:tc>
          <w:tcPr>
            <w:tcW w:type="dxa" w:w="1134"/>
          </w:tcPr>
          <w:p>
            <w:pPr>
              <w:spacing w:line="240" w:lineRule="auto" w:after="0"/>
            </w:pPr>
            <w:r/>
            <w:r>
              <w:rPr>
                <w:rFonts w:ascii="Times New Roman" w:hAnsi="Times New Roman"/>
                <w:b w:val="0"/>
                <w:sz w:val="21"/>
              </w:rPr>
              <w:t>7.0</w:t>
            </w:r>
          </w:p>
        </w:tc>
      </w:tr>
      <w:tr>
        <w:trPr>
          <w:cantSplit/>
        </w:trPr>
        <w:tc>
          <w:tcPr>
            <w:tcW w:type="dxa" w:w="5953"/>
          </w:tcPr>
          <w:p>
            <w:pPr>
              <w:spacing w:line="240" w:lineRule="auto" w:after="0"/>
            </w:pPr>
            <w:r/>
            <w:r>
              <w:rPr>
                <w:rFonts w:ascii="Times New Roman" w:hAnsi="Times New Roman"/>
                <w:b/>
                <w:sz w:val="21"/>
              </w:rPr>
              <w:t>Study/work</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Medical student</w:t>
            </w:r>
          </w:p>
        </w:tc>
        <w:tc>
          <w:tcPr>
            <w:tcW w:type="dxa" w:w="1134"/>
          </w:tcPr>
          <w:p>
            <w:pPr>
              <w:spacing w:line="240" w:lineRule="auto" w:after="0"/>
            </w:pPr>
            <w:r/>
            <w:r>
              <w:rPr>
                <w:rFonts w:ascii="Times New Roman" w:hAnsi="Times New Roman"/>
                <w:b w:val="0"/>
                <w:sz w:val="21"/>
              </w:rPr>
              <w:t>132</w:t>
            </w:r>
          </w:p>
        </w:tc>
        <w:tc>
          <w:tcPr>
            <w:tcW w:type="dxa" w:w="1134"/>
          </w:tcPr>
          <w:p>
            <w:pPr>
              <w:spacing w:line="240" w:lineRule="auto" w:after="0"/>
            </w:pPr>
            <w:r/>
            <w:r>
              <w:rPr>
                <w:rFonts w:ascii="Times New Roman" w:hAnsi="Times New Roman"/>
                <w:b w:val="0"/>
                <w:sz w:val="21"/>
              </w:rPr>
              <w:t>44.0</w:t>
            </w:r>
          </w:p>
        </w:tc>
      </w:tr>
      <w:tr>
        <w:trPr>
          <w:cantSplit/>
        </w:trPr>
        <w:tc>
          <w:tcPr>
            <w:tcW w:type="dxa" w:w="5953"/>
          </w:tcPr>
          <w:p>
            <w:pPr>
              <w:spacing w:line="240" w:lineRule="auto" w:after="0"/>
            </w:pPr>
            <w:r/>
            <w:r>
              <w:rPr>
                <w:rFonts w:ascii="Times New Roman" w:hAnsi="Times New Roman"/>
                <w:b w:val="0"/>
                <w:sz w:val="21"/>
              </w:rPr>
              <w:t xml:space="preserve">    Other health-science student</w:t>
            </w:r>
          </w:p>
        </w:tc>
        <w:tc>
          <w:tcPr>
            <w:tcW w:type="dxa" w:w="1134"/>
          </w:tcPr>
          <w:p>
            <w:pPr>
              <w:spacing w:line="240" w:lineRule="auto" w:after="0"/>
            </w:pPr>
            <w:r/>
            <w:r>
              <w:rPr>
                <w:rFonts w:ascii="Times New Roman" w:hAnsi="Times New Roman"/>
                <w:b w:val="0"/>
                <w:sz w:val="21"/>
              </w:rPr>
              <w:t>43</w:t>
            </w:r>
          </w:p>
        </w:tc>
        <w:tc>
          <w:tcPr>
            <w:tcW w:type="dxa" w:w="1134"/>
          </w:tcPr>
          <w:p>
            <w:pPr>
              <w:spacing w:line="240" w:lineRule="auto" w:after="0"/>
            </w:pPr>
            <w:r/>
            <w:r>
              <w:rPr>
                <w:rFonts w:ascii="Times New Roman" w:hAnsi="Times New Roman"/>
                <w:b w:val="0"/>
                <w:sz w:val="21"/>
              </w:rPr>
              <w:t>14.3</w:t>
            </w:r>
          </w:p>
        </w:tc>
      </w:tr>
      <w:tr>
        <w:trPr>
          <w:cantSplit/>
        </w:trPr>
        <w:tc>
          <w:tcPr>
            <w:tcW w:type="dxa" w:w="5953"/>
          </w:tcPr>
          <w:p>
            <w:pPr>
              <w:spacing w:line="240" w:lineRule="auto" w:after="0"/>
            </w:pPr>
            <w:r/>
            <w:r>
              <w:rPr>
                <w:rFonts w:ascii="Times New Roman" w:hAnsi="Times New Roman"/>
                <w:b w:val="0"/>
                <w:sz w:val="21"/>
              </w:rPr>
              <w:t xml:space="preserve">    Healthcare worker</w:t>
            </w:r>
          </w:p>
        </w:tc>
        <w:tc>
          <w:tcPr>
            <w:tcW w:type="dxa" w:w="1134"/>
          </w:tcPr>
          <w:p>
            <w:pPr>
              <w:spacing w:line="240" w:lineRule="auto" w:after="0"/>
            </w:pPr>
            <w:r/>
            <w:r>
              <w:rPr>
                <w:rFonts w:ascii="Times New Roman" w:hAnsi="Times New Roman"/>
                <w:b w:val="0"/>
                <w:sz w:val="21"/>
              </w:rPr>
              <w:t>15</w:t>
            </w:r>
          </w:p>
        </w:tc>
        <w:tc>
          <w:tcPr>
            <w:tcW w:type="dxa" w:w="1134"/>
          </w:tcPr>
          <w:p>
            <w:pPr>
              <w:spacing w:line="240" w:lineRule="auto" w:after="0"/>
            </w:pPr>
            <w:r/>
            <w:r>
              <w:rPr>
                <w:rFonts w:ascii="Times New Roman" w:hAnsi="Times New Roman"/>
                <w:b w:val="0"/>
                <w:sz w:val="21"/>
              </w:rPr>
              <w:t>5.0</w:t>
            </w:r>
          </w:p>
        </w:tc>
      </w:tr>
      <w:tr>
        <w:trPr>
          <w:cantSplit/>
        </w:trPr>
        <w:tc>
          <w:tcPr>
            <w:tcW w:type="dxa" w:w="5953"/>
          </w:tcPr>
          <w:p>
            <w:pPr>
              <w:spacing w:line="240" w:lineRule="auto" w:after="0"/>
            </w:pPr>
            <w:r/>
            <w:r>
              <w:rPr>
                <w:rFonts w:ascii="Times New Roman" w:hAnsi="Times New Roman"/>
                <w:b w:val="0"/>
                <w:sz w:val="21"/>
              </w:rPr>
              <w:t xml:space="preserve">    Non-health student</w:t>
            </w:r>
          </w:p>
        </w:tc>
        <w:tc>
          <w:tcPr>
            <w:tcW w:type="dxa" w:w="1134"/>
          </w:tcPr>
          <w:p>
            <w:pPr>
              <w:spacing w:line="240" w:lineRule="auto" w:after="0"/>
            </w:pPr>
            <w:r/>
            <w:r>
              <w:rPr>
                <w:rFonts w:ascii="Times New Roman" w:hAnsi="Times New Roman"/>
                <w:b w:val="0"/>
                <w:sz w:val="21"/>
              </w:rPr>
              <w:t>46</w:t>
            </w:r>
          </w:p>
        </w:tc>
        <w:tc>
          <w:tcPr>
            <w:tcW w:type="dxa" w:w="1134"/>
          </w:tcPr>
          <w:p>
            <w:pPr>
              <w:spacing w:line="240" w:lineRule="auto" w:after="0"/>
            </w:pPr>
            <w:r/>
            <w:r>
              <w:rPr>
                <w:rFonts w:ascii="Times New Roman" w:hAnsi="Times New Roman"/>
                <w:b w:val="0"/>
                <w:sz w:val="21"/>
              </w:rPr>
              <w:t>15.3</w:t>
            </w:r>
          </w:p>
        </w:tc>
      </w:tr>
      <w:tr>
        <w:trPr>
          <w:cantSplit/>
        </w:trPr>
        <w:tc>
          <w:tcPr>
            <w:tcW w:type="dxa" w:w="5953"/>
          </w:tcPr>
          <w:p>
            <w:pPr>
              <w:spacing w:line="240" w:lineRule="auto" w:after="0"/>
            </w:pPr>
            <w:r/>
            <w:r>
              <w:rPr>
                <w:rFonts w:ascii="Times New Roman" w:hAnsi="Times New Roman"/>
                <w:b w:val="0"/>
                <w:sz w:val="21"/>
              </w:rPr>
              <w:t xml:space="preserve">    Non-health employee/other</w:t>
            </w:r>
          </w:p>
        </w:tc>
        <w:tc>
          <w:tcPr>
            <w:tcW w:type="dxa" w:w="1134"/>
          </w:tcPr>
          <w:p>
            <w:pPr>
              <w:spacing w:line="240" w:lineRule="auto" w:after="0"/>
            </w:pPr>
            <w:r/>
            <w:r>
              <w:rPr>
                <w:rFonts w:ascii="Times New Roman" w:hAnsi="Times New Roman"/>
                <w:b w:val="0"/>
                <w:sz w:val="21"/>
              </w:rPr>
              <w:t>64</w:t>
            </w:r>
          </w:p>
        </w:tc>
        <w:tc>
          <w:tcPr>
            <w:tcW w:type="dxa" w:w="1134"/>
          </w:tcPr>
          <w:p>
            <w:pPr>
              <w:spacing w:line="240" w:lineRule="auto" w:after="0"/>
            </w:pPr>
            <w:r/>
            <w:r>
              <w:rPr>
                <w:rFonts w:ascii="Times New Roman" w:hAnsi="Times New Roman"/>
                <w:b w:val="0"/>
                <w:sz w:val="21"/>
              </w:rPr>
              <w:t>21.3</w:t>
            </w:r>
          </w:p>
        </w:tc>
      </w:tr>
      <w:tr>
        <w:trPr>
          <w:cantSplit/>
        </w:trPr>
        <w:tc>
          <w:tcPr>
            <w:tcW w:type="dxa" w:w="5953"/>
          </w:tcPr>
          <w:p>
            <w:pPr>
              <w:spacing w:line="240" w:lineRule="auto" w:after="0"/>
            </w:pPr>
            <w:r/>
            <w:r>
              <w:rPr>
                <w:rFonts w:ascii="Times New Roman" w:hAnsi="Times New Roman"/>
                <w:b/>
                <w:sz w:val="21"/>
              </w:rPr>
              <w:t>Health-related background (1=yes)</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Yes</w:t>
            </w:r>
          </w:p>
        </w:tc>
        <w:tc>
          <w:tcPr>
            <w:tcW w:type="dxa" w:w="1134"/>
          </w:tcPr>
          <w:p>
            <w:pPr>
              <w:spacing w:line="240" w:lineRule="auto" w:after="0"/>
            </w:pPr>
            <w:r/>
            <w:r>
              <w:rPr>
                <w:rFonts w:ascii="Times New Roman" w:hAnsi="Times New Roman"/>
                <w:b w:val="0"/>
                <w:sz w:val="21"/>
              </w:rPr>
              <w:t>190</w:t>
            </w:r>
          </w:p>
        </w:tc>
        <w:tc>
          <w:tcPr>
            <w:tcW w:type="dxa" w:w="1134"/>
          </w:tcPr>
          <w:p>
            <w:pPr>
              <w:spacing w:line="240" w:lineRule="auto" w:after="0"/>
            </w:pPr>
            <w:r/>
            <w:r>
              <w:rPr>
                <w:rFonts w:ascii="Times New Roman" w:hAnsi="Times New Roman"/>
                <w:b w:val="0"/>
                <w:sz w:val="21"/>
              </w:rPr>
              <w:t>63.3</w:t>
            </w:r>
          </w:p>
        </w:tc>
      </w:tr>
      <w:tr>
        <w:trPr>
          <w:cantSplit/>
        </w:trPr>
        <w:tc>
          <w:tcPr>
            <w:tcW w:type="dxa" w:w="5953"/>
          </w:tcPr>
          <w:p>
            <w:pPr>
              <w:spacing w:line="240" w:lineRule="auto" w:after="0"/>
            </w:pPr>
            <w:r/>
            <w:r>
              <w:rPr>
                <w:rFonts w:ascii="Times New Roman" w:hAnsi="Times New Roman"/>
                <w:b w:val="0"/>
                <w:sz w:val="21"/>
              </w:rPr>
              <w:t xml:space="preserve">    No</w:t>
            </w:r>
          </w:p>
        </w:tc>
        <w:tc>
          <w:tcPr>
            <w:tcW w:type="dxa" w:w="1134"/>
          </w:tcPr>
          <w:p>
            <w:pPr>
              <w:spacing w:line="240" w:lineRule="auto" w:after="0"/>
            </w:pPr>
            <w:r/>
            <w:r>
              <w:rPr>
                <w:rFonts w:ascii="Times New Roman" w:hAnsi="Times New Roman"/>
                <w:b w:val="0"/>
                <w:sz w:val="21"/>
              </w:rPr>
              <w:t>110</w:t>
            </w:r>
          </w:p>
        </w:tc>
        <w:tc>
          <w:tcPr>
            <w:tcW w:type="dxa" w:w="1134"/>
          </w:tcPr>
          <w:p>
            <w:pPr>
              <w:spacing w:line="240" w:lineRule="auto" w:after="0"/>
            </w:pPr>
            <w:r/>
            <w:r>
              <w:rPr>
                <w:rFonts w:ascii="Times New Roman" w:hAnsi="Times New Roman"/>
                <w:b w:val="0"/>
                <w:sz w:val="21"/>
              </w:rPr>
              <w:t>36.7</w:t>
            </w:r>
          </w:p>
        </w:tc>
      </w:tr>
      <w:tr>
        <w:trPr>
          <w:cantSplit/>
        </w:trPr>
        <w:tc>
          <w:tcPr>
            <w:tcW w:type="dxa" w:w="5953"/>
          </w:tcPr>
          <w:p>
            <w:pPr>
              <w:spacing w:line="240" w:lineRule="auto" w:after="0"/>
            </w:pPr>
            <w:r/>
            <w:r>
              <w:rPr>
                <w:rFonts w:ascii="Times New Roman" w:hAnsi="Times New Roman"/>
                <w:b/>
                <w:sz w:val="21"/>
              </w:rPr>
              <w:t>Diagnosed chronic condition (1=yes)</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Yes</w:t>
            </w:r>
          </w:p>
        </w:tc>
        <w:tc>
          <w:tcPr>
            <w:tcW w:type="dxa" w:w="1134"/>
          </w:tcPr>
          <w:p>
            <w:pPr>
              <w:spacing w:line="240" w:lineRule="auto" w:after="0"/>
            </w:pPr>
            <w:r/>
            <w:r>
              <w:rPr>
                <w:rFonts w:ascii="Times New Roman" w:hAnsi="Times New Roman"/>
                <w:b w:val="0"/>
                <w:sz w:val="21"/>
              </w:rPr>
              <w:t>65</w:t>
            </w:r>
          </w:p>
        </w:tc>
        <w:tc>
          <w:tcPr>
            <w:tcW w:type="dxa" w:w="1134"/>
          </w:tcPr>
          <w:p>
            <w:pPr>
              <w:spacing w:line="240" w:lineRule="auto" w:after="0"/>
            </w:pPr>
            <w:r/>
            <w:r>
              <w:rPr>
                <w:rFonts w:ascii="Times New Roman" w:hAnsi="Times New Roman"/>
                <w:b w:val="0"/>
                <w:sz w:val="21"/>
              </w:rPr>
              <w:t>21.7</w:t>
            </w:r>
          </w:p>
        </w:tc>
      </w:tr>
      <w:tr>
        <w:trPr>
          <w:cantSplit/>
        </w:trPr>
        <w:tc>
          <w:tcPr>
            <w:tcW w:type="dxa" w:w="5953"/>
          </w:tcPr>
          <w:p>
            <w:pPr>
              <w:spacing w:line="240" w:lineRule="auto" w:after="0"/>
            </w:pPr>
            <w:r/>
            <w:r>
              <w:rPr>
                <w:rFonts w:ascii="Times New Roman" w:hAnsi="Times New Roman"/>
                <w:b w:val="0"/>
                <w:sz w:val="21"/>
              </w:rPr>
              <w:t xml:space="preserve">    No</w:t>
            </w:r>
          </w:p>
        </w:tc>
        <w:tc>
          <w:tcPr>
            <w:tcW w:type="dxa" w:w="1134"/>
          </w:tcPr>
          <w:p>
            <w:pPr>
              <w:spacing w:line="240" w:lineRule="auto" w:after="0"/>
            </w:pPr>
            <w:r/>
            <w:r>
              <w:rPr>
                <w:rFonts w:ascii="Times New Roman" w:hAnsi="Times New Roman"/>
                <w:b w:val="0"/>
                <w:sz w:val="21"/>
              </w:rPr>
              <w:t>235</w:t>
            </w:r>
          </w:p>
        </w:tc>
        <w:tc>
          <w:tcPr>
            <w:tcW w:type="dxa" w:w="1134"/>
          </w:tcPr>
          <w:p>
            <w:pPr>
              <w:spacing w:line="240" w:lineRule="auto" w:after="0"/>
            </w:pPr>
            <w:r/>
            <w:r>
              <w:rPr>
                <w:rFonts w:ascii="Times New Roman" w:hAnsi="Times New Roman"/>
                <w:b w:val="0"/>
                <w:sz w:val="21"/>
              </w:rPr>
              <w:t>78.3</w:t>
            </w:r>
          </w:p>
        </w:tc>
      </w:tr>
      <w:tr>
        <w:trPr>
          <w:cantSplit/>
        </w:trPr>
        <w:tc>
          <w:tcPr>
            <w:tcW w:type="dxa" w:w="5953"/>
          </w:tcPr>
          <w:p>
            <w:pPr>
              <w:spacing w:line="240" w:lineRule="auto" w:after="0"/>
            </w:pPr>
            <w:r/>
            <w:r>
              <w:rPr>
                <w:rFonts w:ascii="Times New Roman" w:hAnsi="Times New Roman"/>
                <w:b/>
                <w:sz w:val="21"/>
              </w:rPr>
              <w:t>Language relied on</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Arabic</w:t>
            </w:r>
          </w:p>
        </w:tc>
        <w:tc>
          <w:tcPr>
            <w:tcW w:type="dxa" w:w="1134"/>
          </w:tcPr>
          <w:p>
            <w:pPr>
              <w:spacing w:line="240" w:lineRule="auto" w:after="0"/>
            </w:pPr>
            <w:r/>
            <w:r>
              <w:rPr>
                <w:rFonts w:ascii="Times New Roman" w:hAnsi="Times New Roman"/>
                <w:b w:val="0"/>
                <w:sz w:val="21"/>
              </w:rPr>
              <w:t>212</w:t>
            </w:r>
          </w:p>
        </w:tc>
        <w:tc>
          <w:tcPr>
            <w:tcW w:type="dxa" w:w="1134"/>
          </w:tcPr>
          <w:p>
            <w:pPr>
              <w:spacing w:line="240" w:lineRule="auto" w:after="0"/>
            </w:pPr>
            <w:r/>
            <w:r>
              <w:rPr>
                <w:rFonts w:ascii="Times New Roman" w:hAnsi="Times New Roman"/>
                <w:b w:val="0"/>
                <w:sz w:val="21"/>
              </w:rPr>
              <w:t>70.7</w:t>
            </w:r>
          </w:p>
        </w:tc>
      </w:tr>
      <w:tr>
        <w:trPr>
          <w:cantSplit/>
        </w:trPr>
        <w:tc>
          <w:tcPr>
            <w:tcW w:type="dxa" w:w="5953"/>
            <w:tcBorders>
              <w:bottom w:val="single" w:sz="8" w:color="000000"/>
            </w:tcBorders>
          </w:tcPr>
          <w:p>
            <w:pPr>
              <w:spacing w:line="240" w:lineRule="auto" w:after="0"/>
            </w:pPr>
            <w:r/>
            <w:r>
              <w:rPr>
                <w:rFonts w:ascii="Times New Roman" w:hAnsi="Times New Roman"/>
                <w:b w:val="0"/>
                <w:sz w:val="21"/>
              </w:rPr>
              <w:t xml:space="preserve">    English</w:t>
            </w:r>
          </w:p>
        </w:tc>
        <w:tc>
          <w:tcPr>
            <w:tcW w:type="dxa" w:w="1134"/>
            <w:tcBorders>
              <w:bottom w:val="single" w:sz="8" w:color="000000"/>
            </w:tcBorders>
          </w:tcPr>
          <w:p>
            <w:pPr>
              <w:spacing w:line="240" w:lineRule="auto" w:after="0"/>
            </w:pPr>
            <w:r/>
            <w:r>
              <w:rPr>
                <w:rFonts w:ascii="Times New Roman" w:hAnsi="Times New Roman"/>
                <w:b w:val="0"/>
                <w:sz w:val="21"/>
              </w:rPr>
              <w:t>88</w:t>
            </w:r>
          </w:p>
        </w:tc>
        <w:tc>
          <w:tcPr>
            <w:tcW w:type="dxa" w:w="1134"/>
            <w:tcBorders>
              <w:bottom w:val="single" w:sz="8" w:color="000000"/>
            </w:tcBorders>
          </w:tcPr>
          <w:p>
            <w:pPr>
              <w:spacing w:line="240" w:lineRule="auto" w:after="0"/>
            </w:pPr>
            <w:r/>
            <w:r>
              <w:rPr>
                <w:rFonts w:ascii="Times New Roman" w:hAnsi="Times New Roman"/>
                <w:b w:val="0"/>
                <w:sz w:val="21"/>
              </w:rPr>
              <w:t>29.3</w:t>
            </w:r>
          </w:p>
        </w:tc>
      </w:tr>
    </w:tbl>
    <w:p>
      <w:pPr>
        <w:spacing w:after="80"/>
      </w:pPr>
    </w:p>
    <w:p>
      <w:pPr>
        <w:pStyle w:val="Heading2"/>
      </w:pPr>
      <w:r>
        <w:t>3.2 Patterns of online health information seeking</w:t>
      </w:r>
    </w:p>
    <w:p>
      <w:pPr>
        <w:spacing w:after="120"/>
        <w:ind w:firstLine="567"/>
        <w:jc w:val="both"/>
      </w:pPr>
      <w:r>
        <w:rPr>
          <w:rFonts w:ascii="Times New Roman" w:hAnsi="Times New Roman"/>
        </w:rPr>
        <w:t>AI chatbots were the most frequently used tool for looking up symptoms (266 (88.7%)), followed by search engines (169 (56.3%)), dedicated medical platforms (55 (18.3%)) and social media (32 (10.7%)); 171 (57.0%) used more than one type of tool (counting AI use as defined in Section 2.5). AI use was highest among the youngest participants (96% at 18–19 years) and lowest among the oldest (72% at ≥40), so the 34 non-users were older on average. ChatGPT was the dominant chatbot (178 (59.3%)), followed by Gemini (71 (23.7%)) and Claude (12 (4.0%)). Notably, 123 (41.0%) used AI chatbots without using search engines at all. Convenience was the leading motive (80.0%), followed by deciding whether a doctor visit was needed (57.7%) and seeking instant reassurance about an unexplained symptom (51.0%). Trust in medical information generated by online tools or AI was mostly moderate (170 (56.7%)); only 27 (9.0%) trusted it very much or completely (Table 2, Figure 1).</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2</w:t>
      </w:r>
      <w:r>
        <w:rPr>
          <w:b/>
          <w:sz w:val="24"/>
        </w:rPr>
        <w:fldChar w:fldCharType="end"/>
      </w:r>
      <w:r>
        <w:rPr>
          <w:b/>
          <w:sz w:val="24"/>
        </w:rPr>
        <w:t xml:space="preserve">. </w:t>
      </w:r>
      <w:r>
        <w:rPr>
          <w:i w:val="0"/>
          <w:sz w:val="24"/>
        </w:rPr>
        <w:t>Online health information seeking, pre-consultation behaviour and relationship with physicians (n = 300)</w:t>
      </w:r>
    </w:p>
    <w:tbl>
      <w:tblPr>
        <w:tblStyle w:val="TableGrid"/>
        <w:tblW w:type="auto" w:w="0"/>
        <w:jc w:val="center"/>
        <w:tblLayout w:type="fixed"/>
        <w:tblLook w:firstColumn="1" w:firstRow="1" w:lastColumn="0" w:lastRow="0" w:noHBand="0" w:noVBand="1" w:val="04A0"/>
        <w:tblLayout w:type="fixed"/>
      </w:tblPr>
      <w:tblGrid>
        <w:gridCol w:w="5953"/>
        <w:gridCol w:w="1134"/>
        <w:gridCol w:w="1134"/>
      </w:tblGrid>
      <w:tr>
        <w:trPr>
          <w:cantSplit/>
        </w:trPr>
        <w:tc>
          <w:tcPr>
            <w:tcW w:type="dxa" w:w="5953"/>
            <w:tcBorders>
              <w:top w:val="single" w:sz="8" w:color="000000"/>
              <w:bottom w:val="single" w:sz="8" w:color="000000"/>
            </w:tcBorders>
          </w:tcPr>
          <w:p>
            <w:pPr>
              <w:spacing w:line="240" w:lineRule="auto" w:after="0"/>
            </w:pPr>
            <w:r/>
            <w:r>
              <w:rPr>
                <w:rFonts w:ascii="Times New Roman" w:hAnsi="Times New Roman"/>
                <w:b/>
                <w:sz w:val="21"/>
              </w:rPr>
              <w:t>Variable</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n</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w:t>
            </w:r>
          </w:p>
        </w:tc>
      </w:tr>
      <w:tr>
        <w:trPr>
          <w:cantSplit/>
        </w:trPr>
        <w:tc>
          <w:tcPr>
            <w:tcW w:type="dxa" w:w="5953"/>
          </w:tcPr>
          <w:p>
            <w:pPr>
              <w:spacing w:line="240" w:lineRule="auto" w:after="0"/>
            </w:pPr>
            <w:r/>
            <w:r>
              <w:rPr>
                <w:rFonts w:ascii="Times New Roman" w:hAnsi="Times New Roman"/>
                <w:b/>
                <w:sz w:val="21"/>
              </w:rPr>
              <w:t>Tools used (multiple)</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AI chatbots*</w:t>
            </w:r>
          </w:p>
        </w:tc>
        <w:tc>
          <w:tcPr>
            <w:tcW w:type="dxa" w:w="1134"/>
          </w:tcPr>
          <w:p>
            <w:pPr>
              <w:spacing w:line="240" w:lineRule="auto" w:after="0"/>
            </w:pPr>
            <w:r/>
            <w:r>
              <w:rPr>
                <w:rFonts w:ascii="Times New Roman" w:hAnsi="Times New Roman"/>
                <w:b w:val="0"/>
                <w:sz w:val="21"/>
              </w:rPr>
              <w:t>266</w:t>
            </w:r>
          </w:p>
        </w:tc>
        <w:tc>
          <w:tcPr>
            <w:tcW w:type="dxa" w:w="1134"/>
          </w:tcPr>
          <w:p>
            <w:pPr>
              <w:spacing w:line="240" w:lineRule="auto" w:after="0"/>
            </w:pPr>
            <w:r/>
            <w:r>
              <w:rPr>
                <w:rFonts w:ascii="Times New Roman" w:hAnsi="Times New Roman"/>
                <w:b w:val="0"/>
                <w:sz w:val="21"/>
              </w:rPr>
              <w:t>88.7</w:t>
            </w:r>
          </w:p>
        </w:tc>
      </w:tr>
      <w:tr>
        <w:trPr>
          <w:cantSplit/>
        </w:trPr>
        <w:tc>
          <w:tcPr>
            <w:tcW w:type="dxa" w:w="5953"/>
          </w:tcPr>
          <w:p>
            <w:pPr>
              <w:spacing w:line="240" w:lineRule="auto" w:after="0"/>
            </w:pPr>
            <w:r/>
            <w:r>
              <w:rPr>
                <w:rFonts w:ascii="Times New Roman" w:hAnsi="Times New Roman"/>
                <w:b w:val="0"/>
                <w:sz w:val="21"/>
              </w:rPr>
              <w:t xml:space="preserve">    Search engines</w:t>
            </w:r>
          </w:p>
        </w:tc>
        <w:tc>
          <w:tcPr>
            <w:tcW w:type="dxa" w:w="1134"/>
          </w:tcPr>
          <w:p>
            <w:pPr>
              <w:spacing w:line="240" w:lineRule="auto" w:after="0"/>
            </w:pPr>
            <w:r/>
            <w:r>
              <w:rPr>
                <w:rFonts w:ascii="Times New Roman" w:hAnsi="Times New Roman"/>
                <w:b w:val="0"/>
                <w:sz w:val="21"/>
              </w:rPr>
              <w:t>169</w:t>
            </w:r>
          </w:p>
        </w:tc>
        <w:tc>
          <w:tcPr>
            <w:tcW w:type="dxa" w:w="1134"/>
          </w:tcPr>
          <w:p>
            <w:pPr>
              <w:spacing w:line="240" w:lineRule="auto" w:after="0"/>
            </w:pPr>
            <w:r/>
            <w:r>
              <w:rPr>
                <w:rFonts w:ascii="Times New Roman" w:hAnsi="Times New Roman"/>
                <w:b w:val="0"/>
                <w:sz w:val="21"/>
              </w:rPr>
              <w:t>56.3</w:t>
            </w:r>
          </w:p>
        </w:tc>
      </w:tr>
      <w:tr>
        <w:trPr>
          <w:cantSplit/>
        </w:trPr>
        <w:tc>
          <w:tcPr>
            <w:tcW w:type="dxa" w:w="5953"/>
          </w:tcPr>
          <w:p>
            <w:pPr>
              <w:spacing w:line="240" w:lineRule="auto" w:after="0"/>
            </w:pPr>
            <w:r/>
            <w:r>
              <w:rPr>
                <w:rFonts w:ascii="Times New Roman" w:hAnsi="Times New Roman"/>
                <w:b w:val="0"/>
                <w:sz w:val="21"/>
              </w:rPr>
              <w:t xml:space="preserve">    Dedicated medical platforms</w:t>
            </w:r>
          </w:p>
        </w:tc>
        <w:tc>
          <w:tcPr>
            <w:tcW w:type="dxa" w:w="1134"/>
          </w:tcPr>
          <w:p>
            <w:pPr>
              <w:spacing w:line="240" w:lineRule="auto" w:after="0"/>
            </w:pPr>
            <w:r/>
            <w:r>
              <w:rPr>
                <w:rFonts w:ascii="Times New Roman" w:hAnsi="Times New Roman"/>
                <w:b w:val="0"/>
                <w:sz w:val="21"/>
              </w:rPr>
              <w:t>55</w:t>
            </w:r>
          </w:p>
        </w:tc>
        <w:tc>
          <w:tcPr>
            <w:tcW w:type="dxa" w:w="1134"/>
          </w:tcPr>
          <w:p>
            <w:pPr>
              <w:spacing w:line="240" w:lineRule="auto" w:after="0"/>
            </w:pPr>
            <w:r/>
            <w:r>
              <w:rPr>
                <w:rFonts w:ascii="Times New Roman" w:hAnsi="Times New Roman"/>
                <w:b w:val="0"/>
                <w:sz w:val="21"/>
              </w:rPr>
              <w:t>18.3</w:t>
            </w:r>
          </w:p>
        </w:tc>
      </w:tr>
      <w:tr>
        <w:trPr>
          <w:cantSplit/>
        </w:trPr>
        <w:tc>
          <w:tcPr>
            <w:tcW w:type="dxa" w:w="5953"/>
          </w:tcPr>
          <w:p>
            <w:pPr>
              <w:spacing w:line="240" w:lineRule="auto" w:after="0"/>
            </w:pPr>
            <w:r/>
            <w:r>
              <w:rPr>
                <w:rFonts w:ascii="Times New Roman" w:hAnsi="Times New Roman"/>
                <w:b w:val="0"/>
                <w:sz w:val="21"/>
              </w:rPr>
              <w:t xml:space="preserve">    Social media</w:t>
            </w:r>
          </w:p>
        </w:tc>
        <w:tc>
          <w:tcPr>
            <w:tcW w:type="dxa" w:w="1134"/>
          </w:tcPr>
          <w:p>
            <w:pPr>
              <w:spacing w:line="240" w:lineRule="auto" w:after="0"/>
            </w:pPr>
            <w:r/>
            <w:r>
              <w:rPr>
                <w:rFonts w:ascii="Times New Roman" w:hAnsi="Times New Roman"/>
                <w:b w:val="0"/>
                <w:sz w:val="21"/>
              </w:rPr>
              <w:t>32</w:t>
            </w:r>
          </w:p>
        </w:tc>
        <w:tc>
          <w:tcPr>
            <w:tcW w:type="dxa" w:w="1134"/>
          </w:tcPr>
          <w:p>
            <w:pPr>
              <w:spacing w:line="240" w:lineRule="auto" w:after="0"/>
            </w:pPr>
            <w:r/>
            <w:r>
              <w:rPr>
                <w:rFonts w:ascii="Times New Roman" w:hAnsi="Times New Roman"/>
                <w:b w:val="0"/>
                <w:sz w:val="21"/>
              </w:rPr>
              <w:t>10.7</w:t>
            </w:r>
          </w:p>
        </w:tc>
      </w:tr>
      <w:tr>
        <w:trPr>
          <w:cantSplit/>
        </w:trPr>
        <w:tc>
          <w:tcPr>
            <w:tcW w:type="dxa" w:w="5953"/>
          </w:tcPr>
          <w:p>
            <w:pPr>
              <w:spacing w:line="240" w:lineRule="auto" w:after="0"/>
            </w:pPr>
            <w:r/>
            <w:r>
              <w:rPr>
                <w:rFonts w:ascii="Times New Roman" w:hAnsi="Times New Roman"/>
                <w:b/>
                <w:sz w:val="21"/>
              </w:rPr>
              <w:t>Main AI chatbot</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ChatGPT</w:t>
            </w:r>
          </w:p>
        </w:tc>
        <w:tc>
          <w:tcPr>
            <w:tcW w:type="dxa" w:w="1134"/>
          </w:tcPr>
          <w:p>
            <w:pPr>
              <w:spacing w:line="240" w:lineRule="auto" w:after="0"/>
            </w:pPr>
            <w:r/>
            <w:r>
              <w:rPr>
                <w:rFonts w:ascii="Times New Roman" w:hAnsi="Times New Roman"/>
                <w:b w:val="0"/>
                <w:sz w:val="21"/>
              </w:rPr>
              <w:t>178</w:t>
            </w:r>
          </w:p>
        </w:tc>
        <w:tc>
          <w:tcPr>
            <w:tcW w:type="dxa" w:w="1134"/>
          </w:tcPr>
          <w:p>
            <w:pPr>
              <w:spacing w:line="240" w:lineRule="auto" w:after="0"/>
            </w:pPr>
            <w:r/>
            <w:r>
              <w:rPr>
                <w:rFonts w:ascii="Times New Roman" w:hAnsi="Times New Roman"/>
                <w:b w:val="0"/>
                <w:sz w:val="21"/>
              </w:rPr>
              <w:t>59.3</w:t>
            </w:r>
          </w:p>
        </w:tc>
      </w:tr>
      <w:tr>
        <w:trPr>
          <w:cantSplit/>
        </w:trPr>
        <w:tc>
          <w:tcPr>
            <w:tcW w:type="dxa" w:w="5953"/>
          </w:tcPr>
          <w:p>
            <w:pPr>
              <w:spacing w:line="240" w:lineRule="auto" w:after="0"/>
            </w:pPr>
            <w:r/>
            <w:r>
              <w:rPr>
                <w:rFonts w:ascii="Times New Roman" w:hAnsi="Times New Roman"/>
                <w:b w:val="0"/>
                <w:sz w:val="21"/>
              </w:rPr>
              <w:t xml:space="preserve">    Gemini</w:t>
            </w:r>
          </w:p>
        </w:tc>
        <w:tc>
          <w:tcPr>
            <w:tcW w:type="dxa" w:w="1134"/>
          </w:tcPr>
          <w:p>
            <w:pPr>
              <w:spacing w:line="240" w:lineRule="auto" w:after="0"/>
            </w:pPr>
            <w:r/>
            <w:r>
              <w:rPr>
                <w:rFonts w:ascii="Times New Roman" w:hAnsi="Times New Roman"/>
                <w:b w:val="0"/>
                <w:sz w:val="21"/>
              </w:rPr>
              <w:t>71</w:t>
            </w:r>
          </w:p>
        </w:tc>
        <w:tc>
          <w:tcPr>
            <w:tcW w:type="dxa" w:w="1134"/>
          </w:tcPr>
          <w:p>
            <w:pPr>
              <w:spacing w:line="240" w:lineRule="auto" w:after="0"/>
            </w:pPr>
            <w:r/>
            <w:r>
              <w:rPr>
                <w:rFonts w:ascii="Times New Roman" w:hAnsi="Times New Roman"/>
                <w:b w:val="0"/>
                <w:sz w:val="21"/>
              </w:rPr>
              <w:t>23.7</w:t>
            </w:r>
          </w:p>
        </w:tc>
      </w:tr>
      <w:tr>
        <w:trPr>
          <w:cantSplit/>
        </w:trPr>
        <w:tc>
          <w:tcPr>
            <w:tcW w:type="dxa" w:w="5953"/>
          </w:tcPr>
          <w:p>
            <w:pPr>
              <w:spacing w:line="240" w:lineRule="auto" w:after="0"/>
            </w:pPr>
            <w:r/>
            <w:r>
              <w:rPr>
                <w:rFonts w:ascii="Times New Roman" w:hAnsi="Times New Roman"/>
                <w:b w:val="0"/>
                <w:sz w:val="21"/>
              </w:rPr>
              <w:t xml:space="preserve">    Claude</w:t>
            </w:r>
          </w:p>
        </w:tc>
        <w:tc>
          <w:tcPr>
            <w:tcW w:type="dxa" w:w="1134"/>
          </w:tcPr>
          <w:p>
            <w:pPr>
              <w:spacing w:line="240" w:lineRule="auto" w:after="0"/>
            </w:pPr>
            <w:r/>
            <w:r>
              <w:rPr>
                <w:rFonts w:ascii="Times New Roman" w:hAnsi="Times New Roman"/>
                <w:b w:val="0"/>
                <w:sz w:val="21"/>
              </w:rPr>
              <w:t>12</w:t>
            </w:r>
          </w:p>
        </w:tc>
        <w:tc>
          <w:tcPr>
            <w:tcW w:type="dxa" w:w="1134"/>
          </w:tcPr>
          <w:p>
            <w:pPr>
              <w:spacing w:line="240" w:lineRule="auto" w:after="0"/>
            </w:pPr>
            <w:r/>
            <w:r>
              <w:rPr>
                <w:rFonts w:ascii="Times New Roman" w:hAnsi="Times New Roman"/>
                <w:b w:val="0"/>
                <w:sz w:val="21"/>
              </w:rPr>
              <w:t>4.0</w:t>
            </w:r>
          </w:p>
        </w:tc>
      </w:tr>
      <w:tr>
        <w:trPr>
          <w:cantSplit/>
        </w:trPr>
        <w:tc>
          <w:tcPr>
            <w:tcW w:type="dxa" w:w="5953"/>
          </w:tcPr>
          <w:p>
            <w:pPr>
              <w:spacing w:line="240" w:lineRule="auto" w:after="0"/>
            </w:pPr>
            <w:r/>
            <w:r>
              <w:rPr>
                <w:rFonts w:ascii="Times New Roman" w:hAnsi="Times New Roman"/>
                <w:b w:val="0"/>
                <w:sz w:val="21"/>
              </w:rPr>
              <w:t xml:space="preserve">    Other AI</w:t>
            </w:r>
          </w:p>
        </w:tc>
        <w:tc>
          <w:tcPr>
            <w:tcW w:type="dxa" w:w="1134"/>
          </w:tcPr>
          <w:p>
            <w:pPr>
              <w:spacing w:line="240" w:lineRule="auto" w:after="0"/>
            </w:pPr>
            <w:r/>
            <w:r>
              <w:rPr>
                <w:rFonts w:ascii="Times New Roman" w:hAnsi="Times New Roman"/>
                <w:b w:val="0"/>
                <w:sz w:val="21"/>
              </w:rPr>
              <w:t>3</w:t>
            </w:r>
          </w:p>
        </w:tc>
        <w:tc>
          <w:tcPr>
            <w:tcW w:type="dxa" w:w="1134"/>
          </w:tcPr>
          <w:p>
            <w:pPr>
              <w:spacing w:line="240" w:lineRule="auto" w:after="0"/>
            </w:pPr>
            <w:r/>
            <w:r>
              <w:rPr>
                <w:rFonts w:ascii="Times New Roman" w:hAnsi="Times New Roman"/>
                <w:b w:val="0"/>
                <w:sz w:val="21"/>
              </w:rPr>
              <w:t>1.0</w:t>
            </w:r>
          </w:p>
        </w:tc>
      </w:tr>
      <w:tr>
        <w:trPr>
          <w:cantSplit/>
        </w:trPr>
        <w:tc>
          <w:tcPr>
            <w:tcW w:type="dxa" w:w="5953"/>
          </w:tcPr>
          <w:p>
            <w:pPr>
              <w:spacing w:line="240" w:lineRule="auto" w:after="0"/>
            </w:pPr>
            <w:r/>
            <w:r>
              <w:rPr>
                <w:rFonts w:ascii="Times New Roman" w:hAnsi="Times New Roman"/>
                <w:b w:val="0"/>
                <w:sz w:val="21"/>
              </w:rPr>
              <w:t xml:space="preserve">    None reported</w:t>
            </w:r>
          </w:p>
        </w:tc>
        <w:tc>
          <w:tcPr>
            <w:tcW w:type="dxa" w:w="1134"/>
          </w:tcPr>
          <w:p>
            <w:pPr>
              <w:spacing w:line="240" w:lineRule="auto" w:after="0"/>
            </w:pPr>
            <w:r/>
            <w:r>
              <w:rPr>
                <w:rFonts w:ascii="Times New Roman" w:hAnsi="Times New Roman"/>
                <w:b w:val="0"/>
                <w:sz w:val="21"/>
              </w:rPr>
              <w:t>36</w:t>
            </w:r>
          </w:p>
        </w:tc>
        <w:tc>
          <w:tcPr>
            <w:tcW w:type="dxa" w:w="1134"/>
          </w:tcPr>
          <w:p>
            <w:pPr>
              <w:spacing w:line="240" w:lineRule="auto" w:after="0"/>
            </w:pPr>
            <w:r/>
            <w:r>
              <w:rPr>
                <w:rFonts w:ascii="Times New Roman" w:hAnsi="Times New Roman"/>
                <w:b w:val="0"/>
                <w:sz w:val="21"/>
              </w:rPr>
              <w:t>12.0</w:t>
            </w:r>
          </w:p>
        </w:tc>
      </w:tr>
      <w:tr>
        <w:trPr>
          <w:cantSplit/>
        </w:trPr>
        <w:tc>
          <w:tcPr>
            <w:tcW w:type="dxa" w:w="5953"/>
          </w:tcPr>
          <w:p>
            <w:pPr>
              <w:spacing w:line="240" w:lineRule="auto" w:after="0"/>
            </w:pPr>
            <w:r/>
            <w:r>
              <w:rPr>
                <w:rFonts w:ascii="Times New Roman" w:hAnsi="Times New Roman"/>
                <w:b/>
                <w:sz w:val="21"/>
              </w:rPr>
              <w:t>Tool profile</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AI + search engine</w:t>
            </w:r>
          </w:p>
        </w:tc>
        <w:tc>
          <w:tcPr>
            <w:tcW w:type="dxa" w:w="1134"/>
          </w:tcPr>
          <w:p>
            <w:pPr>
              <w:spacing w:line="240" w:lineRule="auto" w:after="0"/>
            </w:pPr>
            <w:r/>
            <w:r>
              <w:rPr>
                <w:rFonts w:ascii="Times New Roman" w:hAnsi="Times New Roman"/>
                <w:b w:val="0"/>
                <w:sz w:val="21"/>
              </w:rPr>
              <w:t>143</w:t>
            </w:r>
          </w:p>
        </w:tc>
        <w:tc>
          <w:tcPr>
            <w:tcW w:type="dxa" w:w="1134"/>
          </w:tcPr>
          <w:p>
            <w:pPr>
              <w:spacing w:line="240" w:lineRule="auto" w:after="0"/>
            </w:pPr>
            <w:r/>
            <w:r>
              <w:rPr>
                <w:rFonts w:ascii="Times New Roman" w:hAnsi="Times New Roman"/>
                <w:b w:val="0"/>
                <w:sz w:val="21"/>
              </w:rPr>
              <w:t>47.7</w:t>
            </w:r>
          </w:p>
        </w:tc>
      </w:tr>
      <w:tr>
        <w:trPr>
          <w:cantSplit/>
        </w:trPr>
        <w:tc>
          <w:tcPr>
            <w:tcW w:type="dxa" w:w="5953"/>
          </w:tcPr>
          <w:p>
            <w:pPr>
              <w:spacing w:line="240" w:lineRule="auto" w:after="0"/>
            </w:pPr>
            <w:r/>
            <w:r>
              <w:rPr>
                <w:rFonts w:ascii="Times New Roman" w:hAnsi="Times New Roman"/>
                <w:b w:val="0"/>
                <w:sz w:val="21"/>
              </w:rPr>
              <w:t xml:space="preserve">    AI without search engine</w:t>
            </w:r>
          </w:p>
        </w:tc>
        <w:tc>
          <w:tcPr>
            <w:tcW w:type="dxa" w:w="1134"/>
          </w:tcPr>
          <w:p>
            <w:pPr>
              <w:spacing w:line="240" w:lineRule="auto" w:after="0"/>
            </w:pPr>
            <w:r/>
            <w:r>
              <w:rPr>
                <w:rFonts w:ascii="Times New Roman" w:hAnsi="Times New Roman"/>
                <w:b w:val="0"/>
                <w:sz w:val="21"/>
              </w:rPr>
              <w:t>123</w:t>
            </w:r>
          </w:p>
        </w:tc>
        <w:tc>
          <w:tcPr>
            <w:tcW w:type="dxa" w:w="1134"/>
          </w:tcPr>
          <w:p>
            <w:pPr>
              <w:spacing w:line="240" w:lineRule="auto" w:after="0"/>
            </w:pPr>
            <w:r/>
            <w:r>
              <w:rPr>
                <w:rFonts w:ascii="Times New Roman" w:hAnsi="Times New Roman"/>
                <w:b w:val="0"/>
                <w:sz w:val="21"/>
              </w:rPr>
              <w:t>41.0</w:t>
            </w:r>
          </w:p>
        </w:tc>
      </w:tr>
      <w:tr>
        <w:trPr>
          <w:cantSplit/>
        </w:trPr>
        <w:tc>
          <w:tcPr>
            <w:tcW w:type="dxa" w:w="5953"/>
          </w:tcPr>
          <w:p>
            <w:pPr>
              <w:spacing w:line="240" w:lineRule="auto" w:after="0"/>
            </w:pPr>
            <w:r/>
            <w:r>
              <w:rPr>
                <w:rFonts w:ascii="Times New Roman" w:hAnsi="Times New Roman"/>
                <w:b w:val="0"/>
                <w:sz w:val="21"/>
              </w:rPr>
              <w:t xml:space="preserve">    No AI (search/other only)</w:t>
            </w:r>
          </w:p>
        </w:tc>
        <w:tc>
          <w:tcPr>
            <w:tcW w:type="dxa" w:w="1134"/>
          </w:tcPr>
          <w:p>
            <w:pPr>
              <w:spacing w:line="240" w:lineRule="auto" w:after="0"/>
            </w:pPr>
            <w:r/>
            <w:r>
              <w:rPr>
                <w:rFonts w:ascii="Times New Roman" w:hAnsi="Times New Roman"/>
                <w:b w:val="0"/>
                <w:sz w:val="21"/>
              </w:rPr>
              <w:t>34</w:t>
            </w:r>
          </w:p>
        </w:tc>
        <w:tc>
          <w:tcPr>
            <w:tcW w:type="dxa" w:w="1134"/>
          </w:tcPr>
          <w:p>
            <w:pPr>
              <w:spacing w:line="240" w:lineRule="auto" w:after="0"/>
            </w:pPr>
            <w:r/>
            <w:r>
              <w:rPr>
                <w:rFonts w:ascii="Times New Roman" w:hAnsi="Times New Roman"/>
                <w:b w:val="0"/>
                <w:sz w:val="21"/>
              </w:rPr>
              <w:t>11.3</w:t>
            </w:r>
          </w:p>
        </w:tc>
      </w:tr>
      <w:tr>
        <w:trPr>
          <w:cantSplit/>
        </w:trPr>
        <w:tc>
          <w:tcPr>
            <w:tcW w:type="dxa" w:w="5953"/>
          </w:tcPr>
          <w:p>
            <w:pPr>
              <w:spacing w:line="240" w:lineRule="auto" w:after="0"/>
            </w:pPr>
            <w:r/>
            <w:r>
              <w:rPr>
                <w:rFonts w:ascii="Times New Roman" w:hAnsi="Times New Roman"/>
                <w:b/>
                <w:sz w:val="21"/>
              </w:rPr>
              <w:t>Motivation (multiple)</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Convenience/accessibility</w:t>
            </w:r>
          </w:p>
        </w:tc>
        <w:tc>
          <w:tcPr>
            <w:tcW w:type="dxa" w:w="1134"/>
          </w:tcPr>
          <w:p>
            <w:pPr>
              <w:spacing w:line="240" w:lineRule="auto" w:after="0"/>
            </w:pPr>
            <w:r/>
            <w:r>
              <w:rPr>
                <w:rFonts w:ascii="Times New Roman" w:hAnsi="Times New Roman"/>
                <w:b w:val="0"/>
                <w:sz w:val="21"/>
              </w:rPr>
              <w:t>240</w:t>
            </w:r>
          </w:p>
        </w:tc>
        <w:tc>
          <w:tcPr>
            <w:tcW w:type="dxa" w:w="1134"/>
          </w:tcPr>
          <w:p>
            <w:pPr>
              <w:spacing w:line="240" w:lineRule="auto" w:after="0"/>
            </w:pPr>
            <w:r/>
            <w:r>
              <w:rPr>
                <w:rFonts w:ascii="Times New Roman" w:hAnsi="Times New Roman"/>
                <w:b w:val="0"/>
                <w:sz w:val="21"/>
              </w:rPr>
              <w:t>80.0</w:t>
            </w:r>
          </w:p>
        </w:tc>
      </w:tr>
      <w:tr>
        <w:trPr>
          <w:cantSplit/>
        </w:trPr>
        <w:tc>
          <w:tcPr>
            <w:tcW w:type="dxa" w:w="5953"/>
          </w:tcPr>
          <w:p>
            <w:pPr>
              <w:spacing w:line="240" w:lineRule="auto" w:after="0"/>
            </w:pPr>
            <w:r/>
            <w:r>
              <w:rPr>
                <w:rFonts w:ascii="Times New Roman" w:hAnsi="Times New Roman"/>
                <w:b w:val="0"/>
                <w:sz w:val="21"/>
              </w:rPr>
              <w:t xml:space="preserve">    Check if doctor visit is needed</w:t>
            </w:r>
          </w:p>
        </w:tc>
        <w:tc>
          <w:tcPr>
            <w:tcW w:type="dxa" w:w="1134"/>
          </w:tcPr>
          <w:p>
            <w:pPr>
              <w:spacing w:line="240" w:lineRule="auto" w:after="0"/>
            </w:pPr>
            <w:r/>
            <w:r>
              <w:rPr>
                <w:rFonts w:ascii="Times New Roman" w:hAnsi="Times New Roman"/>
                <w:b w:val="0"/>
                <w:sz w:val="21"/>
              </w:rPr>
              <w:t>173</w:t>
            </w:r>
          </w:p>
        </w:tc>
        <w:tc>
          <w:tcPr>
            <w:tcW w:type="dxa" w:w="1134"/>
          </w:tcPr>
          <w:p>
            <w:pPr>
              <w:spacing w:line="240" w:lineRule="auto" w:after="0"/>
            </w:pPr>
            <w:r/>
            <w:r>
              <w:rPr>
                <w:rFonts w:ascii="Times New Roman" w:hAnsi="Times New Roman"/>
                <w:b w:val="0"/>
                <w:sz w:val="21"/>
              </w:rPr>
              <w:t>57.7</w:t>
            </w:r>
          </w:p>
        </w:tc>
      </w:tr>
      <w:tr>
        <w:trPr>
          <w:cantSplit/>
        </w:trPr>
        <w:tc>
          <w:tcPr>
            <w:tcW w:type="dxa" w:w="5953"/>
          </w:tcPr>
          <w:p>
            <w:pPr>
              <w:spacing w:line="240" w:lineRule="auto" w:after="0"/>
            </w:pPr>
            <w:r/>
            <w:r>
              <w:rPr>
                <w:rFonts w:ascii="Times New Roman" w:hAnsi="Times New Roman"/>
                <w:b w:val="0"/>
                <w:sz w:val="21"/>
              </w:rPr>
              <w:t xml:space="preserve">    Instant reassurance</w:t>
            </w:r>
          </w:p>
        </w:tc>
        <w:tc>
          <w:tcPr>
            <w:tcW w:type="dxa" w:w="1134"/>
          </w:tcPr>
          <w:p>
            <w:pPr>
              <w:spacing w:line="240" w:lineRule="auto" w:after="0"/>
            </w:pPr>
            <w:r/>
            <w:r>
              <w:rPr>
                <w:rFonts w:ascii="Times New Roman" w:hAnsi="Times New Roman"/>
                <w:b w:val="0"/>
                <w:sz w:val="21"/>
              </w:rPr>
              <w:t>153</w:t>
            </w:r>
          </w:p>
        </w:tc>
        <w:tc>
          <w:tcPr>
            <w:tcW w:type="dxa" w:w="1134"/>
          </w:tcPr>
          <w:p>
            <w:pPr>
              <w:spacing w:line="240" w:lineRule="auto" w:after="0"/>
            </w:pPr>
            <w:r/>
            <w:r>
              <w:rPr>
                <w:rFonts w:ascii="Times New Roman" w:hAnsi="Times New Roman"/>
                <w:b w:val="0"/>
                <w:sz w:val="21"/>
              </w:rPr>
              <w:t>51.0</w:t>
            </w:r>
          </w:p>
        </w:tc>
      </w:tr>
      <w:tr>
        <w:trPr>
          <w:cantSplit/>
        </w:trPr>
        <w:tc>
          <w:tcPr>
            <w:tcW w:type="dxa" w:w="5953"/>
          </w:tcPr>
          <w:p>
            <w:pPr>
              <w:spacing w:line="240" w:lineRule="auto" w:after="0"/>
            </w:pPr>
            <w:r/>
            <w:r>
              <w:rPr>
                <w:rFonts w:ascii="Times New Roman" w:hAnsi="Times New Roman"/>
                <w:b w:val="0"/>
                <w:sz w:val="21"/>
              </w:rPr>
              <w:t xml:space="preserve">    Self-diagnose / double-check prescription</w:t>
            </w:r>
          </w:p>
        </w:tc>
        <w:tc>
          <w:tcPr>
            <w:tcW w:type="dxa" w:w="1134"/>
          </w:tcPr>
          <w:p>
            <w:pPr>
              <w:spacing w:line="240" w:lineRule="auto" w:after="0"/>
            </w:pPr>
            <w:r/>
            <w:r>
              <w:rPr>
                <w:rFonts w:ascii="Times New Roman" w:hAnsi="Times New Roman"/>
                <w:b w:val="0"/>
                <w:sz w:val="21"/>
              </w:rPr>
              <w:t>69</w:t>
            </w:r>
          </w:p>
        </w:tc>
        <w:tc>
          <w:tcPr>
            <w:tcW w:type="dxa" w:w="1134"/>
          </w:tcPr>
          <w:p>
            <w:pPr>
              <w:spacing w:line="240" w:lineRule="auto" w:after="0"/>
            </w:pPr>
            <w:r/>
            <w:r>
              <w:rPr>
                <w:rFonts w:ascii="Times New Roman" w:hAnsi="Times New Roman"/>
                <w:b w:val="0"/>
                <w:sz w:val="21"/>
              </w:rPr>
              <w:t>23.0</w:t>
            </w:r>
          </w:p>
        </w:tc>
      </w:tr>
      <w:tr>
        <w:trPr>
          <w:cantSplit/>
        </w:trPr>
        <w:tc>
          <w:tcPr>
            <w:tcW w:type="dxa" w:w="5953"/>
          </w:tcPr>
          <w:p>
            <w:pPr>
              <w:spacing w:line="240" w:lineRule="auto" w:after="0"/>
            </w:pPr>
            <w:r/>
            <w:r>
              <w:rPr>
                <w:rFonts w:ascii="Times New Roman" w:hAnsi="Times New Roman"/>
                <w:b w:val="0"/>
                <w:sz w:val="21"/>
              </w:rPr>
              <w:t xml:space="preserve">    Cost/logistic barriers</w:t>
            </w:r>
          </w:p>
        </w:tc>
        <w:tc>
          <w:tcPr>
            <w:tcW w:type="dxa" w:w="1134"/>
          </w:tcPr>
          <w:p>
            <w:pPr>
              <w:spacing w:line="240" w:lineRule="auto" w:after="0"/>
            </w:pPr>
            <w:r/>
            <w:r>
              <w:rPr>
                <w:rFonts w:ascii="Times New Roman" w:hAnsi="Times New Roman"/>
                <w:b w:val="0"/>
                <w:sz w:val="21"/>
              </w:rPr>
              <w:t>54</w:t>
            </w:r>
          </w:p>
        </w:tc>
        <w:tc>
          <w:tcPr>
            <w:tcW w:type="dxa" w:w="1134"/>
          </w:tcPr>
          <w:p>
            <w:pPr>
              <w:spacing w:line="240" w:lineRule="auto" w:after="0"/>
            </w:pPr>
            <w:r/>
            <w:r>
              <w:rPr>
                <w:rFonts w:ascii="Times New Roman" w:hAnsi="Times New Roman"/>
                <w:b w:val="0"/>
                <w:sz w:val="21"/>
              </w:rPr>
              <w:t>18.0</w:t>
            </w:r>
          </w:p>
        </w:tc>
      </w:tr>
      <w:tr>
        <w:trPr>
          <w:cantSplit/>
        </w:trPr>
        <w:tc>
          <w:tcPr>
            <w:tcW w:type="dxa" w:w="5953"/>
          </w:tcPr>
          <w:p>
            <w:pPr>
              <w:spacing w:line="240" w:lineRule="auto" w:after="0"/>
            </w:pPr>
            <w:r/>
            <w:r>
              <w:rPr>
                <w:rFonts w:ascii="Times New Roman" w:hAnsi="Times New Roman"/>
                <w:b/>
                <w:sz w:val="21"/>
              </w:rPr>
              <w:t>Trust in online/AI medical data (1-5)</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1 – Do not trust at all</w:t>
            </w:r>
          </w:p>
        </w:tc>
        <w:tc>
          <w:tcPr>
            <w:tcW w:type="dxa" w:w="1134"/>
          </w:tcPr>
          <w:p>
            <w:pPr>
              <w:spacing w:line="240" w:lineRule="auto" w:after="0"/>
            </w:pPr>
            <w:r/>
            <w:r>
              <w:rPr>
                <w:rFonts w:ascii="Times New Roman" w:hAnsi="Times New Roman"/>
                <w:b w:val="0"/>
                <w:sz w:val="21"/>
              </w:rPr>
              <w:t>20</w:t>
            </w:r>
          </w:p>
        </w:tc>
        <w:tc>
          <w:tcPr>
            <w:tcW w:type="dxa" w:w="1134"/>
          </w:tcPr>
          <w:p>
            <w:pPr>
              <w:spacing w:line="240" w:lineRule="auto" w:after="0"/>
            </w:pPr>
            <w:r/>
            <w:r>
              <w:rPr>
                <w:rFonts w:ascii="Times New Roman" w:hAnsi="Times New Roman"/>
                <w:b w:val="0"/>
                <w:sz w:val="21"/>
              </w:rPr>
              <w:t>6.7</w:t>
            </w:r>
          </w:p>
        </w:tc>
      </w:tr>
      <w:tr>
        <w:trPr>
          <w:cantSplit/>
        </w:trPr>
        <w:tc>
          <w:tcPr>
            <w:tcW w:type="dxa" w:w="5953"/>
          </w:tcPr>
          <w:p>
            <w:pPr>
              <w:spacing w:line="240" w:lineRule="auto" w:after="0"/>
            </w:pPr>
            <w:r/>
            <w:r>
              <w:rPr>
                <w:rFonts w:ascii="Times New Roman" w:hAnsi="Times New Roman"/>
                <w:b w:val="0"/>
                <w:sz w:val="21"/>
              </w:rPr>
              <w:t xml:space="preserve">    2 – Slightly</w:t>
            </w:r>
          </w:p>
        </w:tc>
        <w:tc>
          <w:tcPr>
            <w:tcW w:type="dxa" w:w="1134"/>
          </w:tcPr>
          <w:p>
            <w:pPr>
              <w:spacing w:line="240" w:lineRule="auto" w:after="0"/>
            </w:pPr>
            <w:r/>
            <w:r>
              <w:rPr>
                <w:rFonts w:ascii="Times New Roman" w:hAnsi="Times New Roman"/>
                <w:b w:val="0"/>
                <w:sz w:val="21"/>
              </w:rPr>
              <w:t>83</w:t>
            </w:r>
          </w:p>
        </w:tc>
        <w:tc>
          <w:tcPr>
            <w:tcW w:type="dxa" w:w="1134"/>
          </w:tcPr>
          <w:p>
            <w:pPr>
              <w:spacing w:line="240" w:lineRule="auto" w:after="0"/>
            </w:pPr>
            <w:r/>
            <w:r>
              <w:rPr>
                <w:rFonts w:ascii="Times New Roman" w:hAnsi="Times New Roman"/>
                <w:b w:val="0"/>
                <w:sz w:val="21"/>
              </w:rPr>
              <w:t>27.7</w:t>
            </w:r>
          </w:p>
        </w:tc>
      </w:tr>
      <w:tr>
        <w:trPr>
          <w:cantSplit/>
        </w:trPr>
        <w:tc>
          <w:tcPr>
            <w:tcW w:type="dxa" w:w="5953"/>
          </w:tcPr>
          <w:p>
            <w:pPr>
              <w:spacing w:line="240" w:lineRule="auto" w:after="0"/>
            </w:pPr>
            <w:r/>
            <w:r>
              <w:rPr>
                <w:rFonts w:ascii="Times New Roman" w:hAnsi="Times New Roman"/>
                <w:b w:val="0"/>
                <w:sz w:val="21"/>
              </w:rPr>
              <w:t xml:space="preserve">    3 – Moderately</w:t>
            </w:r>
          </w:p>
        </w:tc>
        <w:tc>
          <w:tcPr>
            <w:tcW w:type="dxa" w:w="1134"/>
          </w:tcPr>
          <w:p>
            <w:pPr>
              <w:spacing w:line="240" w:lineRule="auto" w:after="0"/>
            </w:pPr>
            <w:r/>
            <w:r>
              <w:rPr>
                <w:rFonts w:ascii="Times New Roman" w:hAnsi="Times New Roman"/>
                <w:b w:val="0"/>
                <w:sz w:val="21"/>
              </w:rPr>
              <w:t>170</w:t>
            </w:r>
          </w:p>
        </w:tc>
        <w:tc>
          <w:tcPr>
            <w:tcW w:type="dxa" w:w="1134"/>
          </w:tcPr>
          <w:p>
            <w:pPr>
              <w:spacing w:line="240" w:lineRule="auto" w:after="0"/>
            </w:pPr>
            <w:r/>
            <w:r>
              <w:rPr>
                <w:rFonts w:ascii="Times New Roman" w:hAnsi="Times New Roman"/>
                <w:b w:val="0"/>
                <w:sz w:val="21"/>
              </w:rPr>
              <w:t>56.7</w:t>
            </w:r>
          </w:p>
        </w:tc>
      </w:tr>
      <w:tr>
        <w:trPr>
          <w:cantSplit/>
        </w:trPr>
        <w:tc>
          <w:tcPr>
            <w:tcW w:type="dxa" w:w="5953"/>
          </w:tcPr>
          <w:p>
            <w:pPr>
              <w:spacing w:line="240" w:lineRule="auto" w:after="0"/>
            </w:pPr>
            <w:r/>
            <w:r>
              <w:rPr>
                <w:rFonts w:ascii="Times New Roman" w:hAnsi="Times New Roman"/>
                <w:b w:val="0"/>
                <w:sz w:val="21"/>
              </w:rPr>
              <w:t xml:space="preserve">    4 – Very much</w:t>
            </w:r>
          </w:p>
        </w:tc>
        <w:tc>
          <w:tcPr>
            <w:tcW w:type="dxa" w:w="1134"/>
          </w:tcPr>
          <w:p>
            <w:pPr>
              <w:spacing w:line="240" w:lineRule="auto" w:after="0"/>
            </w:pPr>
            <w:r/>
            <w:r>
              <w:rPr>
                <w:rFonts w:ascii="Times New Roman" w:hAnsi="Times New Roman"/>
                <w:b w:val="0"/>
                <w:sz w:val="21"/>
              </w:rPr>
              <w:t>25</w:t>
            </w:r>
          </w:p>
        </w:tc>
        <w:tc>
          <w:tcPr>
            <w:tcW w:type="dxa" w:w="1134"/>
          </w:tcPr>
          <w:p>
            <w:pPr>
              <w:spacing w:line="240" w:lineRule="auto" w:after="0"/>
            </w:pPr>
            <w:r/>
            <w:r>
              <w:rPr>
                <w:rFonts w:ascii="Times New Roman" w:hAnsi="Times New Roman"/>
                <w:b w:val="0"/>
                <w:sz w:val="21"/>
              </w:rPr>
              <w:t>8.3</w:t>
            </w:r>
          </w:p>
        </w:tc>
      </w:tr>
      <w:tr>
        <w:trPr>
          <w:cantSplit/>
        </w:trPr>
        <w:tc>
          <w:tcPr>
            <w:tcW w:type="dxa" w:w="5953"/>
          </w:tcPr>
          <w:p>
            <w:pPr>
              <w:spacing w:line="240" w:lineRule="auto" w:after="0"/>
            </w:pPr>
            <w:r/>
            <w:r>
              <w:rPr>
                <w:rFonts w:ascii="Times New Roman" w:hAnsi="Times New Roman"/>
                <w:b w:val="0"/>
                <w:sz w:val="21"/>
              </w:rPr>
              <w:t xml:space="preserve">    5 – Completely</w:t>
            </w:r>
          </w:p>
        </w:tc>
        <w:tc>
          <w:tcPr>
            <w:tcW w:type="dxa" w:w="1134"/>
          </w:tcPr>
          <w:p>
            <w:pPr>
              <w:spacing w:line="240" w:lineRule="auto" w:after="0"/>
            </w:pPr>
            <w:r/>
            <w:r>
              <w:rPr>
                <w:rFonts w:ascii="Times New Roman" w:hAnsi="Times New Roman"/>
                <w:b w:val="0"/>
                <w:sz w:val="21"/>
              </w:rPr>
              <w:t>2</w:t>
            </w:r>
          </w:p>
        </w:tc>
        <w:tc>
          <w:tcPr>
            <w:tcW w:type="dxa" w:w="1134"/>
          </w:tcPr>
          <w:p>
            <w:pPr>
              <w:spacing w:line="240" w:lineRule="auto" w:after="0"/>
            </w:pPr>
            <w:r/>
            <w:r>
              <w:rPr>
                <w:rFonts w:ascii="Times New Roman" w:hAnsi="Times New Roman"/>
                <w:b w:val="0"/>
                <w:sz w:val="21"/>
              </w:rPr>
              <w:t>0.7</w:t>
            </w:r>
          </w:p>
        </w:tc>
      </w:tr>
      <w:tr>
        <w:trPr>
          <w:cantSplit/>
        </w:trPr>
        <w:tc>
          <w:tcPr>
            <w:tcW w:type="dxa" w:w="5953"/>
          </w:tcPr>
          <w:p>
            <w:pPr>
              <w:spacing w:line="240" w:lineRule="auto" w:after="0"/>
            </w:pPr>
            <w:r/>
            <w:r>
              <w:rPr>
                <w:rFonts w:ascii="Times New Roman" w:hAnsi="Times New Roman"/>
                <w:b/>
                <w:sz w:val="21"/>
              </w:rPr>
              <w:t>Behaviour after searching (multiple)</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Delay/skip care (reassured)</w:t>
            </w:r>
          </w:p>
        </w:tc>
        <w:tc>
          <w:tcPr>
            <w:tcW w:type="dxa" w:w="1134"/>
          </w:tcPr>
          <w:p>
            <w:pPr>
              <w:spacing w:line="240" w:lineRule="auto" w:after="0"/>
            </w:pPr>
            <w:r/>
            <w:r>
              <w:rPr>
                <w:rFonts w:ascii="Times New Roman" w:hAnsi="Times New Roman"/>
                <w:b w:val="0"/>
                <w:sz w:val="21"/>
              </w:rPr>
              <w:t>104</w:t>
            </w:r>
          </w:p>
        </w:tc>
        <w:tc>
          <w:tcPr>
            <w:tcW w:type="dxa" w:w="1134"/>
          </w:tcPr>
          <w:p>
            <w:pPr>
              <w:spacing w:line="240" w:lineRule="auto" w:after="0"/>
            </w:pPr>
            <w:r/>
            <w:r>
              <w:rPr>
                <w:rFonts w:ascii="Times New Roman" w:hAnsi="Times New Roman"/>
                <w:b w:val="0"/>
                <w:sz w:val="21"/>
              </w:rPr>
              <w:t>34.7</w:t>
            </w:r>
          </w:p>
        </w:tc>
      </w:tr>
      <w:tr>
        <w:trPr>
          <w:cantSplit/>
        </w:trPr>
        <w:tc>
          <w:tcPr>
            <w:tcW w:type="dxa" w:w="5953"/>
          </w:tcPr>
          <w:p>
            <w:pPr>
              <w:spacing w:line="240" w:lineRule="auto" w:after="0"/>
            </w:pPr>
            <w:r/>
            <w:r>
              <w:rPr>
                <w:rFonts w:ascii="Times New Roman" w:hAnsi="Times New Roman"/>
                <w:b w:val="0"/>
                <w:sz w:val="21"/>
              </w:rPr>
              <w:t xml:space="preserve">    Ignore symptom</w:t>
            </w:r>
          </w:p>
        </w:tc>
        <w:tc>
          <w:tcPr>
            <w:tcW w:type="dxa" w:w="1134"/>
          </w:tcPr>
          <w:p>
            <w:pPr>
              <w:spacing w:line="240" w:lineRule="auto" w:after="0"/>
            </w:pPr>
            <w:r/>
            <w:r>
              <w:rPr>
                <w:rFonts w:ascii="Times New Roman" w:hAnsi="Times New Roman"/>
                <w:b w:val="0"/>
                <w:sz w:val="21"/>
              </w:rPr>
              <w:t>90</w:t>
            </w:r>
          </w:p>
        </w:tc>
        <w:tc>
          <w:tcPr>
            <w:tcW w:type="dxa" w:w="1134"/>
          </w:tcPr>
          <w:p>
            <w:pPr>
              <w:spacing w:line="240" w:lineRule="auto" w:after="0"/>
            </w:pPr>
            <w:r/>
            <w:r>
              <w:rPr>
                <w:rFonts w:ascii="Times New Roman" w:hAnsi="Times New Roman"/>
                <w:b w:val="0"/>
                <w:sz w:val="21"/>
              </w:rPr>
              <w:t>30.0</w:t>
            </w:r>
          </w:p>
        </w:tc>
      </w:tr>
      <w:tr>
        <w:trPr>
          <w:cantSplit/>
        </w:trPr>
        <w:tc>
          <w:tcPr>
            <w:tcW w:type="dxa" w:w="5953"/>
          </w:tcPr>
          <w:p>
            <w:pPr>
              <w:spacing w:line="240" w:lineRule="auto" w:after="0"/>
            </w:pPr>
            <w:r/>
            <w:r>
              <w:rPr>
                <w:rFonts w:ascii="Times New Roman" w:hAnsi="Times New Roman"/>
                <w:b w:val="0"/>
                <w:sz w:val="21"/>
              </w:rPr>
              <w:t xml:space="preserve">    Visit multiple doctors</w:t>
            </w:r>
          </w:p>
        </w:tc>
        <w:tc>
          <w:tcPr>
            <w:tcW w:type="dxa" w:w="1134"/>
          </w:tcPr>
          <w:p>
            <w:pPr>
              <w:spacing w:line="240" w:lineRule="auto" w:after="0"/>
            </w:pPr>
            <w:r/>
            <w:r>
              <w:rPr>
                <w:rFonts w:ascii="Times New Roman" w:hAnsi="Times New Roman"/>
                <w:b w:val="0"/>
                <w:sz w:val="21"/>
              </w:rPr>
              <w:t>76</w:t>
            </w:r>
          </w:p>
        </w:tc>
        <w:tc>
          <w:tcPr>
            <w:tcW w:type="dxa" w:w="1134"/>
          </w:tcPr>
          <w:p>
            <w:pPr>
              <w:spacing w:line="240" w:lineRule="auto" w:after="0"/>
            </w:pPr>
            <w:r/>
            <w:r>
              <w:rPr>
                <w:rFonts w:ascii="Times New Roman" w:hAnsi="Times New Roman"/>
                <w:b w:val="0"/>
                <w:sz w:val="21"/>
              </w:rPr>
              <w:t>25.3</w:t>
            </w:r>
          </w:p>
        </w:tc>
      </w:tr>
      <w:tr>
        <w:trPr>
          <w:cantSplit/>
        </w:trPr>
        <w:tc>
          <w:tcPr>
            <w:tcW w:type="dxa" w:w="5953"/>
          </w:tcPr>
          <w:p>
            <w:pPr>
              <w:spacing w:line="240" w:lineRule="auto" w:after="0"/>
            </w:pPr>
            <w:r/>
            <w:r>
              <w:rPr>
                <w:rFonts w:ascii="Times New Roman" w:hAnsi="Times New Roman"/>
                <w:b w:val="0"/>
                <w:sz w:val="21"/>
              </w:rPr>
              <w:t xml:space="preserve">    Urgent visit/ER/fast diagnosis</w:t>
            </w:r>
          </w:p>
        </w:tc>
        <w:tc>
          <w:tcPr>
            <w:tcW w:type="dxa" w:w="1134"/>
          </w:tcPr>
          <w:p>
            <w:pPr>
              <w:spacing w:line="240" w:lineRule="auto" w:after="0"/>
            </w:pPr>
            <w:r/>
            <w:r>
              <w:rPr>
                <w:rFonts w:ascii="Times New Roman" w:hAnsi="Times New Roman"/>
                <w:b w:val="0"/>
                <w:sz w:val="21"/>
              </w:rPr>
              <w:t>66</w:t>
            </w:r>
          </w:p>
        </w:tc>
        <w:tc>
          <w:tcPr>
            <w:tcW w:type="dxa" w:w="1134"/>
          </w:tcPr>
          <w:p>
            <w:pPr>
              <w:spacing w:line="240" w:lineRule="auto" w:after="0"/>
            </w:pPr>
            <w:r/>
            <w:r>
              <w:rPr>
                <w:rFonts w:ascii="Times New Roman" w:hAnsi="Times New Roman"/>
                <w:b w:val="0"/>
                <w:sz w:val="21"/>
              </w:rPr>
              <w:t>22.0</w:t>
            </w:r>
          </w:p>
        </w:tc>
      </w:tr>
      <w:tr>
        <w:trPr>
          <w:cantSplit/>
        </w:trPr>
        <w:tc>
          <w:tcPr>
            <w:tcW w:type="dxa" w:w="5953"/>
          </w:tcPr>
          <w:p>
            <w:pPr>
              <w:spacing w:line="240" w:lineRule="auto" w:after="0"/>
            </w:pPr>
            <w:r/>
            <w:r>
              <w:rPr>
                <w:rFonts w:ascii="Times New Roman" w:hAnsi="Times New Roman"/>
                <w:b w:val="0"/>
                <w:sz w:val="21"/>
              </w:rPr>
              <w:t xml:space="preserve">    Self-medication</w:t>
            </w:r>
          </w:p>
        </w:tc>
        <w:tc>
          <w:tcPr>
            <w:tcW w:type="dxa" w:w="1134"/>
          </w:tcPr>
          <w:p>
            <w:pPr>
              <w:spacing w:line="240" w:lineRule="auto" w:after="0"/>
            </w:pPr>
            <w:r/>
            <w:r>
              <w:rPr>
                <w:rFonts w:ascii="Times New Roman" w:hAnsi="Times New Roman"/>
                <w:b w:val="0"/>
                <w:sz w:val="21"/>
              </w:rPr>
              <w:t>64</w:t>
            </w:r>
          </w:p>
        </w:tc>
        <w:tc>
          <w:tcPr>
            <w:tcW w:type="dxa" w:w="1134"/>
          </w:tcPr>
          <w:p>
            <w:pPr>
              <w:spacing w:line="240" w:lineRule="auto" w:after="0"/>
            </w:pPr>
            <w:r/>
            <w:r>
              <w:rPr>
                <w:rFonts w:ascii="Times New Roman" w:hAnsi="Times New Roman"/>
                <w:b w:val="0"/>
                <w:sz w:val="21"/>
              </w:rPr>
              <w:t>21.3</w:t>
            </w:r>
          </w:p>
        </w:tc>
      </w:tr>
      <w:tr>
        <w:trPr>
          <w:cantSplit/>
        </w:trPr>
        <w:tc>
          <w:tcPr>
            <w:tcW w:type="dxa" w:w="5953"/>
          </w:tcPr>
          <w:p>
            <w:pPr>
              <w:spacing w:line="240" w:lineRule="auto" w:after="0"/>
            </w:pPr>
            <w:r/>
            <w:r>
              <w:rPr>
                <w:rFonts w:ascii="Times New Roman" w:hAnsi="Times New Roman"/>
                <w:b w:val="0"/>
                <w:sz w:val="21"/>
              </w:rPr>
              <w:t xml:space="preserve">    Delay care (terrified/overwhelmed)</w:t>
            </w:r>
          </w:p>
        </w:tc>
        <w:tc>
          <w:tcPr>
            <w:tcW w:type="dxa" w:w="1134"/>
          </w:tcPr>
          <w:p>
            <w:pPr>
              <w:spacing w:line="240" w:lineRule="auto" w:after="0"/>
            </w:pPr>
            <w:r/>
            <w:r>
              <w:rPr>
                <w:rFonts w:ascii="Times New Roman" w:hAnsi="Times New Roman"/>
                <w:b w:val="0"/>
                <w:sz w:val="21"/>
              </w:rPr>
              <w:t>26</w:t>
            </w:r>
          </w:p>
        </w:tc>
        <w:tc>
          <w:tcPr>
            <w:tcW w:type="dxa" w:w="1134"/>
          </w:tcPr>
          <w:p>
            <w:pPr>
              <w:spacing w:line="240" w:lineRule="auto" w:after="0"/>
            </w:pPr>
            <w:r/>
            <w:r>
              <w:rPr>
                <w:rFonts w:ascii="Times New Roman" w:hAnsi="Times New Roman"/>
                <w:b w:val="0"/>
                <w:sz w:val="21"/>
              </w:rPr>
              <w:t>8.7</w:t>
            </w:r>
          </w:p>
        </w:tc>
      </w:tr>
      <w:tr>
        <w:trPr>
          <w:cantSplit/>
        </w:trPr>
        <w:tc>
          <w:tcPr>
            <w:tcW w:type="dxa" w:w="5953"/>
          </w:tcPr>
          <w:p>
            <w:pPr>
              <w:spacing w:line="240" w:lineRule="auto" w:after="0"/>
            </w:pPr>
            <w:r/>
            <w:r>
              <w:rPr>
                <w:rFonts w:ascii="Times New Roman" w:hAnsi="Times New Roman"/>
                <w:b/>
                <w:sz w:val="21"/>
              </w:rPr>
              <w:t>Disclose search to physician</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Always</w:t>
            </w:r>
          </w:p>
        </w:tc>
        <w:tc>
          <w:tcPr>
            <w:tcW w:type="dxa" w:w="1134"/>
          </w:tcPr>
          <w:p>
            <w:pPr>
              <w:spacing w:line="240" w:lineRule="auto" w:after="0"/>
            </w:pPr>
            <w:r/>
            <w:r>
              <w:rPr>
                <w:rFonts w:ascii="Times New Roman" w:hAnsi="Times New Roman"/>
                <w:b w:val="0"/>
                <w:sz w:val="21"/>
              </w:rPr>
              <w:t>81</w:t>
            </w:r>
          </w:p>
        </w:tc>
        <w:tc>
          <w:tcPr>
            <w:tcW w:type="dxa" w:w="1134"/>
          </w:tcPr>
          <w:p>
            <w:pPr>
              <w:spacing w:line="240" w:lineRule="auto" w:after="0"/>
            </w:pPr>
            <w:r/>
            <w:r>
              <w:rPr>
                <w:rFonts w:ascii="Times New Roman" w:hAnsi="Times New Roman"/>
                <w:b w:val="0"/>
                <w:sz w:val="21"/>
              </w:rPr>
              <w:t>27.0</w:t>
            </w:r>
          </w:p>
        </w:tc>
      </w:tr>
      <w:tr>
        <w:trPr>
          <w:cantSplit/>
        </w:trPr>
        <w:tc>
          <w:tcPr>
            <w:tcW w:type="dxa" w:w="5953"/>
          </w:tcPr>
          <w:p>
            <w:pPr>
              <w:spacing w:line="240" w:lineRule="auto" w:after="0"/>
            </w:pPr>
            <w:r/>
            <w:r>
              <w:rPr>
                <w:rFonts w:ascii="Times New Roman" w:hAnsi="Times New Roman"/>
                <w:b w:val="0"/>
                <w:sz w:val="21"/>
              </w:rPr>
              <w:t xml:space="preserve">    Sometimes</w:t>
            </w:r>
          </w:p>
        </w:tc>
        <w:tc>
          <w:tcPr>
            <w:tcW w:type="dxa" w:w="1134"/>
          </w:tcPr>
          <w:p>
            <w:pPr>
              <w:spacing w:line="240" w:lineRule="auto" w:after="0"/>
            </w:pPr>
            <w:r/>
            <w:r>
              <w:rPr>
                <w:rFonts w:ascii="Times New Roman" w:hAnsi="Times New Roman"/>
                <w:b w:val="0"/>
                <w:sz w:val="21"/>
              </w:rPr>
              <w:t>124</w:t>
            </w:r>
          </w:p>
        </w:tc>
        <w:tc>
          <w:tcPr>
            <w:tcW w:type="dxa" w:w="1134"/>
          </w:tcPr>
          <w:p>
            <w:pPr>
              <w:spacing w:line="240" w:lineRule="auto" w:after="0"/>
            </w:pPr>
            <w:r/>
            <w:r>
              <w:rPr>
                <w:rFonts w:ascii="Times New Roman" w:hAnsi="Times New Roman"/>
                <w:b w:val="0"/>
                <w:sz w:val="21"/>
              </w:rPr>
              <w:t>41.3</w:t>
            </w:r>
          </w:p>
        </w:tc>
      </w:tr>
      <w:tr>
        <w:trPr>
          <w:cantSplit/>
        </w:trPr>
        <w:tc>
          <w:tcPr>
            <w:tcW w:type="dxa" w:w="5953"/>
          </w:tcPr>
          <w:p>
            <w:pPr>
              <w:spacing w:line="240" w:lineRule="auto" w:after="0"/>
            </w:pPr>
            <w:r/>
            <w:r>
              <w:rPr>
                <w:rFonts w:ascii="Times New Roman" w:hAnsi="Times New Roman"/>
                <w:b w:val="0"/>
                <w:sz w:val="21"/>
              </w:rPr>
              <w:t xml:space="preserve">    Never (fear of judgement)</w:t>
            </w:r>
          </w:p>
        </w:tc>
        <w:tc>
          <w:tcPr>
            <w:tcW w:type="dxa" w:w="1134"/>
          </w:tcPr>
          <w:p>
            <w:pPr>
              <w:spacing w:line="240" w:lineRule="auto" w:after="0"/>
            </w:pPr>
            <w:r/>
            <w:r>
              <w:rPr>
                <w:rFonts w:ascii="Times New Roman" w:hAnsi="Times New Roman"/>
                <w:b w:val="0"/>
                <w:sz w:val="21"/>
              </w:rPr>
              <w:t>95</w:t>
            </w:r>
          </w:p>
        </w:tc>
        <w:tc>
          <w:tcPr>
            <w:tcW w:type="dxa" w:w="1134"/>
          </w:tcPr>
          <w:p>
            <w:pPr>
              <w:spacing w:line="240" w:lineRule="auto" w:after="0"/>
            </w:pPr>
            <w:r/>
            <w:r>
              <w:rPr>
                <w:rFonts w:ascii="Times New Roman" w:hAnsi="Times New Roman"/>
                <w:b w:val="0"/>
                <w:sz w:val="21"/>
              </w:rPr>
              <w:t>31.7</w:t>
            </w:r>
          </w:p>
        </w:tc>
      </w:tr>
      <w:tr>
        <w:trPr>
          <w:cantSplit/>
        </w:trPr>
        <w:tc>
          <w:tcPr>
            <w:tcW w:type="dxa" w:w="5953"/>
          </w:tcPr>
          <w:p>
            <w:pPr>
              <w:spacing w:line="240" w:lineRule="auto" w:after="0"/>
            </w:pPr>
            <w:r/>
            <w:r>
              <w:rPr>
                <w:rFonts w:ascii="Times New Roman" w:hAnsi="Times New Roman"/>
                <w:b/>
                <w:sz w:val="21"/>
              </w:rPr>
              <w:t>Effect on doctor relationship</w:t>
            </w:r>
          </w:p>
        </w:tc>
        <w:tc>
          <w:tcPr>
            <w:tcW w:type="dxa" w:w="1134"/>
          </w:tcPr>
          <w:p>
            <w:pPr>
              <w:spacing w:line="240" w:lineRule="auto" w:after="0"/>
            </w:pPr>
            <w:r/>
            <w:r>
              <w:rPr>
                <w:rFonts w:ascii="Times New Roman" w:hAnsi="Times New Roman"/>
                <w:b/>
                <w:sz w:val="21"/>
              </w:rPr>
            </w:r>
          </w:p>
        </w:tc>
        <w:tc>
          <w:tcPr>
            <w:tcW w:type="dxa" w:w="1134"/>
          </w:tcPr>
          <w:p>
            <w:pPr>
              <w:spacing w:line="240" w:lineRule="auto" w:after="0"/>
            </w:pPr>
            <w:r/>
            <w:r>
              <w:rPr>
                <w:rFonts w:ascii="Times New Roman" w:hAnsi="Times New Roman"/>
                <w:b/>
                <w:sz w:val="21"/>
              </w:rPr>
            </w:r>
          </w:p>
        </w:tc>
      </w:tr>
      <w:tr>
        <w:trPr>
          <w:cantSplit/>
        </w:trPr>
        <w:tc>
          <w:tcPr>
            <w:tcW w:type="dxa" w:w="5953"/>
          </w:tcPr>
          <w:p>
            <w:pPr>
              <w:spacing w:line="240" w:lineRule="auto" w:after="0"/>
            </w:pPr>
            <w:r/>
            <w:r>
              <w:rPr>
                <w:rFonts w:ascii="Times New Roman" w:hAnsi="Times New Roman"/>
                <w:b w:val="0"/>
                <w:sz w:val="21"/>
              </w:rPr>
              <w:t xml:space="preserve">    No negative impact</w:t>
            </w:r>
          </w:p>
        </w:tc>
        <w:tc>
          <w:tcPr>
            <w:tcW w:type="dxa" w:w="1134"/>
          </w:tcPr>
          <w:p>
            <w:pPr>
              <w:spacing w:line="240" w:lineRule="auto" w:after="0"/>
            </w:pPr>
            <w:r/>
            <w:r>
              <w:rPr>
                <w:rFonts w:ascii="Times New Roman" w:hAnsi="Times New Roman"/>
                <w:b w:val="0"/>
                <w:sz w:val="21"/>
              </w:rPr>
              <w:t>196</w:t>
            </w:r>
          </w:p>
        </w:tc>
        <w:tc>
          <w:tcPr>
            <w:tcW w:type="dxa" w:w="1134"/>
          </w:tcPr>
          <w:p>
            <w:pPr>
              <w:spacing w:line="240" w:lineRule="auto" w:after="0"/>
            </w:pPr>
            <w:r/>
            <w:r>
              <w:rPr>
                <w:rFonts w:ascii="Times New Roman" w:hAnsi="Times New Roman"/>
                <w:b w:val="0"/>
                <w:sz w:val="21"/>
              </w:rPr>
              <w:t>65.3</w:t>
            </w:r>
          </w:p>
        </w:tc>
      </w:tr>
      <w:tr>
        <w:trPr>
          <w:cantSplit/>
        </w:trPr>
        <w:tc>
          <w:tcPr>
            <w:tcW w:type="dxa" w:w="5953"/>
          </w:tcPr>
          <w:p>
            <w:pPr>
              <w:spacing w:line="240" w:lineRule="auto" w:after="0"/>
            </w:pPr>
            <w:r/>
            <w:r>
              <w:rPr>
                <w:rFonts w:ascii="Times New Roman" w:hAnsi="Times New Roman"/>
                <w:b w:val="0"/>
                <w:sz w:val="21"/>
              </w:rPr>
              <w:t xml:space="preserve">    Somewhat complicated</w:t>
            </w:r>
          </w:p>
        </w:tc>
        <w:tc>
          <w:tcPr>
            <w:tcW w:type="dxa" w:w="1134"/>
          </w:tcPr>
          <w:p>
            <w:pPr>
              <w:spacing w:line="240" w:lineRule="auto" w:after="0"/>
            </w:pPr>
            <w:r/>
            <w:r>
              <w:rPr>
                <w:rFonts w:ascii="Times New Roman" w:hAnsi="Times New Roman"/>
                <w:b w:val="0"/>
                <w:sz w:val="21"/>
              </w:rPr>
              <w:t>66</w:t>
            </w:r>
          </w:p>
        </w:tc>
        <w:tc>
          <w:tcPr>
            <w:tcW w:type="dxa" w:w="1134"/>
          </w:tcPr>
          <w:p>
            <w:pPr>
              <w:spacing w:line="240" w:lineRule="auto" w:after="0"/>
            </w:pPr>
            <w:r/>
            <w:r>
              <w:rPr>
                <w:rFonts w:ascii="Times New Roman" w:hAnsi="Times New Roman"/>
                <w:b w:val="0"/>
                <w:sz w:val="21"/>
              </w:rPr>
              <w:t>22.0</w:t>
            </w:r>
          </w:p>
        </w:tc>
      </w:tr>
      <w:tr>
        <w:trPr>
          <w:cantSplit/>
        </w:trPr>
        <w:tc>
          <w:tcPr>
            <w:tcW w:type="dxa" w:w="5953"/>
            <w:tcBorders>
              <w:bottom w:val="single" w:sz="8" w:color="000000"/>
            </w:tcBorders>
          </w:tcPr>
          <w:p>
            <w:pPr>
              <w:spacing w:line="240" w:lineRule="auto" w:after="0"/>
            </w:pPr>
            <w:r/>
            <w:r>
              <w:rPr>
                <w:rFonts w:ascii="Times New Roman" w:hAnsi="Times New Roman"/>
                <w:b w:val="0"/>
                <w:sz w:val="21"/>
              </w:rPr>
              <w:t xml:space="preserve">    Significantly reduced trust</w:t>
            </w:r>
          </w:p>
        </w:tc>
        <w:tc>
          <w:tcPr>
            <w:tcW w:type="dxa" w:w="1134"/>
            <w:tcBorders>
              <w:bottom w:val="single" w:sz="8" w:color="000000"/>
            </w:tcBorders>
          </w:tcPr>
          <w:p>
            <w:pPr>
              <w:spacing w:line="240" w:lineRule="auto" w:after="0"/>
            </w:pPr>
            <w:r/>
            <w:r>
              <w:rPr>
                <w:rFonts w:ascii="Times New Roman" w:hAnsi="Times New Roman"/>
                <w:b w:val="0"/>
                <w:sz w:val="21"/>
              </w:rPr>
              <w:t>38</w:t>
            </w:r>
          </w:p>
        </w:tc>
        <w:tc>
          <w:tcPr>
            <w:tcW w:type="dxa" w:w="1134"/>
            <w:tcBorders>
              <w:bottom w:val="single" w:sz="8" w:color="000000"/>
            </w:tcBorders>
          </w:tcPr>
          <w:p>
            <w:pPr>
              <w:spacing w:line="240" w:lineRule="auto" w:after="0"/>
            </w:pPr>
            <w:r/>
            <w:r>
              <w:rPr>
                <w:rFonts w:ascii="Times New Roman" w:hAnsi="Times New Roman"/>
                <w:b w:val="0"/>
                <w:sz w:val="21"/>
              </w:rPr>
              <w:t>12.7</w:t>
            </w:r>
          </w:p>
        </w:tc>
      </w:tr>
    </w:tbl>
    <w:p>
      <w:pPr>
        <w:spacing w:line="240" w:lineRule="auto" w:after="200"/>
      </w:pPr>
      <w:r>
        <w:rPr>
          <w:rFonts w:ascii="Times New Roman" w:hAnsi="Times New Roman"/>
          <w:sz w:val="19"/>
        </w:rPr>
        <w:t>Tools, motivations and behaviours allowed multiple answers, so percentages do not sum to 100. AI users include 32 respondents who named a chatbot without ticking the AI option.</w:t>
      </w:r>
    </w:p>
    <w:p>
      <w:pPr>
        <w:keepNext/>
        <w:jc w:val="center"/>
      </w:pPr>
      <w:r>
        <w:drawing>
          <wp:inline xmlns:a="http://schemas.openxmlformats.org/drawingml/2006/main" xmlns:pic="http://schemas.openxmlformats.org/drawingml/2006/picture">
            <wp:extent cx="5580000" cy="1948410"/>
            <wp:docPr id="1" name="Picture 1"/>
            <wp:cNvGraphicFramePr>
              <a:graphicFrameLocks noChangeAspect="1"/>
            </wp:cNvGraphicFramePr>
            <a:graphic>
              <a:graphicData uri="http://schemas.openxmlformats.org/drawingml/2006/picture">
                <pic:pic>
                  <pic:nvPicPr>
                    <pic:cNvPr id="0" name="fig2_tools_motives.png"/>
                    <pic:cNvPicPr/>
                  </pic:nvPicPr>
                  <pic:blipFill>
                    <a:blip r:embed="rId9"/>
                    <a:stretch>
                      <a:fillRect/>
                    </a:stretch>
                  </pic:blipFill>
                  <pic:spPr>
                    <a:xfrm>
                      <a:off x="0" y="0"/>
                      <a:ext cx="5580000" cy="1948410"/>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1</w:t>
      </w:r>
      <w:r>
        <w:rPr>
          <w:b/>
          <w:sz w:val="24"/>
        </w:rPr>
        <w:fldChar w:fldCharType="end"/>
      </w:r>
      <w:r>
        <w:rPr>
          <w:b/>
          <w:sz w:val="24"/>
        </w:rPr>
        <w:t xml:space="preserve">. </w:t>
      </w:r>
      <w:r>
        <w:rPr>
          <w:i/>
          <w:sz w:val="24"/>
        </w:rPr>
        <w:t>Tools used and motivations for searching for health information online (n = 300).</w:t>
      </w:r>
    </w:p>
    <w:p>
      <w:pPr>
        <w:pStyle w:val="Heading2"/>
      </w:pPr>
      <w:r>
        <w:t>3.3 Pre-consultation behaviour and the doctor–patient relationship</w:t>
      </w:r>
    </w:p>
    <w:p>
      <w:pPr>
        <w:spacing w:after="120"/>
        <w:ind w:firstLine="567"/>
        <w:jc w:val="both"/>
      </w:pPr>
      <w:r>
        <w:rPr>
          <w:rFonts w:ascii="Times New Roman" w:hAnsi="Times New Roman"/>
        </w:rPr>
        <w:t>After searching, the most frequent response was to delay or skip professional care because the online information was reassuring (104 (34.7%)), followed by ignoring the symptom (90 (30.0%)). Behaviours suggesting increased use of services were also common: consulting multiple doctors to double-check findings (76 (25.3%)) and requesting an urgent appointment or visiting the emergency room (66 (22.0%)). Self-medication without consulting a doctor was reported by 64 (21.3%), and 26 (8.7%) delayed care because the information had frightened or overwhelmed them. Only 81 (27.0%) always disclosed their online or AI findings to their physician, whereas 95 (31.7%) never did so for fear of being judged or dismissed. Although most reported no negative effect on their relationship with physicians, 66 (22.0%) said it had become somewhat complicated and 38 (12.7%) that it had significantly reduced their trust in their doctor (Figure 2).</w:t>
      </w:r>
    </w:p>
    <w:p>
      <w:pPr>
        <w:keepNext/>
        <w:jc w:val="center"/>
      </w:pPr>
      <w:r>
        <w:drawing>
          <wp:inline xmlns:a="http://schemas.openxmlformats.org/drawingml/2006/main" xmlns:pic="http://schemas.openxmlformats.org/drawingml/2006/picture">
            <wp:extent cx="5760000" cy="1496715"/>
            <wp:docPr id="2" name="Picture 2"/>
            <wp:cNvGraphicFramePr>
              <a:graphicFrameLocks noChangeAspect="1"/>
            </wp:cNvGraphicFramePr>
            <a:graphic>
              <a:graphicData uri="http://schemas.openxmlformats.org/drawingml/2006/picture">
                <pic:pic>
                  <pic:nvPicPr>
                    <pic:cNvPr id="0" name="fig3_behaviours.png"/>
                    <pic:cNvPicPr/>
                  </pic:nvPicPr>
                  <pic:blipFill>
                    <a:blip r:embed="rId10"/>
                    <a:stretch>
                      <a:fillRect/>
                    </a:stretch>
                  </pic:blipFill>
                  <pic:spPr>
                    <a:xfrm>
                      <a:off x="0" y="0"/>
                      <a:ext cx="5760000" cy="1496715"/>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2</w:t>
      </w:r>
      <w:r>
        <w:rPr>
          <w:b/>
          <w:sz w:val="24"/>
        </w:rPr>
        <w:fldChar w:fldCharType="end"/>
      </w:r>
      <w:r>
        <w:rPr>
          <w:b/>
          <w:sz w:val="24"/>
        </w:rPr>
        <w:t xml:space="preserve">. </w:t>
      </w:r>
      <w:r>
        <w:rPr>
          <w:i/>
          <w:sz w:val="24"/>
        </w:rPr>
        <w:t>Behavioural responses after searching, disclosure of searches to physicians and perceived effect on the doctor–patient relationship (n = 300).</w:t>
      </w:r>
    </w:p>
    <w:p>
      <w:pPr>
        <w:pStyle w:val="Heading2"/>
      </w:pPr>
      <w:r>
        <w:t>3.4 Levels of health anxiety and cyberchondria, and psychometric properties</w:t>
      </w:r>
    </w:p>
    <w:p>
      <w:pPr>
        <w:spacing w:after="120"/>
        <w:ind w:firstLine="567"/>
        <w:jc w:val="both"/>
      </w:pPr>
      <w:r>
        <w:rPr>
          <w:rFonts w:ascii="Times New Roman" w:hAnsi="Times New Roman"/>
        </w:rPr>
        <w:t>The mean SHAI-14 score was 12.35 ± 5.83 (median 12, IQR 8–16). Using the cut-off of 18, 57 (19.0%) (95% CI 15.0–23.8%) had elevated health anxiety; prevalence was 32.7%, 7.3% and 0.7% at cut-offs of 15, 22 and 29, respectively, so the estimate depends heavily on the threshold chosen. The mean CSS-12 score was 28.86 ± 8.36 (median 29). Excessiveness was the highest-scoring dimension (9.66 ± 2.94) and compulsion the lowest (5.00 ± 2.58). At item level, 63.0% often or always searched online when they noticed an unexplained bodily sensation, whereas fewer than 7% reported that searching often interfered with work, leisure or social activities. Scores deviated modestly from normality (Shapiro–Wilk p &lt; 0.01; skewness 0.52 for SHAI and 0.31 for CSS), so non-parametric tests were used for bivariate comparisons and robust standard errors for regression.</w:t>
      </w:r>
    </w:p>
    <w:p>
      <w:pPr>
        <w:spacing w:after="120"/>
        <w:ind w:firstLine="567"/>
        <w:jc w:val="both"/>
      </w:pPr>
      <w:r>
        <w:rPr>
          <w:rFonts w:ascii="Times New Roman" w:hAnsi="Times New Roman"/>
        </w:rPr>
        <w:t>Both scales showed good reliability (Table 3): α = 0.81 (ω = 0.82) for SHAI-14 and α = 0.86 (ω = 0.87) for CSS-12, with subscale α between 0.76 and 0.88. Sampling adequacy was good (KMO = 0.84 and 0.85; Bartlett p &lt; 0.001). The four-factor structure of the CSS-12 fitted the data well (DWLS: CFI = 1.000, RMSEA = 0.003; ML: CFI = 0.954, RMSEA = 0.070) and clearly better than a single factor (ML CFI = 0.644); standardised loadings ranged from 0.61 to 0.92. For the SHAI-14, a one-factor model fitted well under DWLS (CFI = 0.977, RMSEA = 0.038) but only moderately under ML (CFI = 0.830, RMSEA = 0.079), and a two-factor model gave little improvement. Reliability was virtually identical in Arabic and English responders (SHAI α 0.81 vs 0.81, Feldt p = 0.96; CSS α 0.86 vs 0.88, p = 0.29), factor loadings were highly congruent (Tucker φ = 0.99 and 0.99), and mean scores did not differ by language after adjustment (Table 3).</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3</w:t>
      </w:r>
      <w:r>
        <w:rPr>
          <w:b/>
          <w:sz w:val="24"/>
        </w:rPr>
        <w:fldChar w:fldCharType="end"/>
      </w:r>
      <w:r>
        <w:rPr>
          <w:b/>
          <w:sz w:val="24"/>
        </w:rPr>
        <w:t xml:space="preserve">. </w:t>
      </w:r>
      <w:r>
        <w:rPr>
          <w:i w:val="0"/>
          <w:sz w:val="24"/>
        </w:rPr>
        <w:t>Descriptive statistics, reliability and language equivalence of the SHAI-14 and CSS-12 (n = 300)</w:t>
      </w:r>
    </w:p>
    <w:tbl>
      <w:tblPr>
        <w:tblStyle w:val="TableGrid"/>
        <w:tblW w:type="auto" w:w="0"/>
        <w:jc w:val="center"/>
        <w:tblLayout w:type="fixed"/>
        <w:tblLook w:firstColumn="1" w:firstRow="1" w:lastColumn="0" w:lastRow="0" w:noHBand="0" w:noVBand="1" w:val="04A0"/>
        <w:tblLayout w:type="fixed"/>
      </w:tblPr>
      <w:tblGrid>
        <w:gridCol w:w="2608"/>
        <w:gridCol w:w="1474"/>
        <w:gridCol w:w="1474"/>
        <w:gridCol w:w="907"/>
        <w:gridCol w:w="1531"/>
        <w:gridCol w:w="624"/>
      </w:tblGrid>
      <w:tr>
        <w:trPr>
          <w:cantSplit/>
        </w:trPr>
        <w:tc>
          <w:tcPr>
            <w:tcW w:type="dxa" w:w="2608"/>
            <w:tcBorders>
              <w:top w:val="single" w:sz="8" w:color="000000"/>
              <w:bottom w:val="single" w:sz="8" w:color="000000"/>
            </w:tcBorders>
          </w:tcPr>
          <w:p>
            <w:pPr>
              <w:spacing w:line="240" w:lineRule="auto" w:after="0"/>
            </w:pPr>
            <w:r/>
            <w:r>
              <w:rPr>
                <w:rFonts w:ascii="Times New Roman" w:hAnsi="Times New Roman"/>
                <w:b/>
                <w:sz w:val="21"/>
              </w:rPr>
              <w:t>Scale</w:t>
            </w:r>
          </w:p>
        </w:tc>
        <w:tc>
          <w:tcPr>
            <w:tcW w:type="dxa" w:w="1474"/>
            <w:tcBorders>
              <w:top w:val="single" w:sz="8" w:color="000000"/>
              <w:bottom w:val="single" w:sz="8" w:color="000000"/>
            </w:tcBorders>
          </w:tcPr>
          <w:p>
            <w:pPr>
              <w:spacing w:line="240" w:lineRule="auto" w:after="0"/>
            </w:pPr>
            <w:r/>
            <w:r>
              <w:rPr>
                <w:rFonts w:ascii="Times New Roman" w:hAnsi="Times New Roman"/>
                <w:b/>
                <w:sz w:val="21"/>
              </w:rPr>
              <w:t>Mean ± SD</w:t>
            </w:r>
          </w:p>
        </w:tc>
        <w:tc>
          <w:tcPr>
            <w:tcW w:type="dxa" w:w="1474"/>
            <w:tcBorders>
              <w:top w:val="single" w:sz="8" w:color="000000"/>
              <w:bottom w:val="single" w:sz="8" w:color="000000"/>
            </w:tcBorders>
          </w:tcPr>
          <w:p>
            <w:pPr>
              <w:spacing w:line="240" w:lineRule="auto" w:after="0"/>
            </w:pPr>
            <w:r/>
            <w:r>
              <w:rPr>
                <w:rFonts w:ascii="Times New Roman" w:hAnsi="Times New Roman"/>
                <w:b/>
                <w:sz w:val="21"/>
              </w:rPr>
              <w:t>Median (IQR)</w:t>
            </w:r>
          </w:p>
        </w:tc>
        <w:tc>
          <w:tcPr>
            <w:tcW w:type="dxa" w:w="907"/>
            <w:tcBorders>
              <w:top w:val="single" w:sz="8" w:color="000000"/>
              <w:bottom w:val="single" w:sz="8" w:color="000000"/>
            </w:tcBorders>
          </w:tcPr>
          <w:p>
            <w:pPr>
              <w:spacing w:line="240" w:lineRule="auto" w:after="0"/>
            </w:pPr>
            <w:r/>
            <w:r>
              <w:rPr>
                <w:rFonts w:ascii="Times New Roman" w:hAnsi="Times New Roman"/>
                <w:b/>
                <w:sz w:val="21"/>
              </w:rPr>
              <w:t>Range</w:t>
            </w:r>
          </w:p>
        </w:tc>
        <w:tc>
          <w:tcPr>
            <w:tcW w:type="dxa" w:w="1531"/>
            <w:tcBorders>
              <w:top w:val="single" w:sz="8" w:color="000000"/>
              <w:bottom w:val="single" w:sz="8" w:color="000000"/>
            </w:tcBorders>
          </w:tcPr>
          <w:p>
            <w:pPr>
              <w:spacing w:line="240" w:lineRule="auto" w:after="0"/>
            </w:pPr>
            <w:r/>
            <w:r>
              <w:rPr>
                <w:rFonts w:ascii="Times New Roman" w:hAnsi="Times New Roman"/>
                <w:b/>
                <w:sz w:val="21"/>
              </w:rPr>
              <w:t>α (95% CI)</w:t>
            </w:r>
          </w:p>
        </w:tc>
        <w:tc>
          <w:tcPr>
            <w:tcW w:type="dxa" w:w="624"/>
            <w:tcBorders>
              <w:top w:val="single" w:sz="8" w:color="000000"/>
              <w:bottom w:val="single" w:sz="8" w:color="000000"/>
            </w:tcBorders>
          </w:tcPr>
          <w:p>
            <w:pPr>
              <w:spacing w:line="240" w:lineRule="auto" w:after="0"/>
            </w:pPr>
            <w:r/>
            <w:r>
              <w:rPr>
                <w:rFonts w:ascii="Times New Roman" w:hAnsi="Times New Roman"/>
                <w:b/>
                <w:sz w:val="21"/>
              </w:rPr>
              <w:t>ω</w:t>
            </w:r>
          </w:p>
        </w:tc>
      </w:tr>
      <w:tr>
        <w:trPr>
          <w:cantSplit/>
        </w:trPr>
        <w:tc>
          <w:tcPr>
            <w:tcW w:type="dxa" w:w="2608"/>
          </w:tcPr>
          <w:p>
            <w:pPr>
              <w:spacing w:line="240" w:lineRule="auto" w:after="0"/>
            </w:pPr>
            <w:r/>
            <w:r>
              <w:rPr>
                <w:rFonts w:ascii="Times New Roman" w:hAnsi="Times New Roman"/>
                <w:b w:val="0"/>
                <w:sz w:val="21"/>
              </w:rPr>
              <w:t>SHAI-14 total (0–42)</w:t>
            </w:r>
          </w:p>
        </w:tc>
        <w:tc>
          <w:tcPr>
            <w:tcW w:type="dxa" w:w="1474"/>
          </w:tcPr>
          <w:p>
            <w:pPr>
              <w:spacing w:line="240" w:lineRule="auto" w:after="0"/>
            </w:pPr>
            <w:r/>
            <w:r>
              <w:rPr>
                <w:rFonts w:ascii="Times New Roman" w:hAnsi="Times New Roman"/>
                <w:b w:val="0"/>
                <w:sz w:val="21"/>
              </w:rPr>
              <w:t>12.35 ± 5.83</w:t>
            </w:r>
          </w:p>
        </w:tc>
        <w:tc>
          <w:tcPr>
            <w:tcW w:type="dxa" w:w="1474"/>
          </w:tcPr>
          <w:p>
            <w:pPr>
              <w:spacing w:line="240" w:lineRule="auto" w:after="0"/>
            </w:pPr>
            <w:r/>
            <w:r>
              <w:rPr>
                <w:rFonts w:ascii="Times New Roman" w:hAnsi="Times New Roman"/>
                <w:b w:val="0"/>
                <w:sz w:val="21"/>
              </w:rPr>
              <w:t>12 (8–16)</w:t>
            </w:r>
          </w:p>
        </w:tc>
        <w:tc>
          <w:tcPr>
            <w:tcW w:type="dxa" w:w="907"/>
          </w:tcPr>
          <w:p>
            <w:pPr>
              <w:spacing w:line="240" w:lineRule="auto" w:after="0"/>
            </w:pPr>
            <w:r/>
            <w:r>
              <w:rPr>
                <w:rFonts w:ascii="Times New Roman" w:hAnsi="Times New Roman"/>
                <w:b w:val="0"/>
                <w:sz w:val="21"/>
              </w:rPr>
              <w:t>1–30</w:t>
            </w:r>
          </w:p>
        </w:tc>
        <w:tc>
          <w:tcPr>
            <w:tcW w:type="dxa" w:w="1531"/>
          </w:tcPr>
          <w:p>
            <w:pPr>
              <w:spacing w:line="240" w:lineRule="auto" w:after="0"/>
            </w:pPr>
            <w:r/>
            <w:r>
              <w:rPr>
                <w:rFonts w:ascii="Times New Roman" w:hAnsi="Times New Roman"/>
                <w:b w:val="0"/>
                <w:sz w:val="21"/>
              </w:rPr>
              <w:t>0.81 (0.78–0.84)</w:t>
            </w:r>
          </w:p>
        </w:tc>
        <w:tc>
          <w:tcPr>
            <w:tcW w:type="dxa" w:w="624"/>
          </w:tcPr>
          <w:p>
            <w:pPr>
              <w:spacing w:line="240" w:lineRule="auto" w:after="0"/>
            </w:pPr>
            <w:r/>
            <w:r>
              <w:rPr>
                <w:rFonts w:ascii="Times New Roman" w:hAnsi="Times New Roman"/>
                <w:b w:val="0"/>
                <w:sz w:val="21"/>
              </w:rPr>
              <w:t>0.82</w:t>
            </w:r>
          </w:p>
        </w:tc>
      </w:tr>
      <w:tr>
        <w:trPr>
          <w:cantSplit/>
        </w:trPr>
        <w:tc>
          <w:tcPr>
            <w:tcW w:type="dxa" w:w="2608"/>
          </w:tcPr>
          <w:p>
            <w:pPr>
              <w:spacing w:line="240" w:lineRule="auto" w:after="0"/>
            </w:pPr>
            <w:r/>
            <w:r>
              <w:rPr>
                <w:rFonts w:ascii="Times New Roman" w:hAnsi="Times New Roman"/>
                <w:b w:val="0"/>
                <w:sz w:val="21"/>
              </w:rPr>
              <w:t>CSS-12 total (12–60)</w:t>
            </w:r>
          </w:p>
        </w:tc>
        <w:tc>
          <w:tcPr>
            <w:tcW w:type="dxa" w:w="1474"/>
          </w:tcPr>
          <w:p>
            <w:pPr>
              <w:spacing w:line="240" w:lineRule="auto" w:after="0"/>
            </w:pPr>
            <w:r/>
            <w:r>
              <w:rPr>
                <w:rFonts w:ascii="Times New Roman" w:hAnsi="Times New Roman"/>
                <w:b w:val="0"/>
                <w:sz w:val="21"/>
              </w:rPr>
              <w:t>28.86 ± 8.36</w:t>
            </w:r>
          </w:p>
        </w:tc>
        <w:tc>
          <w:tcPr>
            <w:tcW w:type="dxa" w:w="1474"/>
          </w:tcPr>
          <w:p>
            <w:pPr>
              <w:spacing w:line="240" w:lineRule="auto" w:after="0"/>
            </w:pPr>
            <w:r/>
            <w:r>
              <w:rPr>
                <w:rFonts w:ascii="Times New Roman" w:hAnsi="Times New Roman"/>
                <w:b w:val="0"/>
                <w:sz w:val="21"/>
              </w:rPr>
              <w:t>29 (23–34)</w:t>
            </w:r>
          </w:p>
        </w:tc>
        <w:tc>
          <w:tcPr>
            <w:tcW w:type="dxa" w:w="907"/>
          </w:tcPr>
          <w:p>
            <w:pPr>
              <w:spacing w:line="240" w:lineRule="auto" w:after="0"/>
            </w:pPr>
            <w:r/>
            <w:r>
              <w:rPr>
                <w:rFonts w:ascii="Times New Roman" w:hAnsi="Times New Roman"/>
                <w:b w:val="0"/>
                <w:sz w:val="21"/>
              </w:rPr>
              <w:t>12–57</w:t>
            </w:r>
          </w:p>
        </w:tc>
        <w:tc>
          <w:tcPr>
            <w:tcW w:type="dxa" w:w="1531"/>
          </w:tcPr>
          <w:p>
            <w:pPr>
              <w:spacing w:line="240" w:lineRule="auto" w:after="0"/>
            </w:pPr>
            <w:r/>
            <w:r>
              <w:rPr>
                <w:rFonts w:ascii="Times New Roman" w:hAnsi="Times New Roman"/>
                <w:b w:val="0"/>
                <w:sz w:val="21"/>
              </w:rPr>
              <w:t>0.86 (0.84–0.89)</w:t>
            </w:r>
          </w:p>
        </w:tc>
        <w:tc>
          <w:tcPr>
            <w:tcW w:type="dxa" w:w="624"/>
          </w:tcPr>
          <w:p>
            <w:pPr>
              <w:spacing w:line="240" w:lineRule="auto" w:after="0"/>
            </w:pPr>
            <w:r/>
            <w:r>
              <w:rPr>
                <w:rFonts w:ascii="Times New Roman" w:hAnsi="Times New Roman"/>
                <w:b w:val="0"/>
                <w:sz w:val="21"/>
              </w:rPr>
              <w:t>0.87</w:t>
            </w:r>
          </w:p>
        </w:tc>
      </w:tr>
      <w:tr>
        <w:trPr>
          <w:cantSplit/>
        </w:trPr>
        <w:tc>
          <w:tcPr>
            <w:tcW w:type="dxa" w:w="2608"/>
          </w:tcPr>
          <w:p>
            <w:pPr>
              <w:spacing w:line="240" w:lineRule="auto" w:after="0"/>
            </w:pPr>
            <w:r/>
            <w:r>
              <w:rPr>
                <w:rFonts w:ascii="Times New Roman" w:hAnsi="Times New Roman"/>
                <w:b w:val="0"/>
                <w:sz w:val="21"/>
              </w:rPr>
              <w:t xml:space="preserve">  Excessiveness (3–15)</w:t>
            </w:r>
          </w:p>
        </w:tc>
        <w:tc>
          <w:tcPr>
            <w:tcW w:type="dxa" w:w="1474"/>
          </w:tcPr>
          <w:p>
            <w:pPr>
              <w:spacing w:line="240" w:lineRule="auto" w:after="0"/>
            </w:pPr>
            <w:r/>
            <w:r>
              <w:rPr>
                <w:rFonts w:ascii="Times New Roman" w:hAnsi="Times New Roman"/>
                <w:b w:val="0"/>
                <w:sz w:val="21"/>
              </w:rPr>
              <w:t>9.66 ± 2.94</w:t>
            </w:r>
          </w:p>
        </w:tc>
        <w:tc>
          <w:tcPr>
            <w:tcW w:type="dxa" w:w="1474"/>
          </w:tcPr>
          <w:p>
            <w:pPr>
              <w:spacing w:line="240" w:lineRule="auto" w:after="0"/>
            </w:pPr>
            <w:r/>
            <w:r>
              <w:rPr>
                <w:rFonts w:ascii="Times New Roman" w:hAnsi="Times New Roman"/>
                <w:b w:val="0"/>
                <w:sz w:val="21"/>
              </w:rPr>
              <w:t>10 (8–12)</w:t>
            </w:r>
          </w:p>
        </w:tc>
        <w:tc>
          <w:tcPr>
            <w:tcW w:type="dxa" w:w="907"/>
          </w:tcPr>
          <w:p>
            <w:pPr>
              <w:spacing w:line="240" w:lineRule="auto" w:after="0"/>
            </w:pPr>
            <w:r/>
            <w:r>
              <w:rPr>
                <w:rFonts w:ascii="Times New Roman" w:hAnsi="Times New Roman"/>
                <w:b w:val="0"/>
                <w:sz w:val="21"/>
              </w:rPr>
              <w:t>3–15</w:t>
            </w:r>
          </w:p>
        </w:tc>
        <w:tc>
          <w:tcPr>
            <w:tcW w:type="dxa" w:w="1531"/>
          </w:tcPr>
          <w:p>
            <w:pPr>
              <w:spacing w:line="240" w:lineRule="auto" w:after="0"/>
            </w:pPr>
            <w:r/>
            <w:r>
              <w:rPr>
                <w:rFonts w:ascii="Times New Roman" w:hAnsi="Times New Roman"/>
                <w:b w:val="0"/>
                <w:sz w:val="21"/>
              </w:rPr>
              <w:t>0.77 (0.72–0.81)</w:t>
            </w:r>
          </w:p>
        </w:tc>
        <w:tc>
          <w:tcPr>
            <w:tcW w:type="dxa" w:w="624"/>
          </w:tcPr>
          <w:p>
            <w:pPr>
              <w:spacing w:line="240" w:lineRule="auto" w:after="0"/>
            </w:pPr>
            <w:r/>
            <w:r>
              <w:rPr>
                <w:rFonts w:ascii="Times New Roman" w:hAnsi="Times New Roman"/>
                <w:b w:val="0"/>
                <w:sz w:val="21"/>
              </w:rPr>
              <w:t>0.77</w:t>
            </w:r>
          </w:p>
        </w:tc>
      </w:tr>
      <w:tr>
        <w:trPr>
          <w:cantSplit/>
        </w:trPr>
        <w:tc>
          <w:tcPr>
            <w:tcW w:type="dxa" w:w="2608"/>
          </w:tcPr>
          <w:p>
            <w:pPr>
              <w:spacing w:line="240" w:lineRule="auto" w:after="0"/>
            </w:pPr>
            <w:r/>
            <w:r>
              <w:rPr>
                <w:rFonts w:ascii="Times New Roman" w:hAnsi="Times New Roman"/>
                <w:b w:val="0"/>
                <w:sz w:val="21"/>
              </w:rPr>
              <w:t xml:space="preserve">  Compulsion (3–15)</w:t>
            </w:r>
          </w:p>
        </w:tc>
        <w:tc>
          <w:tcPr>
            <w:tcW w:type="dxa" w:w="1474"/>
          </w:tcPr>
          <w:p>
            <w:pPr>
              <w:spacing w:line="240" w:lineRule="auto" w:after="0"/>
            </w:pPr>
            <w:r/>
            <w:r>
              <w:rPr>
                <w:rFonts w:ascii="Times New Roman" w:hAnsi="Times New Roman"/>
                <w:b w:val="0"/>
                <w:sz w:val="21"/>
              </w:rPr>
              <w:t>5.00 ± 2.58</w:t>
            </w:r>
          </w:p>
        </w:tc>
        <w:tc>
          <w:tcPr>
            <w:tcW w:type="dxa" w:w="1474"/>
          </w:tcPr>
          <w:p>
            <w:pPr>
              <w:spacing w:line="240" w:lineRule="auto" w:after="0"/>
            </w:pPr>
            <w:r/>
            <w:r>
              <w:rPr>
                <w:rFonts w:ascii="Times New Roman" w:hAnsi="Times New Roman"/>
                <w:b w:val="0"/>
                <w:sz w:val="21"/>
              </w:rPr>
              <w:t>4 (3–6)</w:t>
            </w:r>
          </w:p>
        </w:tc>
        <w:tc>
          <w:tcPr>
            <w:tcW w:type="dxa" w:w="907"/>
          </w:tcPr>
          <w:p>
            <w:pPr>
              <w:spacing w:line="240" w:lineRule="auto" w:after="0"/>
            </w:pPr>
            <w:r/>
            <w:r>
              <w:rPr>
                <w:rFonts w:ascii="Times New Roman" w:hAnsi="Times New Roman"/>
                <w:b w:val="0"/>
                <w:sz w:val="21"/>
              </w:rPr>
              <w:t>3–15</w:t>
            </w:r>
          </w:p>
        </w:tc>
        <w:tc>
          <w:tcPr>
            <w:tcW w:type="dxa" w:w="1531"/>
          </w:tcPr>
          <w:p>
            <w:pPr>
              <w:spacing w:line="240" w:lineRule="auto" w:after="0"/>
            </w:pPr>
            <w:r/>
            <w:r>
              <w:rPr>
                <w:rFonts w:ascii="Times New Roman" w:hAnsi="Times New Roman"/>
                <w:b w:val="0"/>
                <w:sz w:val="21"/>
              </w:rPr>
              <w:t>0.88 (0.86–0.90)</w:t>
            </w:r>
          </w:p>
        </w:tc>
        <w:tc>
          <w:tcPr>
            <w:tcW w:type="dxa" w:w="624"/>
          </w:tcPr>
          <w:p>
            <w:pPr>
              <w:spacing w:line="240" w:lineRule="auto" w:after="0"/>
            </w:pPr>
            <w:r/>
            <w:r>
              <w:rPr>
                <w:rFonts w:ascii="Times New Roman" w:hAnsi="Times New Roman"/>
                <w:b w:val="0"/>
                <w:sz w:val="21"/>
              </w:rPr>
              <w:t>0.89</w:t>
            </w:r>
          </w:p>
        </w:tc>
      </w:tr>
      <w:tr>
        <w:trPr>
          <w:cantSplit/>
        </w:trPr>
        <w:tc>
          <w:tcPr>
            <w:tcW w:type="dxa" w:w="2608"/>
          </w:tcPr>
          <w:p>
            <w:pPr>
              <w:spacing w:line="240" w:lineRule="auto" w:after="0"/>
            </w:pPr>
            <w:r/>
            <w:r>
              <w:rPr>
                <w:rFonts w:ascii="Times New Roman" w:hAnsi="Times New Roman"/>
                <w:b w:val="0"/>
                <w:sz w:val="21"/>
              </w:rPr>
              <w:t xml:space="preserve">  Distress (3–15)</w:t>
            </w:r>
          </w:p>
        </w:tc>
        <w:tc>
          <w:tcPr>
            <w:tcW w:type="dxa" w:w="1474"/>
          </w:tcPr>
          <w:p>
            <w:pPr>
              <w:spacing w:line="240" w:lineRule="auto" w:after="0"/>
            </w:pPr>
            <w:r/>
            <w:r>
              <w:rPr>
                <w:rFonts w:ascii="Times New Roman" w:hAnsi="Times New Roman"/>
                <w:b w:val="0"/>
                <w:sz w:val="21"/>
              </w:rPr>
              <w:t>7.24 ± 2.74</w:t>
            </w:r>
          </w:p>
        </w:tc>
        <w:tc>
          <w:tcPr>
            <w:tcW w:type="dxa" w:w="1474"/>
          </w:tcPr>
          <w:p>
            <w:pPr>
              <w:spacing w:line="240" w:lineRule="auto" w:after="0"/>
            </w:pPr>
            <w:r/>
            <w:r>
              <w:rPr>
                <w:rFonts w:ascii="Times New Roman" w:hAnsi="Times New Roman"/>
                <w:b w:val="0"/>
                <w:sz w:val="21"/>
              </w:rPr>
              <w:t>7 (5–9)</w:t>
            </w:r>
          </w:p>
        </w:tc>
        <w:tc>
          <w:tcPr>
            <w:tcW w:type="dxa" w:w="907"/>
          </w:tcPr>
          <w:p>
            <w:pPr>
              <w:spacing w:line="240" w:lineRule="auto" w:after="0"/>
            </w:pPr>
            <w:r/>
            <w:r>
              <w:rPr>
                <w:rFonts w:ascii="Times New Roman" w:hAnsi="Times New Roman"/>
                <w:b w:val="0"/>
                <w:sz w:val="21"/>
              </w:rPr>
              <w:t>3–15</w:t>
            </w:r>
          </w:p>
        </w:tc>
        <w:tc>
          <w:tcPr>
            <w:tcW w:type="dxa" w:w="1531"/>
          </w:tcPr>
          <w:p>
            <w:pPr>
              <w:spacing w:line="240" w:lineRule="auto" w:after="0"/>
            </w:pPr>
            <w:r/>
            <w:r>
              <w:rPr>
                <w:rFonts w:ascii="Times New Roman" w:hAnsi="Times New Roman"/>
                <w:b w:val="0"/>
                <w:sz w:val="21"/>
              </w:rPr>
              <w:t>0.76 (0.71–0.81)</w:t>
            </w:r>
          </w:p>
        </w:tc>
        <w:tc>
          <w:tcPr>
            <w:tcW w:type="dxa" w:w="624"/>
          </w:tcPr>
          <w:p>
            <w:pPr>
              <w:spacing w:line="240" w:lineRule="auto" w:after="0"/>
            </w:pPr>
            <w:r/>
            <w:r>
              <w:rPr>
                <w:rFonts w:ascii="Times New Roman" w:hAnsi="Times New Roman"/>
                <w:b w:val="0"/>
                <w:sz w:val="21"/>
              </w:rPr>
              <w:t>0.77</w:t>
            </w:r>
          </w:p>
        </w:tc>
      </w:tr>
      <w:tr>
        <w:trPr>
          <w:cantSplit/>
        </w:trPr>
        <w:tc>
          <w:tcPr>
            <w:tcW w:type="dxa" w:w="2608"/>
            <w:tcBorders>
              <w:bottom w:val="single" w:sz="8" w:color="000000"/>
            </w:tcBorders>
          </w:tcPr>
          <w:p>
            <w:pPr>
              <w:spacing w:line="240" w:lineRule="auto" w:after="0"/>
            </w:pPr>
            <w:r/>
            <w:r>
              <w:rPr>
                <w:rFonts w:ascii="Times New Roman" w:hAnsi="Times New Roman"/>
                <w:b w:val="0"/>
                <w:sz w:val="21"/>
              </w:rPr>
              <w:t xml:space="preserve">  Reassurance (3–15)</w:t>
            </w:r>
          </w:p>
        </w:tc>
        <w:tc>
          <w:tcPr>
            <w:tcW w:type="dxa" w:w="1474"/>
            <w:tcBorders>
              <w:bottom w:val="single" w:sz="8" w:color="000000"/>
            </w:tcBorders>
          </w:tcPr>
          <w:p>
            <w:pPr>
              <w:spacing w:line="240" w:lineRule="auto" w:after="0"/>
            </w:pPr>
            <w:r/>
            <w:r>
              <w:rPr>
                <w:rFonts w:ascii="Times New Roman" w:hAnsi="Times New Roman"/>
                <w:b w:val="0"/>
                <w:sz w:val="21"/>
              </w:rPr>
              <w:t>6.96 ± 2.81</w:t>
            </w:r>
          </w:p>
        </w:tc>
        <w:tc>
          <w:tcPr>
            <w:tcW w:type="dxa" w:w="1474"/>
            <w:tcBorders>
              <w:bottom w:val="single" w:sz="8" w:color="000000"/>
            </w:tcBorders>
          </w:tcPr>
          <w:p>
            <w:pPr>
              <w:spacing w:line="240" w:lineRule="auto" w:after="0"/>
            </w:pPr>
            <w:r/>
            <w:r>
              <w:rPr>
                <w:rFonts w:ascii="Times New Roman" w:hAnsi="Times New Roman"/>
                <w:b w:val="0"/>
                <w:sz w:val="21"/>
              </w:rPr>
              <w:t>7 (5–9)</w:t>
            </w:r>
          </w:p>
        </w:tc>
        <w:tc>
          <w:tcPr>
            <w:tcW w:type="dxa" w:w="907"/>
            <w:tcBorders>
              <w:bottom w:val="single" w:sz="8" w:color="000000"/>
            </w:tcBorders>
          </w:tcPr>
          <w:p>
            <w:pPr>
              <w:spacing w:line="240" w:lineRule="auto" w:after="0"/>
            </w:pPr>
            <w:r/>
            <w:r>
              <w:rPr>
                <w:rFonts w:ascii="Times New Roman" w:hAnsi="Times New Roman"/>
                <w:b w:val="0"/>
                <w:sz w:val="21"/>
              </w:rPr>
              <w:t>3–15</w:t>
            </w:r>
          </w:p>
        </w:tc>
        <w:tc>
          <w:tcPr>
            <w:tcW w:type="dxa" w:w="1531"/>
            <w:tcBorders>
              <w:bottom w:val="single" w:sz="8" w:color="000000"/>
            </w:tcBorders>
          </w:tcPr>
          <w:p>
            <w:pPr>
              <w:spacing w:line="240" w:lineRule="auto" w:after="0"/>
            </w:pPr>
            <w:r/>
            <w:r>
              <w:rPr>
                <w:rFonts w:ascii="Times New Roman" w:hAnsi="Times New Roman"/>
                <w:b w:val="0"/>
                <w:sz w:val="21"/>
              </w:rPr>
              <w:t>0.76 (0.71–0.81)</w:t>
            </w:r>
          </w:p>
        </w:tc>
        <w:tc>
          <w:tcPr>
            <w:tcW w:type="dxa" w:w="624"/>
            <w:tcBorders>
              <w:bottom w:val="single" w:sz="8" w:color="000000"/>
            </w:tcBorders>
          </w:tcPr>
          <w:p>
            <w:pPr>
              <w:spacing w:line="240" w:lineRule="auto" w:after="0"/>
            </w:pPr>
            <w:r/>
            <w:r>
              <w:rPr>
                <w:rFonts w:ascii="Times New Roman" w:hAnsi="Times New Roman"/>
                <w:b w:val="0"/>
                <w:sz w:val="21"/>
              </w:rPr>
              <w:t>0.77</w:t>
            </w:r>
          </w:p>
        </w:tc>
      </w:tr>
    </w:tbl>
    <w:p>
      <w:pPr>
        <w:spacing w:line="240" w:lineRule="auto" w:after="200"/>
      </w:pPr>
      <w:r>
        <w:rPr>
          <w:rFonts w:ascii="Times New Roman" w:hAnsi="Times New Roman"/>
          <w:sz w:val="19"/>
        </w:rPr>
        <w:t>Language equivalence: SHAI mean 12.40±5.73 (Arabic) vs 12.23±6.08 (English), adjusted p = 0.52; CSS mean 28.96±8.21 vs 28.62±8.77, adjusted p = 0.89. CFA fit (CSS-12, four factors): DWLS CFI 1.000, TLI 1.000, RMSEA 0.003; ML CFI 0.954, TLI 0.937, RMSEA 0.070. SHAI-14 one factor: DWLS CFI 0.977, RMSEA 0.038; ML CFI 0.830, RMSEA 0.079.</w:t>
      </w:r>
    </w:p>
    <w:p>
      <w:pPr>
        <w:pStyle w:val="Heading2"/>
      </w:pPr>
      <w:r>
        <w:t>3.5 Association between health anxiety and cyberchondria</w:t>
      </w:r>
    </w:p>
    <w:p>
      <w:pPr>
        <w:spacing w:after="120"/>
        <w:ind w:firstLine="567"/>
        <w:jc w:val="both"/>
      </w:pPr>
      <w:r>
        <w:rPr>
          <w:rFonts w:ascii="Times New Roman" w:hAnsi="Times New Roman"/>
        </w:rPr>
        <w:t>Health anxiety was positively and moderately correlated with cyberchondria (Pearson r = 0.47, 95% CI 0.38–0.55; Spearman ρ = 0.47, bootstrap 95% CI 0.36–0.56; p &lt; 0.001), with health anxiety accounting for 22% of the variance in cyberchondria (Figure 3). The association was essentially unchanged after adjustment for age, gender, health background, chronic disease, trust in online information and AI use (partial r = 0.48, 95% CI 0.38–0.56). Health anxiety was correlated with all four cyberchondria dimensions, but not equally: correlations with excessiveness (r = 0.46) and distress (r = 0.45) were similar to each other and significantly stronger than those with compulsion (r = 0.25) and reassurance seeking (r = 0.24) (Williams' t, all p &lt; 0.001) (Table 4, Figure 4).</w:t>
      </w:r>
    </w:p>
    <w:p>
      <w:pPr>
        <w:spacing w:after="120"/>
        <w:ind w:firstLine="567"/>
        <w:jc w:val="both"/>
      </w:pPr>
      <w:r>
        <w:rPr>
          <w:rFonts w:ascii="Times New Roman" w:hAnsi="Times New Roman"/>
        </w:rPr>
        <w:t>At item level, the CSS items most strongly linked to health anxiety were panicking when reading that a symptom could signal a rare or serious condition (ρ = 0.46), searching whenever an unexplained sensation is noticed (ρ = 0.43) and feeling more anxious after searching (ρ = 0.43). Among SHAI items, fear of serious illness (ρ = 0.39) and interpretation of bodily sensations (ρ = 0.33) correlated most with cyberchondria, whereas simple awareness of bodily sensations and of aches and pains did not (ρ = 0.09 and 0.08, q &gt; 0.10). The more tools and motives participants reported, the higher both scores were, whereas trust in online/AI information was associated only with excessiveness (ρ = 0.19). A full item-by-item analysis of all 168 SHAI × CSS item pairs (Appendix, Figure 9) showed that 111 pairs remained significant after FDR correction and 58 after Holm–Bonferroni correction; the strongest were fear of serious illness with panic on reading about a rare or serious condition (ρ = 0.43), interpreting bodily sensations with searching whenever a sensation is noticed (ρ = 0.42), and difficulty distracting oneself from health thoughts with the same panic item (ρ = 0.41). Simple awareness of aches, pains and bodily sensations (SHAI items 2 and 3) was largely unrelated to any searching behaviour.</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4</w:t>
      </w:r>
      <w:r>
        <w:rPr>
          <w:b/>
          <w:sz w:val="24"/>
        </w:rPr>
        <w:fldChar w:fldCharType="end"/>
      </w:r>
      <w:r>
        <w:rPr>
          <w:b/>
          <w:sz w:val="24"/>
        </w:rPr>
        <w:t xml:space="preserve">. </w:t>
      </w:r>
      <w:r>
        <w:rPr>
          <w:i w:val="0"/>
          <w:sz w:val="24"/>
        </w:rPr>
        <w:t>Correlation between health anxiety (SHAI-14) and cyberchondria (CSS-12) and its dimensions (n = 300)</w:t>
      </w:r>
    </w:p>
    <w:tbl>
      <w:tblPr>
        <w:tblStyle w:val="TableGrid"/>
        <w:tblW w:type="auto" w:w="0"/>
        <w:jc w:val="center"/>
        <w:tblLayout w:type="fixed"/>
        <w:tblLook w:firstColumn="1" w:firstRow="1" w:lastColumn="0" w:lastRow="0" w:noHBand="0" w:noVBand="1" w:val="04A0"/>
        <w:tblLayout w:type="fixed"/>
      </w:tblPr>
      <w:tblGrid>
        <w:gridCol w:w="2551"/>
        <w:gridCol w:w="2268"/>
        <w:gridCol w:w="1361"/>
        <w:gridCol w:w="1134"/>
        <w:gridCol w:w="1361"/>
      </w:tblGrid>
      <w:tr>
        <w:trPr>
          <w:cantSplit/>
        </w:trPr>
        <w:tc>
          <w:tcPr>
            <w:tcW w:type="dxa" w:w="2551"/>
            <w:tcBorders>
              <w:top w:val="single" w:sz="8" w:color="000000"/>
              <w:bottom w:val="single" w:sz="8" w:color="000000"/>
            </w:tcBorders>
          </w:tcPr>
          <w:p>
            <w:pPr>
              <w:spacing w:line="240" w:lineRule="auto" w:after="0"/>
            </w:pPr>
            <w:r/>
            <w:r>
              <w:rPr>
                <w:rFonts w:ascii="Times New Roman" w:hAnsi="Times New Roman"/>
                <w:b/>
                <w:sz w:val="21"/>
              </w:rPr>
              <w:t>Cyberchondria measure</w:t>
            </w:r>
          </w:p>
        </w:tc>
        <w:tc>
          <w:tcPr>
            <w:tcW w:type="dxa" w:w="2268"/>
            <w:tcBorders>
              <w:top w:val="single" w:sz="8" w:color="000000"/>
              <w:bottom w:val="single" w:sz="8" w:color="000000"/>
            </w:tcBorders>
          </w:tcPr>
          <w:p>
            <w:pPr>
              <w:spacing w:line="240" w:lineRule="auto" w:after="0"/>
            </w:pPr>
            <w:r/>
            <w:r>
              <w:rPr>
                <w:rFonts w:ascii="Times New Roman" w:hAnsi="Times New Roman"/>
                <w:b/>
                <w:sz w:val="21"/>
              </w:rPr>
              <w:t>Pearson r (95% CI)</w:t>
            </w:r>
          </w:p>
        </w:tc>
        <w:tc>
          <w:tcPr>
            <w:tcW w:type="dxa" w:w="1361"/>
            <w:tcBorders>
              <w:top w:val="single" w:sz="8" w:color="000000"/>
              <w:bottom w:val="single" w:sz="8" w:color="000000"/>
            </w:tcBorders>
          </w:tcPr>
          <w:p>
            <w:pPr>
              <w:spacing w:line="240" w:lineRule="auto" w:after="0"/>
            </w:pPr>
            <w:r/>
            <w:r>
              <w:rPr>
                <w:rFonts w:ascii="Times New Roman" w:hAnsi="Times New Roman"/>
                <w:b/>
                <w:sz w:val="21"/>
              </w:rPr>
              <w:t>Spearman ρ</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p</w:t>
            </w:r>
          </w:p>
        </w:tc>
        <w:tc>
          <w:tcPr>
            <w:tcW w:type="dxa" w:w="1361"/>
            <w:tcBorders>
              <w:top w:val="single" w:sz="8" w:color="000000"/>
              <w:bottom w:val="single" w:sz="8" w:color="000000"/>
            </w:tcBorders>
          </w:tcPr>
          <w:p>
            <w:pPr>
              <w:spacing w:line="240" w:lineRule="auto" w:after="0"/>
            </w:pPr>
            <w:r/>
            <w:r>
              <w:rPr>
                <w:rFonts w:ascii="Times New Roman" w:hAnsi="Times New Roman"/>
                <w:b/>
                <w:sz w:val="21"/>
              </w:rPr>
              <w:t>Adjusted β</w:t>
            </w:r>
          </w:p>
        </w:tc>
      </w:tr>
      <w:tr>
        <w:trPr>
          <w:cantSplit/>
        </w:trPr>
        <w:tc>
          <w:tcPr>
            <w:tcW w:type="dxa" w:w="2551"/>
          </w:tcPr>
          <w:p>
            <w:pPr>
              <w:spacing w:line="240" w:lineRule="auto" w:after="0"/>
            </w:pPr>
            <w:r/>
            <w:r>
              <w:rPr>
                <w:rFonts w:ascii="Times New Roman" w:hAnsi="Times New Roman"/>
                <w:b w:val="0"/>
                <w:sz w:val="21"/>
              </w:rPr>
              <w:t>CSS-12 total</w:t>
            </w:r>
          </w:p>
        </w:tc>
        <w:tc>
          <w:tcPr>
            <w:tcW w:type="dxa" w:w="2268"/>
          </w:tcPr>
          <w:p>
            <w:pPr>
              <w:spacing w:line="240" w:lineRule="auto" w:after="0"/>
            </w:pPr>
            <w:r/>
            <w:r>
              <w:rPr>
                <w:rFonts w:ascii="Times New Roman" w:hAnsi="Times New Roman"/>
                <w:b w:val="0"/>
                <w:sz w:val="21"/>
              </w:rPr>
              <w:t>0.47 (0.38–0.55)</w:t>
            </w:r>
          </w:p>
        </w:tc>
        <w:tc>
          <w:tcPr>
            <w:tcW w:type="dxa" w:w="1361"/>
          </w:tcPr>
          <w:p>
            <w:pPr>
              <w:spacing w:line="240" w:lineRule="auto" w:after="0"/>
            </w:pPr>
            <w:r/>
            <w:r>
              <w:rPr>
                <w:rFonts w:ascii="Times New Roman" w:hAnsi="Times New Roman"/>
                <w:b w:val="0"/>
                <w:sz w:val="21"/>
              </w:rPr>
              <w:t>0.47</w:t>
            </w:r>
          </w:p>
        </w:tc>
        <w:tc>
          <w:tcPr>
            <w:tcW w:type="dxa" w:w="1134"/>
          </w:tcPr>
          <w:p>
            <w:pPr>
              <w:spacing w:line="240" w:lineRule="auto" w:after="0"/>
            </w:pPr>
            <w:r/>
            <w:r>
              <w:rPr>
                <w:rFonts w:ascii="Times New Roman" w:hAnsi="Times New Roman"/>
                <w:b w:val="0"/>
                <w:sz w:val="21"/>
              </w:rPr>
              <w:t>&lt;0.001</w:t>
            </w:r>
          </w:p>
        </w:tc>
        <w:tc>
          <w:tcPr>
            <w:tcW w:type="dxa" w:w="1361"/>
          </w:tcPr>
          <w:p>
            <w:pPr>
              <w:spacing w:line="240" w:lineRule="auto" w:after="0"/>
            </w:pPr>
            <w:r/>
            <w:r>
              <w:rPr>
                <w:rFonts w:ascii="Times New Roman" w:hAnsi="Times New Roman"/>
                <w:b w:val="0"/>
                <w:sz w:val="21"/>
              </w:rPr>
              <w:t>0.48</w:t>
            </w:r>
          </w:p>
        </w:tc>
      </w:tr>
      <w:tr>
        <w:trPr>
          <w:cantSplit/>
        </w:trPr>
        <w:tc>
          <w:tcPr>
            <w:tcW w:type="dxa" w:w="2551"/>
          </w:tcPr>
          <w:p>
            <w:pPr>
              <w:spacing w:line="240" w:lineRule="auto" w:after="0"/>
            </w:pPr>
            <w:r/>
            <w:r>
              <w:rPr>
                <w:rFonts w:ascii="Times New Roman" w:hAnsi="Times New Roman"/>
                <w:b w:val="0"/>
                <w:sz w:val="21"/>
              </w:rPr>
              <w:t>Excessiveness</w:t>
            </w:r>
          </w:p>
        </w:tc>
        <w:tc>
          <w:tcPr>
            <w:tcW w:type="dxa" w:w="2268"/>
          </w:tcPr>
          <w:p>
            <w:pPr>
              <w:spacing w:line="240" w:lineRule="auto" w:after="0"/>
            </w:pPr>
            <w:r/>
            <w:r>
              <w:rPr>
                <w:rFonts w:ascii="Times New Roman" w:hAnsi="Times New Roman"/>
                <w:b w:val="0"/>
                <w:sz w:val="21"/>
              </w:rPr>
              <w:t>0.46 (0.37–0.55)</w:t>
            </w:r>
          </w:p>
        </w:tc>
        <w:tc>
          <w:tcPr>
            <w:tcW w:type="dxa" w:w="1361"/>
          </w:tcPr>
          <w:p>
            <w:pPr>
              <w:spacing w:line="240" w:lineRule="auto" w:after="0"/>
            </w:pPr>
            <w:r/>
            <w:r>
              <w:rPr>
                <w:rFonts w:ascii="Times New Roman" w:hAnsi="Times New Roman"/>
                <w:b w:val="0"/>
                <w:sz w:val="21"/>
              </w:rPr>
              <w:t>0.45</w:t>
            </w:r>
          </w:p>
        </w:tc>
        <w:tc>
          <w:tcPr>
            <w:tcW w:type="dxa" w:w="1134"/>
          </w:tcPr>
          <w:p>
            <w:pPr>
              <w:spacing w:line="240" w:lineRule="auto" w:after="0"/>
            </w:pPr>
            <w:r/>
            <w:r>
              <w:rPr>
                <w:rFonts w:ascii="Times New Roman" w:hAnsi="Times New Roman"/>
                <w:b w:val="0"/>
                <w:sz w:val="21"/>
              </w:rPr>
              <w:t>&lt;0.001</w:t>
            </w:r>
          </w:p>
        </w:tc>
        <w:tc>
          <w:tcPr>
            <w:tcW w:type="dxa" w:w="1361"/>
          </w:tcPr>
          <w:p>
            <w:pPr>
              <w:spacing w:line="240" w:lineRule="auto" w:after="0"/>
            </w:pPr>
            <w:r/>
            <w:r>
              <w:rPr>
                <w:rFonts w:ascii="Times New Roman" w:hAnsi="Times New Roman"/>
                <w:b w:val="0"/>
                <w:sz w:val="21"/>
              </w:rPr>
              <w:t>0.44</w:t>
            </w:r>
          </w:p>
        </w:tc>
      </w:tr>
      <w:tr>
        <w:trPr>
          <w:cantSplit/>
        </w:trPr>
        <w:tc>
          <w:tcPr>
            <w:tcW w:type="dxa" w:w="2551"/>
          </w:tcPr>
          <w:p>
            <w:pPr>
              <w:spacing w:line="240" w:lineRule="auto" w:after="0"/>
            </w:pPr>
            <w:r/>
            <w:r>
              <w:rPr>
                <w:rFonts w:ascii="Times New Roman" w:hAnsi="Times New Roman"/>
                <w:b w:val="0"/>
                <w:sz w:val="21"/>
              </w:rPr>
              <w:t>Compulsion</w:t>
            </w:r>
          </w:p>
        </w:tc>
        <w:tc>
          <w:tcPr>
            <w:tcW w:type="dxa" w:w="2268"/>
          </w:tcPr>
          <w:p>
            <w:pPr>
              <w:spacing w:line="240" w:lineRule="auto" w:after="0"/>
            </w:pPr>
            <w:r/>
            <w:r>
              <w:rPr>
                <w:rFonts w:ascii="Times New Roman" w:hAnsi="Times New Roman"/>
                <w:b w:val="0"/>
                <w:sz w:val="21"/>
              </w:rPr>
              <w:t>0.25 (0.14–0.36)</w:t>
            </w:r>
          </w:p>
        </w:tc>
        <w:tc>
          <w:tcPr>
            <w:tcW w:type="dxa" w:w="1361"/>
          </w:tcPr>
          <w:p>
            <w:pPr>
              <w:spacing w:line="240" w:lineRule="auto" w:after="0"/>
            </w:pPr>
            <w:r/>
            <w:r>
              <w:rPr>
                <w:rFonts w:ascii="Times New Roman" w:hAnsi="Times New Roman"/>
                <w:b w:val="0"/>
                <w:sz w:val="21"/>
              </w:rPr>
              <w:t>0.32</w:t>
            </w:r>
          </w:p>
        </w:tc>
        <w:tc>
          <w:tcPr>
            <w:tcW w:type="dxa" w:w="1134"/>
          </w:tcPr>
          <w:p>
            <w:pPr>
              <w:spacing w:line="240" w:lineRule="auto" w:after="0"/>
            </w:pPr>
            <w:r/>
            <w:r>
              <w:rPr>
                <w:rFonts w:ascii="Times New Roman" w:hAnsi="Times New Roman"/>
                <w:b w:val="0"/>
                <w:sz w:val="21"/>
              </w:rPr>
              <w:t>&lt;0.001</w:t>
            </w:r>
          </w:p>
        </w:tc>
        <w:tc>
          <w:tcPr>
            <w:tcW w:type="dxa" w:w="1361"/>
          </w:tcPr>
          <w:p>
            <w:pPr>
              <w:spacing w:line="240" w:lineRule="auto" w:after="0"/>
            </w:pPr>
            <w:r/>
            <w:r>
              <w:rPr>
                <w:rFonts w:ascii="Times New Roman" w:hAnsi="Times New Roman"/>
                <w:b w:val="0"/>
                <w:sz w:val="21"/>
              </w:rPr>
              <w:t>0.29</w:t>
            </w:r>
          </w:p>
        </w:tc>
      </w:tr>
      <w:tr>
        <w:trPr>
          <w:cantSplit/>
        </w:trPr>
        <w:tc>
          <w:tcPr>
            <w:tcW w:type="dxa" w:w="2551"/>
          </w:tcPr>
          <w:p>
            <w:pPr>
              <w:spacing w:line="240" w:lineRule="auto" w:after="0"/>
            </w:pPr>
            <w:r/>
            <w:r>
              <w:rPr>
                <w:rFonts w:ascii="Times New Roman" w:hAnsi="Times New Roman"/>
                <w:b w:val="0"/>
                <w:sz w:val="21"/>
              </w:rPr>
              <w:t>Distress</w:t>
            </w:r>
          </w:p>
        </w:tc>
        <w:tc>
          <w:tcPr>
            <w:tcW w:type="dxa" w:w="2268"/>
          </w:tcPr>
          <w:p>
            <w:pPr>
              <w:spacing w:line="240" w:lineRule="auto" w:after="0"/>
            </w:pPr>
            <w:r/>
            <w:r>
              <w:rPr>
                <w:rFonts w:ascii="Times New Roman" w:hAnsi="Times New Roman"/>
                <w:b w:val="0"/>
                <w:sz w:val="21"/>
              </w:rPr>
              <w:t>0.45 (0.36–0.54)</w:t>
            </w:r>
          </w:p>
        </w:tc>
        <w:tc>
          <w:tcPr>
            <w:tcW w:type="dxa" w:w="1361"/>
          </w:tcPr>
          <w:p>
            <w:pPr>
              <w:spacing w:line="240" w:lineRule="auto" w:after="0"/>
            </w:pPr>
            <w:r/>
            <w:r>
              <w:rPr>
                <w:rFonts w:ascii="Times New Roman" w:hAnsi="Times New Roman"/>
                <w:b w:val="0"/>
                <w:sz w:val="21"/>
              </w:rPr>
              <w:t>0.44</w:t>
            </w:r>
          </w:p>
        </w:tc>
        <w:tc>
          <w:tcPr>
            <w:tcW w:type="dxa" w:w="1134"/>
          </w:tcPr>
          <w:p>
            <w:pPr>
              <w:spacing w:line="240" w:lineRule="auto" w:after="0"/>
            </w:pPr>
            <w:r/>
            <w:r>
              <w:rPr>
                <w:rFonts w:ascii="Times New Roman" w:hAnsi="Times New Roman"/>
                <w:b w:val="0"/>
                <w:sz w:val="21"/>
              </w:rPr>
              <w:t>&lt;0.001</w:t>
            </w:r>
          </w:p>
        </w:tc>
        <w:tc>
          <w:tcPr>
            <w:tcW w:type="dxa" w:w="1361"/>
          </w:tcPr>
          <w:p>
            <w:pPr>
              <w:spacing w:line="240" w:lineRule="auto" w:after="0"/>
            </w:pPr>
            <w:r/>
            <w:r>
              <w:rPr>
                <w:rFonts w:ascii="Times New Roman" w:hAnsi="Times New Roman"/>
                <w:b w:val="0"/>
                <w:sz w:val="21"/>
              </w:rPr>
              <w:t>0.44</w:t>
            </w:r>
          </w:p>
        </w:tc>
      </w:tr>
      <w:tr>
        <w:trPr>
          <w:cantSplit/>
        </w:trPr>
        <w:tc>
          <w:tcPr>
            <w:tcW w:type="dxa" w:w="2551"/>
            <w:tcBorders>
              <w:bottom w:val="single" w:sz="8" w:color="000000"/>
            </w:tcBorders>
          </w:tcPr>
          <w:p>
            <w:pPr>
              <w:spacing w:line="240" w:lineRule="auto" w:after="0"/>
            </w:pPr>
            <w:r/>
            <w:r>
              <w:rPr>
                <w:rFonts w:ascii="Times New Roman" w:hAnsi="Times New Roman"/>
                <w:b w:val="0"/>
                <w:sz w:val="21"/>
              </w:rPr>
              <w:t>Reassurance</w:t>
            </w:r>
          </w:p>
        </w:tc>
        <w:tc>
          <w:tcPr>
            <w:tcW w:type="dxa" w:w="2268"/>
            <w:tcBorders>
              <w:bottom w:val="single" w:sz="8" w:color="000000"/>
            </w:tcBorders>
          </w:tcPr>
          <w:p>
            <w:pPr>
              <w:spacing w:line="240" w:lineRule="auto" w:after="0"/>
            </w:pPr>
            <w:r/>
            <w:r>
              <w:rPr>
                <w:rFonts w:ascii="Times New Roman" w:hAnsi="Times New Roman"/>
                <w:b w:val="0"/>
                <w:sz w:val="21"/>
              </w:rPr>
              <w:t>0.24 (0.13–0.35)</w:t>
            </w:r>
          </w:p>
        </w:tc>
        <w:tc>
          <w:tcPr>
            <w:tcW w:type="dxa" w:w="1361"/>
            <w:tcBorders>
              <w:bottom w:val="single" w:sz="8" w:color="000000"/>
            </w:tcBorders>
          </w:tcPr>
          <w:p>
            <w:pPr>
              <w:spacing w:line="240" w:lineRule="auto" w:after="0"/>
            </w:pPr>
            <w:r/>
            <w:r>
              <w:rPr>
                <w:rFonts w:ascii="Times New Roman" w:hAnsi="Times New Roman"/>
                <w:b w:val="0"/>
                <w:sz w:val="21"/>
              </w:rPr>
              <w:t>0.23</w:t>
            </w:r>
          </w:p>
        </w:tc>
        <w:tc>
          <w:tcPr>
            <w:tcW w:type="dxa" w:w="1134"/>
            <w:tcBorders>
              <w:bottom w:val="single" w:sz="8" w:color="000000"/>
            </w:tcBorders>
          </w:tcPr>
          <w:p>
            <w:pPr>
              <w:spacing w:line="240" w:lineRule="auto" w:after="0"/>
            </w:pPr>
            <w:r/>
            <w:r>
              <w:rPr>
                <w:rFonts w:ascii="Times New Roman" w:hAnsi="Times New Roman"/>
                <w:b w:val="0"/>
                <w:sz w:val="21"/>
              </w:rPr>
              <w:t>&lt;0.001</w:t>
            </w:r>
          </w:p>
        </w:tc>
        <w:tc>
          <w:tcPr>
            <w:tcW w:type="dxa" w:w="1361"/>
            <w:tcBorders>
              <w:bottom w:val="single" w:sz="8" w:color="000000"/>
            </w:tcBorders>
          </w:tcPr>
          <w:p>
            <w:pPr>
              <w:spacing w:line="240" w:lineRule="auto" w:after="0"/>
            </w:pPr>
            <w:r/>
            <w:r>
              <w:rPr>
                <w:rFonts w:ascii="Times New Roman" w:hAnsi="Times New Roman"/>
                <w:b w:val="0"/>
                <w:sz w:val="21"/>
              </w:rPr>
              <w:t>0.25</w:t>
            </w:r>
          </w:p>
        </w:tc>
      </w:tr>
    </w:tbl>
    <w:p>
      <w:pPr>
        <w:spacing w:line="240" w:lineRule="auto" w:after="200"/>
      </w:pPr>
      <w:r>
        <w:rPr>
          <w:rFonts w:ascii="Times New Roman" w:hAnsi="Times New Roman"/>
          <w:sz w:val="19"/>
        </w:rPr>
        <w:t>Adjusted β: standardised coefficient of SHAI from robust OLS models adjusted for age, gender, occupation, chronic disease, language, tools, trust and motives. Excessiveness and Distress correlations were each significantly stronger than Compulsion and Reassurance (Williams' t, p &lt; 0.001); they did not differ from each other (p = 0.81).</w:t>
      </w:r>
    </w:p>
    <w:p>
      <w:pPr>
        <w:keepNext/>
        <w:jc w:val="center"/>
      </w:pPr>
      <w:r>
        <w:drawing>
          <wp:inline xmlns:a="http://schemas.openxmlformats.org/drawingml/2006/main" xmlns:pic="http://schemas.openxmlformats.org/drawingml/2006/picture">
            <wp:extent cx="4680000" cy="3340877"/>
            <wp:docPr id="3" name="Picture 3"/>
            <wp:cNvGraphicFramePr>
              <a:graphicFrameLocks noChangeAspect="1"/>
            </wp:cNvGraphicFramePr>
            <a:graphic>
              <a:graphicData uri="http://schemas.openxmlformats.org/drawingml/2006/picture">
                <pic:pic>
                  <pic:nvPicPr>
                    <pic:cNvPr id="0" name="fig1_scatter_shai_css.png"/>
                    <pic:cNvPicPr/>
                  </pic:nvPicPr>
                  <pic:blipFill>
                    <a:blip r:embed="rId11"/>
                    <a:stretch>
                      <a:fillRect/>
                    </a:stretch>
                  </pic:blipFill>
                  <pic:spPr>
                    <a:xfrm>
                      <a:off x="0" y="0"/>
                      <a:ext cx="4680000" cy="3340877"/>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3</w:t>
      </w:r>
      <w:r>
        <w:rPr>
          <w:b/>
          <w:sz w:val="24"/>
        </w:rPr>
        <w:fldChar w:fldCharType="end"/>
      </w:r>
      <w:r>
        <w:rPr>
          <w:b/>
          <w:sz w:val="24"/>
        </w:rPr>
        <w:t xml:space="preserve">. </w:t>
      </w:r>
      <w:r>
        <w:rPr>
          <w:i/>
          <w:sz w:val="24"/>
        </w:rPr>
        <w:t>Scatter plot of health anxiety (SHAI-14) against cyberchondria (CSS-12) with the least-squares line and 95% confidence band (n = 300; points slightly jittered).</w:t>
      </w:r>
    </w:p>
    <w:p>
      <w:pPr>
        <w:keepNext/>
        <w:jc w:val="center"/>
      </w:pPr>
      <w:r>
        <w:drawing>
          <wp:inline xmlns:a="http://schemas.openxmlformats.org/drawingml/2006/main" xmlns:pic="http://schemas.openxmlformats.org/drawingml/2006/picture">
            <wp:extent cx="5040000" cy="4601739"/>
            <wp:docPr id="4" name="Picture 4"/>
            <wp:cNvGraphicFramePr>
              <a:graphicFrameLocks noChangeAspect="1"/>
            </wp:cNvGraphicFramePr>
            <a:graphic>
              <a:graphicData uri="http://schemas.openxmlformats.org/drawingml/2006/picture">
                <pic:pic>
                  <pic:nvPicPr>
                    <pic:cNvPr id="0" name="fig4_corr_heatmap.png"/>
                    <pic:cNvPicPr/>
                  </pic:nvPicPr>
                  <pic:blipFill>
                    <a:blip r:embed="rId12"/>
                    <a:stretch>
                      <a:fillRect/>
                    </a:stretch>
                  </pic:blipFill>
                  <pic:spPr>
                    <a:xfrm>
                      <a:off x="0" y="0"/>
                      <a:ext cx="5040000" cy="4601739"/>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4</w:t>
      </w:r>
      <w:r>
        <w:rPr>
          <w:b/>
          <w:sz w:val="24"/>
        </w:rPr>
        <w:fldChar w:fldCharType="end"/>
      </w:r>
      <w:r>
        <w:rPr>
          <w:b/>
          <w:sz w:val="24"/>
        </w:rPr>
        <w:t xml:space="preserve">. </w:t>
      </w:r>
      <w:r>
        <w:rPr>
          <w:i/>
          <w:sz w:val="24"/>
        </w:rPr>
        <w:t>Spearman correlation matrix of health anxiety, cyberchondria and its dimensions, trust in online/AI information, number of tools, number of motives and age group (FDR-adjusted significance).</w:t>
      </w:r>
    </w:p>
    <w:p>
      <w:pPr>
        <w:pStyle w:val="Heading2"/>
      </w:pPr>
      <w:r>
        <w:t>3.6 Factors associated with health anxiety and cyberchondria (bivariate analysis)</w:t>
      </w:r>
    </w:p>
    <w:p>
      <w:pPr>
        <w:spacing w:after="120"/>
        <w:ind w:firstLine="567"/>
        <w:jc w:val="both"/>
      </w:pPr>
      <w:r>
        <w:rPr>
          <w:rFonts w:ascii="Times New Roman" w:hAnsi="Times New Roman"/>
        </w:rPr>
        <w:t>Every variable was tested against SHAI, CSS and each CSS dimension (162 tests; full results in the supplementary workbook). Table 5 summarises the main comparisons. Health anxiety tended to be higher in younger participants (18–19 years: 14.00 ± 5.49 vs 30–39 years: 10.19 ± 6.37; p = 0.008, q = 0.051), in current students (p = 0.002), in medical students compared with non-health employees (Kruskal–Wallis p = 0.005; Holm-adjusted pairwise p = 0.004), in those with a chronic condition (p = 0.004, q = 0.028), in social-media users (p = 0.001, q = 0.016) and, most clearly, in those whose motive was to obtain instant reassurance (13.76 ± 5.65 vs 10.88 ± 5.65; p &lt; 0.001, q = 0.002). The age difference was borderline after FDR correction (q ≈ 0.05) and is treated as exploratory. Gender was not associated with either health anxiety (p = 0.378) or cyberchondria (p = 0.859).</w:t>
      </w:r>
    </w:p>
    <w:p>
      <w:pPr>
        <w:spacing w:after="120"/>
        <w:ind w:firstLine="567"/>
        <w:jc w:val="both"/>
      </w:pPr>
      <w:r>
        <w:rPr>
          <w:rFonts w:ascii="Times New Roman" w:hAnsi="Times New Roman"/>
        </w:rPr>
        <w:t>Cyberchondria was higher among AI-chatbot users than non-users (29.49 ± 8.21 vs 23.97 ± 8.05; p &lt; 0.001, rank-biserial r = 0.38, q = 0.005) and differed by tool profile, rising from non-AI users to those who used AI alone and was highest in those who combined AI with search engines (p &lt; 0.001; Figure 5). Of the CSS dimensions, AI use was linked with excessiveness and reassurance seeking but not with compulsion. Among chatbot users, the specific chatbot (ChatGPT, Gemini or Claude) made no difference to cyberchondria (p = 0.726). Participants who delayed care because online information terrified them had higher scores on every measure, particularly distress (p &lt; 0.001), whereas those who decided to ignore the symptom had lower cyberchondria (p = 0.003). Participants who reported urgent visits had higher reassurance-seeking scores (p = 0.002).</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5</w:t>
      </w:r>
      <w:r>
        <w:rPr>
          <w:b/>
          <w:sz w:val="24"/>
        </w:rPr>
        <w:fldChar w:fldCharType="end"/>
      </w:r>
      <w:r>
        <w:rPr>
          <w:b/>
          <w:sz w:val="24"/>
        </w:rPr>
        <w:t xml:space="preserve">. </w:t>
      </w:r>
      <w:r>
        <w:rPr>
          <w:i w:val="0"/>
          <w:sz w:val="24"/>
        </w:rPr>
        <w:t>Health anxiety (SHAI-14) and cyberchondria (CSS-12) scores by participant characteristics (n = 300)</w:t>
      </w:r>
    </w:p>
    <w:tbl>
      <w:tblPr>
        <w:tblStyle w:val="TableGrid"/>
        <w:tblW w:type="auto" w:w="0"/>
        <w:jc w:val="center"/>
        <w:tblLayout w:type="fixed"/>
        <w:tblLook w:firstColumn="1" w:firstRow="1" w:lastColumn="0" w:lastRow="0" w:noHBand="0" w:noVBand="1" w:val="04A0"/>
        <w:tblLayout w:type="fixed"/>
      </w:tblPr>
      <w:tblGrid>
        <w:gridCol w:w="2948"/>
        <w:gridCol w:w="680"/>
        <w:gridCol w:w="1587"/>
        <w:gridCol w:w="1361"/>
        <w:gridCol w:w="1587"/>
        <w:gridCol w:w="1361"/>
      </w:tblGrid>
      <w:tr>
        <w:trPr>
          <w:cantSplit/>
        </w:trPr>
        <w:tc>
          <w:tcPr>
            <w:tcW w:type="dxa" w:w="2948"/>
            <w:tcBorders>
              <w:top w:val="single" w:sz="8" w:color="000000"/>
              <w:bottom w:val="single" w:sz="8" w:color="000000"/>
            </w:tcBorders>
          </w:tcPr>
          <w:p>
            <w:pPr>
              <w:spacing w:line="240" w:lineRule="auto" w:after="0"/>
            </w:pPr>
            <w:r/>
            <w:r>
              <w:rPr>
                <w:rFonts w:ascii="Times New Roman" w:hAnsi="Times New Roman"/>
                <w:b/>
                <w:sz w:val="20"/>
              </w:rPr>
              <w:t>Variable</w:t>
            </w:r>
          </w:p>
        </w:tc>
        <w:tc>
          <w:tcPr>
            <w:tcW w:type="dxa" w:w="680"/>
            <w:tcBorders>
              <w:top w:val="single" w:sz="8" w:color="000000"/>
              <w:bottom w:val="single" w:sz="8" w:color="000000"/>
            </w:tcBorders>
          </w:tcPr>
          <w:p>
            <w:pPr>
              <w:spacing w:line="240" w:lineRule="auto" w:after="0"/>
            </w:pPr>
            <w:r/>
            <w:r>
              <w:rPr>
                <w:rFonts w:ascii="Times New Roman" w:hAnsi="Times New Roman"/>
                <w:b/>
                <w:sz w:val="20"/>
              </w:rPr>
              <w:t>n</w:t>
            </w:r>
          </w:p>
        </w:tc>
        <w:tc>
          <w:tcPr>
            <w:tcW w:type="dxa" w:w="1587"/>
            <w:tcBorders>
              <w:top w:val="single" w:sz="8" w:color="000000"/>
              <w:bottom w:val="single" w:sz="8" w:color="000000"/>
            </w:tcBorders>
          </w:tcPr>
          <w:p>
            <w:pPr>
              <w:spacing w:line="240" w:lineRule="auto" w:after="0"/>
            </w:pPr>
            <w:r/>
            <w:r>
              <w:rPr>
                <w:rFonts w:ascii="Times New Roman" w:hAnsi="Times New Roman"/>
                <w:b/>
                <w:sz w:val="20"/>
              </w:rPr>
              <w:t>SHAI mean ± SD</w:t>
            </w:r>
          </w:p>
        </w:tc>
        <w:tc>
          <w:tcPr>
            <w:tcW w:type="dxa" w:w="1361"/>
            <w:tcBorders>
              <w:top w:val="single" w:sz="8" w:color="000000"/>
              <w:bottom w:val="single" w:sz="8" w:color="000000"/>
            </w:tcBorders>
          </w:tcPr>
          <w:p>
            <w:pPr>
              <w:spacing w:line="240" w:lineRule="auto" w:after="0"/>
            </w:pPr>
            <w:r/>
            <w:r>
              <w:rPr>
                <w:rFonts w:ascii="Times New Roman" w:hAnsi="Times New Roman"/>
                <w:b/>
                <w:sz w:val="20"/>
              </w:rPr>
              <w:t>p (q)</w:t>
            </w:r>
          </w:p>
        </w:tc>
        <w:tc>
          <w:tcPr>
            <w:tcW w:type="dxa" w:w="1587"/>
            <w:tcBorders>
              <w:top w:val="single" w:sz="8" w:color="000000"/>
              <w:bottom w:val="single" w:sz="8" w:color="000000"/>
            </w:tcBorders>
          </w:tcPr>
          <w:p>
            <w:pPr>
              <w:spacing w:line="240" w:lineRule="auto" w:after="0"/>
            </w:pPr>
            <w:r/>
            <w:r>
              <w:rPr>
                <w:rFonts w:ascii="Times New Roman" w:hAnsi="Times New Roman"/>
                <w:b/>
                <w:sz w:val="20"/>
              </w:rPr>
              <w:t>CSS mean ± SD</w:t>
            </w:r>
          </w:p>
        </w:tc>
        <w:tc>
          <w:tcPr>
            <w:tcW w:type="dxa" w:w="1361"/>
            <w:tcBorders>
              <w:top w:val="single" w:sz="8" w:color="000000"/>
              <w:bottom w:val="single" w:sz="8" w:color="000000"/>
            </w:tcBorders>
          </w:tcPr>
          <w:p>
            <w:pPr>
              <w:spacing w:line="240" w:lineRule="auto" w:after="0"/>
            </w:pPr>
            <w:r/>
            <w:r>
              <w:rPr>
                <w:rFonts w:ascii="Times New Roman" w:hAnsi="Times New Roman"/>
                <w:b/>
                <w:sz w:val="20"/>
              </w:rPr>
              <w:t>p (q)</w:t>
            </w:r>
          </w:p>
        </w:tc>
      </w:tr>
      <w:tr>
        <w:trPr>
          <w:cantSplit/>
        </w:trPr>
        <w:tc>
          <w:tcPr>
            <w:tcW w:type="dxa" w:w="2948"/>
          </w:tcPr>
          <w:p>
            <w:pPr>
              <w:spacing w:line="240" w:lineRule="auto" w:after="0"/>
            </w:pPr>
            <w:r/>
            <w:r>
              <w:rPr>
                <w:rFonts w:ascii="Times New Roman" w:hAnsi="Times New Roman"/>
                <w:b/>
                <w:sz w:val="20"/>
              </w:rPr>
              <w:t>Age group</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0.008 (0.051)</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0.288 (0.505)</w:t>
            </w:r>
          </w:p>
        </w:tc>
      </w:tr>
      <w:tr>
        <w:trPr>
          <w:cantSplit/>
        </w:trPr>
        <w:tc>
          <w:tcPr>
            <w:tcW w:type="dxa" w:w="2948"/>
          </w:tcPr>
          <w:p>
            <w:pPr>
              <w:spacing w:line="240" w:lineRule="auto" w:after="0"/>
            </w:pPr>
            <w:r/>
            <w:r>
              <w:rPr>
                <w:rFonts w:ascii="Times New Roman" w:hAnsi="Times New Roman"/>
                <w:b w:val="0"/>
                <w:sz w:val="20"/>
              </w:rPr>
              <w:t xml:space="preserve">    18-19</w:t>
            </w:r>
          </w:p>
        </w:tc>
        <w:tc>
          <w:tcPr>
            <w:tcW w:type="dxa" w:w="680"/>
          </w:tcPr>
          <w:p>
            <w:pPr>
              <w:spacing w:line="240" w:lineRule="auto" w:after="0"/>
            </w:pPr>
            <w:r/>
            <w:r>
              <w:rPr>
                <w:rFonts w:ascii="Times New Roman" w:hAnsi="Times New Roman"/>
                <w:b w:val="0"/>
                <w:sz w:val="20"/>
              </w:rPr>
              <w:t>56</w:t>
            </w:r>
          </w:p>
        </w:tc>
        <w:tc>
          <w:tcPr>
            <w:tcW w:type="dxa" w:w="1587"/>
          </w:tcPr>
          <w:p>
            <w:pPr>
              <w:spacing w:line="240" w:lineRule="auto" w:after="0"/>
            </w:pPr>
            <w:r/>
            <w:r>
              <w:rPr>
                <w:rFonts w:ascii="Times New Roman" w:hAnsi="Times New Roman"/>
                <w:b w:val="0"/>
                <w:sz w:val="20"/>
              </w:rPr>
              <w:t>14.0 ± 5.5</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28.6 ± 8.1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20-29</w:t>
            </w:r>
          </w:p>
        </w:tc>
        <w:tc>
          <w:tcPr>
            <w:tcW w:type="dxa" w:w="680"/>
          </w:tcPr>
          <w:p>
            <w:pPr>
              <w:spacing w:line="240" w:lineRule="auto" w:after="0"/>
            </w:pPr>
            <w:r/>
            <w:r>
              <w:rPr>
                <w:rFonts w:ascii="Times New Roman" w:hAnsi="Times New Roman"/>
                <w:b w:val="0"/>
                <w:sz w:val="20"/>
              </w:rPr>
              <w:t>187</w:t>
            </w:r>
          </w:p>
        </w:tc>
        <w:tc>
          <w:tcPr>
            <w:tcW w:type="dxa" w:w="1587"/>
          </w:tcPr>
          <w:p>
            <w:pPr>
              <w:spacing w:line="240" w:lineRule="auto" w:after="0"/>
            </w:pPr>
            <w:r/>
            <w:r>
              <w:rPr>
                <w:rFonts w:ascii="Times New Roman" w:hAnsi="Times New Roman"/>
                <w:b w:val="0"/>
                <w:sz w:val="20"/>
              </w:rPr>
              <w:t>12.4 ± 5.8</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28.4 ± 8.0</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30-39</w:t>
            </w:r>
          </w:p>
        </w:tc>
        <w:tc>
          <w:tcPr>
            <w:tcW w:type="dxa" w:w="680"/>
          </w:tcPr>
          <w:p>
            <w:pPr>
              <w:spacing w:line="240" w:lineRule="auto" w:after="0"/>
            </w:pPr>
            <w:r/>
            <w:r>
              <w:rPr>
                <w:rFonts w:ascii="Times New Roman" w:hAnsi="Times New Roman"/>
                <w:b w:val="0"/>
                <w:sz w:val="20"/>
              </w:rPr>
              <w:t>21</w:t>
            </w:r>
          </w:p>
        </w:tc>
        <w:tc>
          <w:tcPr>
            <w:tcW w:type="dxa" w:w="1587"/>
          </w:tcPr>
          <w:p>
            <w:pPr>
              <w:spacing w:line="240" w:lineRule="auto" w:after="0"/>
            </w:pPr>
            <w:r/>
            <w:r>
              <w:rPr>
                <w:rFonts w:ascii="Times New Roman" w:hAnsi="Times New Roman"/>
                <w:b w:val="0"/>
                <w:sz w:val="20"/>
              </w:rPr>
              <w:t>10.2 ± 6.4</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32.5 ± 11.3</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≥40</w:t>
            </w:r>
          </w:p>
        </w:tc>
        <w:tc>
          <w:tcPr>
            <w:tcW w:type="dxa" w:w="680"/>
          </w:tcPr>
          <w:p>
            <w:pPr>
              <w:spacing w:line="240" w:lineRule="auto" w:after="0"/>
            </w:pPr>
            <w:r/>
            <w:r>
              <w:rPr>
                <w:rFonts w:ascii="Times New Roman" w:hAnsi="Times New Roman"/>
                <w:b w:val="0"/>
                <w:sz w:val="20"/>
              </w:rPr>
              <w:t>36</w:t>
            </w:r>
          </w:p>
        </w:tc>
        <w:tc>
          <w:tcPr>
            <w:tcW w:type="dxa" w:w="1587"/>
          </w:tcPr>
          <w:p>
            <w:pPr>
              <w:spacing w:line="240" w:lineRule="auto" w:after="0"/>
            </w:pPr>
            <w:r/>
            <w:r>
              <w:rPr>
                <w:rFonts w:ascii="Times New Roman" w:hAnsi="Times New Roman"/>
                <w:b w:val="0"/>
                <w:sz w:val="20"/>
              </w:rPr>
              <w:t>11.0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29.7 ± 8.2</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Gender</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0.378 (0.589)</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0.859 (0.918)</w:t>
            </w:r>
          </w:p>
        </w:tc>
      </w:tr>
      <w:tr>
        <w:trPr>
          <w:cantSplit/>
        </w:trPr>
        <w:tc>
          <w:tcPr>
            <w:tcW w:type="dxa" w:w="2948"/>
          </w:tcPr>
          <w:p>
            <w:pPr>
              <w:spacing w:line="240" w:lineRule="auto" w:after="0"/>
            </w:pPr>
            <w:r/>
            <w:r>
              <w:rPr>
                <w:rFonts w:ascii="Times New Roman" w:hAnsi="Times New Roman"/>
                <w:b w:val="0"/>
                <w:sz w:val="20"/>
              </w:rPr>
              <w:t xml:space="preserve">    Female</w:t>
            </w:r>
          </w:p>
        </w:tc>
        <w:tc>
          <w:tcPr>
            <w:tcW w:type="dxa" w:w="680"/>
          </w:tcPr>
          <w:p>
            <w:pPr>
              <w:spacing w:line="240" w:lineRule="auto" w:after="0"/>
            </w:pPr>
            <w:r/>
            <w:r>
              <w:rPr>
                <w:rFonts w:ascii="Times New Roman" w:hAnsi="Times New Roman"/>
                <w:b w:val="0"/>
                <w:sz w:val="20"/>
              </w:rPr>
              <w:t>169</w:t>
            </w:r>
          </w:p>
        </w:tc>
        <w:tc>
          <w:tcPr>
            <w:tcW w:type="dxa" w:w="1587"/>
          </w:tcPr>
          <w:p>
            <w:pPr>
              <w:spacing w:line="240" w:lineRule="auto" w:after="0"/>
            </w:pPr>
            <w:r/>
            <w:r>
              <w:rPr>
                <w:rFonts w:ascii="Times New Roman" w:hAnsi="Times New Roman"/>
                <w:b w:val="0"/>
                <w:sz w:val="20"/>
              </w:rPr>
              <w:t>12.7 ± 6.0</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29.0 ± 8.7</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Male</w:t>
            </w:r>
          </w:p>
        </w:tc>
        <w:tc>
          <w:tcPr>
            <w:tcW w:type="dxa" w:w="680"/>
          </w:tcPr>
          <w:p>
            <w:pPr>
              <w:spacing w:line="240" w:lineRule="auto" w:after="0"/>
            </w:pPr>
            <w:r/>
            <w:r>
              <w:rPr>
                <w:rFonts w:ascii="Times New Roman" w:hAnsi="Times New Roman"/>
                <w:b w:val="0"/>
                <w:sz w:val="20"/>
              </w:rPr>
              <w:t>131</w:t>
            </w:r>
          </w:p>
        </w:tc>
        <w:tc>
          <w:tcPr>
            <w:tcW w:type="dxa" w:w="1587"/>
          </w:tcPr>
          <w:p>
            <w:pPr>
              <w:spacing w:line="240" w:lineRule="auto" w:after="0"/>
            </w:pPr>
            <w:r/>
            <w:r>
              <w:rPr>
                <w:rFonts w:ascii="Times New Roman" w:hAnsi="Times New Roman"/>
                <w:b w:val="0"/>
                <w:sz w:val="20"/>
              </w:rPr>
              <w:t>11.9 ± 5.5</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28.6 ± 8.0</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Study/work</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0.005 (0.039)</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0.820 (0.918)</w:t>
            </w:r>
          </w:p>
        </w:tc>
      </w:tr>
      <w:tr>
        <w:trPr>
          <w:cantSplit/>
        </w:trPr>
        <w:tc>
          <w:tcPr>
            <w:tcW w:type="dxa" w:w="2948"/>
          </w:tcPr>
          <w:p>
            <w:pPr>
              <w:spacing w:line="240" w:lineRule="auto" w:after="0"/>
            </w:pPr>
            <w:r/>
            <w:r>
              <w:rPr>
                <w:rFonts w:ascii="Times New Roman" w:hAnsi="Times New Roman"/>
                <w:b w:val="0"/>
                <w:sz w:val="20"/>
              </w:rPr>
              <w:t xml:space="preserve">    Medical student</w:t>
            </w:r>
          </w:p>
        </w:tc>
        <w:tc>
          <w:tcPr>
            <w:tcW w:type="dxa" w:w="680"/>
          </w:tcPr>
          <w:p>
            <w:pPr>
              <w:spacing w:line="240" w:lineRule="auto" w:after="0"/>
            </w:pPr>
            <w:r/>
            <w:r>
              <w:rPr>
                <w:rFonts w:ascii="Times New Roman" w:hAnsi="Times New Roman"/>
                <w:b w:val="0"/>
                <w:sz w:val="20"/>
              </w:rPr>
              <w:t>132</w:t>
            </w:r>
          </w:p>
        </w:tc>
        <w:tc>
          <w:tcPr>
            <w:tcW w:type="dxa" w:w="1587"/>
          </w:tcPr>
          <w:p>
            <w:pPr>
              <w:spacing w:line="240" w:lineRule="auto" w:after="0"/>
            </w:pPr>
            <w:r/>
            <w:r>
              <w:rPr>
                <w:rFonts w:ascii="Times New Roman" w:hAnsi="Times New Roman"/>
                <w:b w:val="0"/>
                <w:sz w:val="20"/>
              </w:rPr>
              <w:t>13.3 ± 5.8</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28.9 ± 8.1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Other health-science student</w:t>
            </w:r>
          </w:p>
        </w:tc>
        <w:tc>
          <w:tcPr>
            <w:tcW w:type="dxa" w:w="680"/>
          </w:tcPr>
          <w:p>
            <w:pPr>
              <w:spacing w:line="240" w:lineRule="auto" w:after="0"/>
            </w:pPr>
            <w:r/>
            <w:r>
              <w:rPr>
                <w:rFonts w:ascii="Times New Roman" w:hAnsi="Times New Roman"/>
                <w:b w:val="0"/>
                <w:sz w:val="20"/>
              </w:rPr>
              <w:t>43</w:t>
            </w:r>
          </w:p>
        </w:tc>
        <w:tc>
          <w:tcPr>
            <w:tcW w:type="dxa" w:w="1587"/>
          </w:tcPr>
          <w:p>
            <w:pPr>
              <w:spacing w:line="240" w:lineRule="auto" w:after="0"/>
            </w:pPr>
            <w:r/>
            <w:r>
              <w:rPr>
                <w:rFonts w:ascii="Times New Roman" w:hAnsi="Times New Roman"/>
                <w:b w:val="0"/>
                <w:sz w:val="20"/>
              </w:rPr>
              <w:t>12.2 ± 5.5</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29.2 ± 9.1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Healthcare worker</w:t>
            </w:r>
          </w:p>
        </w:tc>
        <w:tc>
          <w:tcPr>
            <w:tcW w:type="dxa" w:w="680"/>
          </w:tcPr>
          <w:p>
            <w:pPr>
              <w:spacing w:line="240" w:lineRule="auto" w:after="0"/>
            </w:pPr>
            <w:r/>
            <w:r>
              <w:rPr>
                <w:rFonts w:ascii="Times New Roman" w:hAnsi="Times New Roman"/>
                <w:b w:val="0"/>
                <w:sz w:val="20"/>
              </w:rPr>
              <w:t>15</w:t>
            </w:r>
          </w:p>
        </w:tc>
        <w:tc>
          <w:tcPr>
            <w:tcW w:type="dxa" w:w="1587"/>
          </w:tcPr>
          <w:p>
            <w:pPr>
              <w:spacing w:line="240" w:lineRule="auto" w:after="0"/>
            </w:pPr>
            <w:r/>
            <w:r>
              <w:rPr>
                <w:rFonts w:ascii="Times New Roman" w:hAnsi="Times New Roman"/>
                <w:b w:val="0"/>
                <w:sz w:val="20"/>
              </w:rPr>
              <w:t>10.4 ± 5.1</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29.5 ± 7.4</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Non-health student</w:t>
            </w:r>
          </w:p>
        </w:tc>
        <w:tc>
          <w:tcPr>
            <w:tcW w:type="dxa" w:w="680"/>
          </w:tcPr>
          <w:p>
            <w:pPr>
              <w:spacing w:line="240" w:lineRule="auto" w:after="0"/>
            </w:pPr>
            <w:r/>
            <w:r>
              <w:rPr>
                <w:rFonts w:ascii="Times New Roman" w:hAnsi="Times New Roman"/>
                <w:b w:val="0"/>
                <w:sz w:val="20"/>
              </w:rPr>
              <w:t>46</w:t>
            </w:r>
          </w:p>
        </w:tc>
        <w:tc>
          <w:tcPr>
            <w:tcW w:type="dxa" w:w="1587"/>
          </w:tcPr>
          <w:p>
            <w:pPr>
              <w:spacing w:line="240" w:lineRule="auto" w:after="0"/>
            </w:pPr>
            <w:r/>
            <w:r>
              <w:rPr>
                <w:rFonts w:ascii="Times New Roman" w:hAnsi="Times New Roman"/>
                <w:b w:val="0"/>
                <w:sz w:val="20"/>
              </w:rPr>
              <w:t>13.0 ± 6.0</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27.6 ± 7.8</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Non-health employee/other</w:t>
            </w:r>
          </w:p>
        </w:tc>
        <w:tc>
          <w:tcPr>
            <w:tcW w:type="dxa" w:w="680"/>
          </w:tcPr>
          <w:p>
            <w:pPr>
              <w:spacing w:line="240" w:lineRule="auto" w:after="0"/>
            </w:pPr>
            <w:r/>
            <w:r>
              <w:rPr>
                <w:rFonts w:ascii="Times New Roman" w:hAnsi="Times New Roman"/>
                <w:b w:val="0"/>
                <w:sz w:val="20"/>
              </w:rPr>
              <w:t>64</w:t>
            </w:r>
          </w:p>
        </w:tc>
        <w:tc>
          <w:tcPr>
            <w:tcW w:type="dxa" w:w="1587"/>
          </w:tcPr>
          <w:p>
            <w:pPr>
              <w:spacing w:line="240" w:lineRule="auto" w:after="0"/>
            </w:pPr>
            <w:r/>
            <w:r>
              <w:rPr>
                <w:rFonts w:ascii="Times New Roman" w:hAnsi="Times New Roman"/>
                <w:b w:val="0"/>
                <w:sz w:val="20"/>
              </w:rPr>
              <w:t>10.5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29.4 ± 9.1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Chronic condition</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0.004 (0.028)</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0.435 (0.623)</w:t>
            </w:r>
          </w:p>
        </w:tc>
      </w:tr>
      <w:tr>
        <w:trPr>
          <w:cantSplit/>
        </w:trPr>
        <w:tc>
          <w:tcPr>
            <w:tcW w:type="dxa" w:w="2948"/>
          </w:tcPr>
          <w:p>
            <w:pPr>
              <w:spacing w:line="240" w:lineRule="auto" w:after="0"/>
            </w:pPr>
            <w:r/>
            <w:r>
              <w:rPr>
                <w:rFonts w:ascii="Times New Roman" w:hAnsi="Times New Roman"/>
                <w:b w:val="0"/>
                <w:sz w:val="20"/>
              </w:rPr>
              <w:t xml:space="preserve">    Yes</w:t>
            </w:r>
          </w:p>
        </w:tc>
        <w:tc>
          <w:tcPr>
            <w:tcW w:type="dxa" w:w="680"/>
          </w:tcPr>
          <w:p>
            <w:pPr>
              <w:spacing w:line="240" w:lineRule="auto" w:after="0"/>
            </w:pPr>
            <w:r/>
            <w:r>
              <w:rPr>
                <w:rFonts w:ascii="Times New Roman" w:hAnsi="Times New Roman"/>
                <w:b w:val="0"/>
                <w:sz w:val="20"/>
              </w:rPr>
              <w:t>65</w:t>
            </w:r>
          </w:p>
        </w:tc>
        <w:tc>
          <w:tcPr>
            <w:tcW w:type="dxa" w:w="1587"/>
          </w:tcPr>
          <w:p>
            <w:pPr>
              <w:spacing w:line="240" w:lineRule="auto" w:after="0"/>
            </w:pPr>
            <w:r/>
            <w:r>
              <w:rPr>
                <w:rFonts w:ascii="Times New Roman" w:hAnsi="Times New Roman"/>
                <w:b w:val="0"/>
                <w:sz w:val="20"/>
              </w:rPr>
              <w:t>14.2 ± 6.0</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29.9 ± 8.9</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w:t>
            </w:r>
          </w:p>
        </w:tc>
        <w:tc>
          <w:tcPr>
            <w:tcW w:type="dxa" w:w="680"/>
          </w:tcPr>
          <w:p>
            <w:pPr>
              <w:spacing w:line="240" w:lineRule="auto" w:after="0"/>
            </w:pPr>
            <w:r/>
            <w:r>
              <w:rPr>
                <w:rFonts w:ascii="Times New Roman" w:hAnsi="Times New Roman"/>
                <w:b w:val="0"/>
                <w:sz w:val="20"/>
              </w:rPr>
              <w:t>235</w:t>
            </w:r>
          </w:p>
        </w:tc>
        <w:tc>
          <w:tcPr>
            <w:tcW w:type="dxa" w:w="1587"/>
          </w:tcPr>
          <w:p>
            <w:pPr>
              <w:spacing w:line="240" w:lineRule="auto" w:after="0"/>
            </w:pPr>
            <w:r/>
            <w:r>
              <w:rPr>
                <w:rFonts w:ascii="Times New Roman" w:hAnsi="Times New Roman"/>
                <w:b w:val="0"/>
                <w:sz w:val="20"/>
              </w:rPr>
              <w:t>11.9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28.6 ± 8.2</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Uses AI chatbots</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0.008 (0.051)</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&lt;0.001 (0.005)</w:t>
            </w:r>
          </w:p>
        </w:tc>
      </w:tr>
      <w:tr>
        <w:trPr>
          <w:cantSplit/>
        </w:trPr>
        <w:tc>
          <w:tcPr>
            <w:tcW w:type="dxa" w:w="2948"/>
          </w:tcPr>
          <w:p>
            <w:pPr>
              <w:spacing w:line="240" w:lineRule="auto" w:after="0"/>
            </w:pPr>
            <w:r/>
            <w:r>
              <w:rPr>
                <w:rFonts w:ascii="Times New Roman" w:hAnsi="Times New Roman"/>
                <w:b w:val="0"/>
                <w:sz w:val="20"/>
              </w:rPr>
              <w:t xml:space="preserve">    Yes</w:t>
            </w:r>
          </w:p>
        </w:tc>
        <w:tc>
          <w:tcPr>
            <w:tcW w:type="dxa" w:w="680"/>
          </w:tcPr>
          <w:p>
            <w:pPr>
              <w:spacing w:line="240" w:lineRule="auto" w:after="0"/>
            </w:pPr>
            <w:r/>
            <w:r>
              <w:rPr>
                <w:rFonts w:ascii="Times New Roman" w:hAnsi="Times New Roman"/>
                <w:b w:val="0"/>
                <w:sz w:val="20"/>
              </w:rPr>
              <w:t>266</w:t>
            </w:r>
          </w:p>
        </w:tc>
        <w:tc>
          <w:tcPr>
            <w:tcW w:type="dxa" w:w="1587"/>
          </w:tcPr>
          <w:p>
            <w:pPr>
              <w:spacing w:line="240" w:lineRule="auto" w:after="0"/>
            </w:pPr>
            <w:r/>
            <w:r>
              <w:rPr>
                <w:rFonts w:ascii="Times New Roman" w:hAnsi="Times New Roman"/>
                <w:b w:val="0"/>
                <w:sz w:val="20"/>
              </w:rPr>
              <w:t>12.6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29.5 ± 8.2</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w:t>
            </w:r>
          </w:p>
        </w:tc>
        <w:tc>
          <w:tcPr>
            <w:tcW w:type="dxa" w:w="680"/>
          </w:tcPr>
          <w:p>
            <w:pPr>
              <w:spacing w:line="240" w:lineRule="auto" w:after="0"/>
            </w:pPr>
            <w:r/>
            <w:r>
              <w:rPr>
                <w:rFonts w:ascii="Times New Roman" w:hAnsi="Times New Roman"/>
                <w:b w:val="0"/>
                <w:sz w:val="20"/>
              </w:rPr>
              <w:t>34</w:t>
            </w:r>
          </w:p>
        </w:tc>
        <w:tc>
          <w:tcPr>
            <w:tcW w:type="dxa" w:w="1587"/>
          </w:tcPr>
          <w:p>
            <w:pPr>
              <w:spacing w:line="240" w:lineRule="auto" w:after="0"/>
            </w:pPr>
            <w:r/>
            <w:r>
              <w:rPr>
                <w:rFonts w:ascii="Times New Roman" w:hAnsi="Times New Roman"/>
                <w:b w:val="0"/>
                <w:sz w:val="20"/>
              </w:rPr>
              <w:t>10.5 ± 6.7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24.0 ± 8.1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Uses search engines</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0.111 (0.316)</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0.113 (0.316)</w:t>
            </w:r>
          </w:p>
        </w:tc>
      </w:tr>
      <w:tr>
        <w:trPr>
          <w:cantSplit/>
        </w:trPr>
        <w:tc>
          <w:tcPr>
            <w:tcW w:type="dxa" w:w="2948"/>
          </w:tcPr>
          <w:p>
            <w:pPr>
              <w:spacing w:line="240" w:lineRule="auto" w:after="0"/>
            </w:pPr>
            <w:r/>
            <w:r>
              <w:rPr>
                <w:rFonts w:ascii="Times New Roman" w:hAnsi="Times New Roman"/>
                <w:b w:val="0"/>
                <w:sz w:val="20"/>
              </w:rPr>
              <w:t xml:space="preserve">    Yes</w:t>
            </w:r>
          </w:p>
        </w:tc>
        <w:tc>
          <w:tcPr>
            <w:tcW w:type="dxa" w:w="680"/>
          </w:tcPr>
          <w:p>
            <w:pPr>
              <w:spacing w:line="240" w:lineRule="auto" w:after="0"/>
            </w:pPr>
            <w:r/>
            <w:r>
              <w:rPr>
                <w:rFonts w:ascii="Times New Roman" w:hAnsi="Times New Roman"/>
                <w:b w:val="0"/>
                <w:sz w:val="20"/>
              </w:rPr>
              <w:t>169</w:t>
            </w:r>
          </w:p>
        </w:tc>
        <w:tc>
          <w:tcPr>
            <w:tcW w:type="dxa" w:w="1587"/>
          </w:tcPr>
          <w:p>
            <w:pPr>
              <w:spacing w:line="240" w:lineRule="auto" w:after="0"/>
            </w:pPr>
            <w:r/>
            <w:r>
              <w:rPr>
                <w:rFonts w:ascii="Times New Roman" w:hAnsi="Times New Roman"/>
                <w:b w:val="0"/>
                <w:sz w:val="20"/>
              </w:rPr>
              <w:t>12.8 ± 5.9</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29.4 ± 7.9</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w:t>
            </w:r>
          </w:p>
        </w:tc>
        <w:tc>
          <w:tcPr>
            <w:tcW w:type="dxa" w:w="680"/>
          </w:tcPr>
          <w:p>
            <w:pPr>
              <w:spacing w:line="240" w:lineRule="auto" w:after="0"/>
            </w:pPr>
            <w:r/>
            <w:r>
              <w:rPr>
                <w:rFonts w:ascii="Times New Roman" w:hAnsi="Times New Roman"/>
                <w:b w:val="0"/>
                <w:sz w:val="20"/>
              </w:rPr>
              <w:t>131</w:t>
            </w:r>
          </w:p>
        </w:tc>
        <w:tc>
          <w:tcPr>
            <w:tcW w:type="dxa" w:w="1587"/>
          </w:tcPr>
          <w:p>
            <w:pPr>
              <w:spacing w:line="240" w:lineRule="auto" w:after="0"/>
            </w:pPr>
            <w:r/>
            <w:r>
              <w:rPr>
                <w:rFonts w:ascii="Times New Roman" w:hAnsi="Times New Roman"/>
                <w:b w:val="0"/>
                <w:sz w:val="20"/>
              </w:rPr>
              <w:t>11.8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28.2 ± 8.9</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Uses social media</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0.001 (0.016)</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0.021 (0.093)</w:t>
            </w:r>
          </w:p>
        </w:tc>
      </w:tr>
      <w:tr>
        <w:trPr>
          <w:cantSplit/>
        </w:trPr>
        <w:tc>
          <w:tcPr>
            <w:tcW w:type="dxa" w:w="2948"/>
          </w:tcPr>
          <w:p>
            <w:pPr>
              <w:spacing w:line="240" w:lineRule="auto" w:after="0"/>
            </w:pPr>
            <w:r/>
            <w:r>
              <w:rPr>
                <w:rFonts w:ascii="Times New Roman" w:hAnsi="Times New Roman"/>
                <w:b w:val="0"/>
                <w:sz w:val="20"/>
              </w:rPr>
              <w:t xml:space="preserve">    Yes</w:t>
            </w:r>
          </w:p>
        </w:tc>
        <w:tc>
          <w:tcPr>
            <w:tcW w:type="dxa" w:w="680"/>
          </w:tcPr>
          <w:p>
            <w:pPr>
              <w:spacing w:line="240" w:lineRule="auto" w:after="0"/>
            </w:pPr>
            <w:r/>
            <w:r>
              <w:rPr>
                <w:rFonts w:ascii="Times New Roman" w:hAnsi="Times New Roman"/>
                <w:b w:val="0"/>
                <w:sz w:val="20"/>
              </w:rPr>
              <w:t>32</w:t>
            </w:r>
          </w:p>
        </w:tc>
        <w:tc>
          <w:tcPr>
            <w:tcW w:type="dxa" w:w="1587"/>
          </w:tcPr>
          <w:p>
            <w:pPr>
              <w:spacing w:line="240" w:lineRule="auto" w:after="0"/>
            </w:pPr>
            <w:r/>
            <w:r>
              <w:rPr>
                <w:rFonts w:ascii="Times New Roman" w:hAnsi="Times New Roman"/>
                <w:b w:val="0"/>
                <w:sz w:val="20"/>
              </w:rPr>
              <w:t>15.8 ± 6.9</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32.5 ± 9.1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w:t>
            </w:r>
          </w:p>
        </w:tc>
        <w:tc>
          <w:tcPr>
            <w:tcW w:type="dxa" w:w="680"/>
          </w:tcPr>
          <w:p>
            <w:pPr>
              <w:spacing w:line="240" w:lineRule="auto" w:after="0"/>
            </w:pPr>
            <w:r/>
            <w:r>
              <w:rPr>
                <w:rFonts w:ascii="Times New Roman" w:hAnsi="Times New Roman"/>
                <w:b w:val="0"/>
                <w:sz w:val="20"/>
              </w:rPr>
              <w:t>268</w:t>
            </w:r>
          </w:p>
        </w:tc>
        <w:tc>
          <w:tcPr>
            <w:tcW w:type="dxa" w:w="1587"/>
          </w:tcPr>
          <w:p>
            <w:pPr>
              <w:spacing w:line="240" w:lineRule="auto" w:after="0"/>
            </w:pPr>
            <w:r/>
            <w:r>
              <w:rPr>
                <w:rFonts w:ascii="Times New Roman" w:hAnsi="Times New Roman"/>
                <w:b w:val="0"/>
                <w:sz w:val="20"/>
              </w:rPr>
              <w:t>11.9 ± 5.6</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28.4 ± 8.2</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Tool profile</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0.006 (0.039)</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&lt;0.001 (0.005)</w:t>
            </w:r>
          </w:p>
        </w:tc>
      </w:tr>
      <w:tr>
        <w:trPr>
          <w:cantSplit/>
        </w:trPr>
        <w:tc>
          <w:tcPr>
            <w:tcW w:type="dxa" w:w="2948"/>
          </w:tcPr>
          <w:p>
            <w:pPr>
              <w:spacing w:line="240" w:lineRule="auto" w:after="0"/>
            </w:pPr>
            <w:r/>
            <w:r>
              <w:rPr>
                <w:rFonts w:ascii="Times New Roman" w:hAnsi="Times New Roman"/>
                <w:b w:val="0"/>
                <w:sz w:val="20"/>
              </w:rPr>
              <w:t xml:space="preserve">    AI + search engine</w:t>
            </w:r>
          </w:p>
        </w:tc>
        <w:tc>
          <w:tcPr>
            <w:tcW w:type="dxa" w:w="680"/>
          </w:tcPr>
          <w:p>
            <w:pPr>
              <w:spacing w:line="240" w:lineRule="auto" w:after="0"/>
            </w:pPr>
            <w:r/>
            <w:r>
              <w:rPr>
                <w:rFonts w:ascii="Times New Roman" w:hAnsi="Times New Roman"/>
                <w:b w:val="0"/>
                <w:sz w:val="20"/>
              </w:rPr>
              <w:t>143</w:t>
            </w:r>
          </w:p>
        </w:tc>
        <w:tc>
          <w:tcPr>
            <w:tcW w:type="dxa" w:w="1587"/>
          </w:tcPr>
          <w:p>
            <w:pPr>
              <w:spacing w:line="240" w:lineRule="auto" w:after="0"/>
            </w:pPr>
            <w:r/>
            <w:r>
              <w:rPr>
                <w:rFonts w:ascii="Times New Roman" w:hAnsi="Times New Roman"/>
                <w:b w:val="0"/>
                <w:sz w:val="20"/>
              </w:rPr>
              <w:t>13.1 ± 5.6</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30.1 ± 7.6</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AI without search engine</w:t>
            </w:r>
          </w:p>
        </w:tc>
        <w:tc>
          <w:tcPr>
            <w:tcW w:type="dxa" w:w="680"/>
          </w:tcPr>
          <w:p>
            <w:pPr>
              <w:spacing w:line="240" w:lineRule="auto" w:after="0"/>
            </w:pPr>
            <w:r/>
            <w:r>
              <w:rPr>
                <w:rFonts w:ascii="Times New Roman" w:hAnsi="Times New Roman"/>
                <w:b w:val="0"/>
                <w:sz w:val="20"/>
              </w:rPr>
              <w:t>123</w:t>
            </w:r>
          </w:p>
        </w:tc>
        <w:tc>
          <w:tcPr>
            <w:tcW w:type="dxa" w:w="1587"/>
          </w:tcPr>
          <w:p>
            <w:pPr>
              <w:spacing w:line="240" w:lineRule="auto" w:after="0"/>
            </w:pPr>
            <w:r/>
            <w:r>
              <w:rPr>
                <w:rFonts w:ascii="Times New Roman" w:hAnsi="Times New Roman"/>
                <w:b w:val="0"/>
                <w:sz w:val="20"/>
              </w:rPr>
              <w:t>12.0 ± 5.8</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28.7 ± 8.8</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 AI (search/other only)</w:t>
            </w:r>
          </w:p>
        </w:tc>
        <w:tc>
          <w:tcPr>
            <w:tcW w:type="dxa" w:w="680"/>
          </w:tcPr>
          <w:p>
            <w:pPr>
              <w:spacing w:line="240" w:lineRule="auto" w:after="0"/>
            </w:pPr>
            <w:r/>
            <w:r>
              <w:rPr>
                <w:rFonts w:ascii="Times New Roman" w:hAnsi="Times New Roman"/>
                <w:b w:val="0"/>
                <w:sz w:val="20"/>
              </w:rPr>
              <w:t>34</w:t>
            </w:r>
          </w:p>
        </w:tc>
        <w:tc>
          <w:tcPr>
            <w:tcW w:type="dxa" w:w="1587"/>
          </w:tcPr>
          <w:p>
            <w:pPr>
              <w:spacing w:line="240" w:lineRule="auto" w:after="0"/>
            </w:pPr>
            <w:r/>
            <w:r>
              <w:rPr>
                <w:rFonts w:ascii="Times New Roman" w:hAnsi="Times New Roman"/>
                <w:b w:val="0"/>
                <w:sz w:val="20"/>
              </w:rPr>
              <w:t>10.5 ± 6.7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24.0 ± 8.1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Motive: reassurance</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&lt;0.001 (0.002)</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0.085 (0.280)</w:t>
            </w:r>
          </w:p>
        </w:tc>
      </w:tr>
      <w:tr>
        <w:trPr>
          <w:cantSplit/>
        </w:trPr>
        <w:tc>
          <w:tcPr>
            <w:tcW w:type="dxa" w:w="2948"/>
          </w:tcPr>
          <w:p>
            <w:pPr>
              <w:spacing w:line="240" w:lineRule="auto" w:after="0"/>
            </w:pPr>
            <w:r/>
            <w:r>
              <w:rPr>
                <w:rFonts w:ascii="Times New Roman" w:hAnsi="Times New Roman"/>
                <w:b w:val="0"/>
                <w:sz w:val="20"/>
              </w:rPr>
              <w:t xml:space="preserve">    Yes</w:t>
            </w:r>
          </w:p>
        </w:tc>
        <w:tc>
          <w:tcPr>
            <w:tcW w:type="dxa" w:w="680"/>
          </w:tcPr>
          <w:p>
            <w:pPr>
              <w:spacing w:line="240" w:lineRule="auto" w:after="0"/>
            </w:pPr>
            <w:r/>
            <w:r>
              <w:rPr>
                <w:rFonts w:ascii="Times New Roman" w:hAnsi="Times New Roman"/>
                <w:b w:val="0"/>
                <w:sz w:val="20"/>
              </w:rPr>
              <w:t>153</w:t>
            </w:r>
          </w:p>
        </w:tc>
        <w:tc>
          <w:tcPr>
            <w:tcW w:type="dxa" w:w="1587"/>
          </w:tcPr>
          <w:p>
            <w:pPr>
              <w:spacing w:line="240" w:lineRule="auto" w:after="0"/>
            </w:pPr>
            <w:r/>
            <w:r>
              <w:rPr>
                <w:rFonts w:ascii="Times New Roman" w:hAnsi="Times New Roman"/>
                <w:b w:val="0"/>
                <w:sz w:val="20"/>
              </w:rPr>
              <w:t>13.8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29.6 ± 7.6</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w:t>
            </w:r>
          </w:p>
        </w:tc>
        <w:tc>
          <w:tcPr>
            <w:tcW w:type="dxa" w:w="680"/>
          </w:tcPr>
          <w:p>
            <w:pPr>
              <w:spacing w:line="240" w:lineRule="auto" w:after="0"/>
            </w:pPr>
            <w:r/>
            <w:r>
              <w:rPr>
                <w:rFonts w:ascii="Times New Roman" w:hAnsi="Times New Roman"/>
                <w:b w:val="0"/>
                <w:sz w:val="20"/>
              </w:rPr>
              <w:t>147</w:t>
            </w:r>
          </w:p>
        </w:tc>
        <w:tc>
          <w:tcPr>
            <w:tcW w:type="dxa" w:w="1587"/>
          </w:tcPr>
          <w:p>
            <w:pPr>
              <w:spacing w:line="240" w:lineRule="auto" w:after="0"/>
            </w:pPr>
            <w:r/>
            <w:r>
              <w:rPr>
                <w:rFonts w:ascii="Times New Roman" w:hAnsi="Times New Roman"/>
                <w:b w:val="0"/>
                <w:sz w:val="20"/>
              </w:rPr>
              <w:t>10.9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28.1 ± 9.1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Motive: self-diagnosis</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0.217 (0.435)</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0.079 (0.266)</w:t>
            </w:r>
          </w:p>
        </w:tc>
      </w:tr>
      <w:tr>
        <w:trPr>
          <w:cantSplit/>
        </w:trPr>
        <w:tc>
          <w:tcPr>
            <w:tcW w:type="dxa" w:w="2948"/>
          </w:tcPr>
          <w:p>
            <w:pPr>
              <w:spacing w:line="240" w:lineRule="auto" w:after="0"/>
            </w:pPr>
            <w:r/>
            <w:r>
              <w:rPr>
                <w:rFonts w:ascii="Times New Roman" w:hAnsi="Times New Roman"/>
                <w:b w:val="0"/>
                <w:sz w:val="20"/>
              </w:rPr>
              <w:t xml:space="preserve">    Yes</w:t>
            </w:r>
          </w:p>
        </w:tc>
        <w:tc>
          <w:tcPr>
            <w:tcW w:type="dxa" w:w="680"/>
          </w:tcPr>
          <w:p>
            <w:pPr>
              <w:spacing w:line="240" w:lineRule="auto" w:after="0"/>
            </w:pPr>
            <w:r/>
            <w:r>
              <w:rPr>
                <w:rFonts w:ascii="Times New Roman" w:hAnsi="Times New Roman"/>
                <w:b w:val="0"/>
                <w:sz w:val="20"/>
              </w:rPr>
              <w:t>69</w:t>
            </w:r>
          </w:p>
        </w:tc>
        <w:tc>
          <w:tcPr>
            <w:tcW w:type="dxa" w:w="1587"/>
          </w:tcPr>
          <w:p>
            <w:pPr>
              <w:spacing w:line="240" w:lineRule="auto" w:after="0"/>
            </w:pPr>
            <w:r/>
            <w:r>
              <w:rPr>
                <w:rFonts w:ascii="Times New Roman" w:hAnsi="Times New Roman"/>
                <w:b w:val="0"/>
                <w:sz w:val="20"/>
              </w:rPr>
              <w:t>13.1 ± 6.2</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30.4 ± 8.1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No</w:t>
            </w:r>
          </w:p>
        </w:tc>
        <w:tc>
          <w:tcPr>
            <w:tcW w:type="dxa" w:w="680"/>
          </w:tcPr>
          <w:p>
            <w:pPr>
              <w:spacing w:line="240" w:lineRule="auto" w:after="0"/>
            </w:pPr>
            <w:r/>
            <w:r>
              <w:rPr>
                <w:rFonts w:ascii="Times New Roman" w:hAnsi="Times New Roman"/>
                <w:b w:val="0"/>
                <w:sz w:val="20"/>
              </w:rPr>
              <w:t>231</w:t>
            </w:r>
          </w:p>
        </w:tc>
        <w:tc>
          <w:tcPr>
            <w:tcW w:type="dxa" w:w="1587"/>
          </w:tcPr>
          <w:p>
            <w:pPr>
              <w:spacing w:line="240" w:lineRule="auto" w:after="0"/>
            </w:pPr>
            <w:r/>
            <w:r>
              <w:rPr>
                <w:rFonts w:ascii="Times New Roman" w:hAnsi="Times New Roman"/>
                <w:b w:val="0"/>
                <w:sz w:val="20"/>
              </w:rPr>
              <w:t>12.1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28.4 ± 8.4</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Trust in online/AI</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0.052 (0.190)</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0.110 (0.316)</w:t>
            </w:r>
          </w:p>
        </w:tc>
      </w:tr>
      <w:tr>
        <w:trPr>
          <w:cantSplit/>
        </w:trPr>
        <w:tc>
          <w:tcPr>
            <w:tcW w:type="dxa" w:w="2948"/>
          </w:tcPr>
          <w:p>
            <w:pPr>
              <w:spacing w:line="240" w:lineRule="auto" w:after="0"/>
            </w:pPr>
            <w:r/>
            <w:r>
              <w:rPr>
                <w:rFonts w:ascii="Times New Roman" w:hAnsi="Times New Roman"/>
                <w:b w:val="0"/>
                <w:sz w:val="20"/>
              </w:rPr>
              <w:t xml:space="preserve">    1</w:t>
            </w:r>
          </w:p>
        </w:tc>
        <w:tc>
          <w:tcPr>
            <w:tcW w:type="dxa" w:w="680"/>
          </w:tcPr>
          <w:p>
            <w:pPr>
              <w:spacing w:line="240" w:lineRule="auto" w:after="0"/>
            </w:pPr>
            <w:r/>
            <w:r>
              <w:rPr>
                <w:rFonts w:ascii="Times New Roman" w:hAnsi="Times New Roman"/>
                <w:b w:val="0"/>
                <w:sz w:val="20"/>
              </w:rPr>
              <w:t>20</w:t>
            </w:r>
          </w:p>
        </w:tc>
        <w:tc>
          <w:tcPr>
            <w:tcW w:type="dxa" w:w="1587"/>
          </w:tcPr>
          <w:p>
            <w:pPr>
              <w:spacing w:line="240" w:lineRule="auto" w:after="0"/>
            </w:pPr>
            <w:r/>
            <w:r>
              <w:rPr>
                <w:rFonts w:ascii="Times New Roman" w:hAnsi="Times New Roman"/>
                <w:b w:val="0"/>
                <w:sz w:val="20"/>
              </w:rPr>
              <w:t>10.1 ± 6.4</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24.8 ± 7.8</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2</w:t>
            </w:r>
          </w:p>
        </w:tc>
        <w:tc>
          <w:tcPr>
            <w:tcW w:type="dxa" w:w="680"/>
          </w:tcPr>
          <w:p>
            <w:pPr>
              <w:spacing w:line="240" w:lineRule="auto" w:after="0"/>
            </w:pPr>
            <w:r/>
            <w:r>
              <w:rPr>
                <w:rFonts w:ascii="Times New Roman" w:hAnsi="Times New Roman"/>
                <w:b w:val="0"/>
                <w:sz w:val="20"/>
              </w:rPr>
              <w:t>83</w:t>
            </w:r>
          </w:p>
        </w:tc>
        <w:tc>
          <w:tcPr>
            <w:tcW w:type="dxa" w:w="1587"/>
          </w:tcPr>
          <w:p>
            <w:pPr>
              <w:spacing w:line="240" w:lineRule="auto" w:after="0"/>
            </w:pPr>
            <w:r/>
            <w:r>
              <w:rPr>
                <w:rFonts w:ascii="Times New Roman" w:hAnsi="Times New Roman"/>
                <w:b w:val="0"/>
                <w:sz w:val="20"/>
              </w:rPr>
              <w:t>13.2 ± 6.1</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28.9 ± 8.3</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3</w:t>
            </w:r>
          </w:p>
        </w:tc>
        <w:tc>
          <w:tcPr>
            <w:tcW w:type="dxa" w:w="680"/>
          </w:tcPr>
          <w:p>
            <w:pPr>
              <w:spacing w:line="240" w:lineRule="auto" w:after="0"/>
            </w:pPr>
            <w:r/>
            <w:r>
              <w:rPr>
                <w:rFonts w:ascii="Times New Roman" w:hAnsi="Times New Roman"/>
                <w:b w:val="0"/>
                <w:sz w:val="20"/>
              </w:rPr>
              <w:t>170</w:t>
            </w:r>
          </w:p>
        </w:tc>
        <w:tc>
          <w:tcPr>
            <w:tcW w:type="dxa" w:w="1587"/>
          </w:tcPr>
          <w:p>
            <w:pPr>
              <w:spacing w:line="240" w:lineRule="auto" w:after="0"/>
            </w:pPr>
            <w:r/>
            <w:r>
              <w:rPr>
                <w:rFonts w:ascii="Times New Roman" w:hAnsi="Times New Roman"/>
                <w:b w:val="0"/>
                <w:sz w:val="20"/>
              </w:rPr>
              <w:t>11.9 ± 5.6</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28.9 ± 8.4</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4</w:t>
            </w:r>
          </w:p>
        </w:tc>
        <w:tc>
          <w:tcPr>
            <w:tcW w:type="dxa" w:w="680"/>
          </w:tcPr>
          <w:p>
            <w:pPr>
              <w:spacing w:line="240" w:lineRule="auto" w:after="0"/>
            </w:pPr>
            <w:r/>
            <w:r>
              <w:rPr>
                <w:rFonts w:ascii="Times New Roman" w:hAnsi="Times New Roman"/>
                <w:b w:val="0"/>
                <w:sz w:val="20"/>
              </w:rPr>
              <w:t>25</w:t>
            </w:r>
          </w:p>
        </w:tc>
        <w:tc>
          <w:tcPr>
            <w:tcW w:type="dxa" w:w="1587"/>
          </w:tcPr>
          <w:p>
            <w:pPr>
              <w:spacing w:line="240" w:lineRule="auto" w:after="0"/>
            </w:pPr>
            <w:r/>
            <w:r>
              <w:rPr>
                <w:rFonts w:ascii="Times New Roman" w:hAnsi="Times New Roman"/>
                <w:b w:val="0"/>
                <w:sz w:val="20"/>
              </w:rPr>
              <w:t>14.7 ± 5.2</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31.8 ± 7.1</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val="0"/>
                <w:sz w:val="20"/>
              </w:rPr>
              <w:t xml:space="preserve">    5</w:t>
            </w:r>
          </w:p>
        </w:tc>
        <w:tc>
          <w:tcPr>
            <w:tcW w:type="dxa" w:w="680"/>
          </w:tcPr>
          <w:p>
            <w:pPr>
              <w:spacing w:line="240" w:lineRule="auto" w:after="0"/>
            </w:pPr>
            <w:r/>
            <w:r>
              <w:rPr>
                <w:rFonts w:ascii="Times New Roman" w:hAnsi="Times New Roman"/>
                <w:b w:val="0"/>
                <w:sz w:val="20"/>
              </w:rPr>
              <w:t>2</w:t>
            </w:r>
          </w:p>
        </w:tc>
        <w:tc>
          <w:tcPr>
            <w:tcW w:type="dxa" w:w="1587"/>
          </w:tcPr>
          <w:p>
            <w:pPr>
              <w:spacing w:line="240" w:lineRule="auto" w:after="0"/>
            </w:pPr>
            <w:r/>
            <w:r>
              <w:rPr>
                <w:rFonts w:ascii="Times New Roman" w:hAnsi="Times New Roman"/>
                <w:b w:val="0"/>
                <w:sz w:val="20"/>
              </w:rPr>
              <w:t>13.0 ± 1.4</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25.5 ± 17.7</w:t>
            </w:r>
          </w:p>
        </w:tc>
        <w:tc>
          <w:tcPr>
            <w:tcW w:type="dxa" w:w="1361"/>
          </w:tcPr>
          <w:p>
            <w:pPr>
              <w:spacing w:line="240" w:lineRule="auto" w:after="0"/>
            </w:pPr>
            <w:r/>
            <w:r>
              <w:rPr>
                <w:rFonts w:ascii="Times New Roman" w:hAnsi="Times New Roman"/>
                <w:b w:val="0"/>
                <w:sz w:val="20"/>
              </w:rPr>
            </w:r>
          </w:p>
        </w:tc>
      </w:tr>
      <w:tr>
        <w:trPr>
          <w:cantSplit/>
        </w:trPr>
        <w:tc>
          <w:tcPr>
            <w:tcW w:type="dxa" w:w="2948"/>
          </w:tcPr>
          <w:p>
            <w:pPr>
              <w:spacing w:line="240" w:lineRule="auto" w:after="0"/>
            </w:pPr>
            <w:r/>
            <w:r>
              <w:rPr>
                <w:rFonts w:ascii="Times New Roman" w:hAnsi="Times New Roman"/>
                <w:b/>
                <w:sz w:val="20"/>
              </w:rPr>
              <w:t>Language</w:t>
            </w:r>
          </w:p>
        </w:tc>
        <w:tc>
          <w:tcPr>
            <w:tcW w:type="dxa" w:w="680"/>
          </w:tcPr>
          <w:p>
            <w:pPr>
              <w:spacing w:line="240" w:lineRule="auto" w:after="0"/>
            </w:pPr>
            <w:r/>
            <w:r>
              <w:rPr>
                <w:rFonts w:ascii="Times New Roman" w:hAnsi="Times New Roman"/>
                <w:b/>
                <w:sz w:val="20"/>
              </w:rPr>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0.857 (0.918)</w:t>
            </w:r>
          </w:p>
        </w:tc>
        <w:tc>
          <w:tcPr>
            <w:tcW w:type="dxa" w:w="1587"/>
          </w:tcPr>
          <w:p>
            <w:pPr>
              <w:spacing w:line="240" w:lineRule="auto" w:after="0"/>
            </w:pPr>
            <w:r/>
            <w:r>
              <w:rPr>
                <w:rFonts w:ascii="Times New Roman" w:hAnsi="Times New Roman"/>
                <w:b/>
                <w:sz w:val="20"/>
              </w:rPr>
            </w:r>
          </w:p>
        </w:tc>
        <w:tc>
          <w:tcPr>
            <w:tcW w:type="dxa" w:w="1361"/>
          </w:tcPr>
          <w:p>
            <w:pPr>
              <w:spacing w:line="240" w:lineRule="auto" w:after="0"/>
            </w:pPr>
            <w:r/>
            <w:r>
              <w:rPr>
                <w:rFonts w:ascii="Times New Roman" w:hAnsi="Times New Roman"/>
                <w:b/>
                <w:sz w:val="20"/>
              </w:rPr>
              <w:t>0.654 (0.802)</w:t>
            </w:r>
          </w:p>
        </w:tc>
      </w:tr>
      <w:tr>
        <w:trPr>
          <w:cantSplit/>
        </w:trPr>
        <w:tc>
          <w:tcPr>
            <w:tcW w:type="dxa" w:w="2948"/>
          </w:tcPr>
          <w:p>
            <w:pPr>
              <w:spacing w:line="240" w:lineRule="auto" w:after="0"/>
            </w:pPr>
            <w:r/>
            <w:r>
              <w:rPr>
                <w:rFonts w:ascii="Times New Roman" w:hAnsi="Times New Roman"/>
                <w:b w:val="0"/>
                <w:sz w:val="20"/>
              </w:rPr>
              <w:t xml:space="preserve">    Arabic</w:t>
            </w:r>
          </w:p>
        </w:tc>
        <w:tc>
          <w:tcPr>
            <w:tcW w:type="dxa" w:w="680"/>
          </w:tcPr>
          <w:p>
            <w:pPr>
              <w:spacing w:line="240" w:lineRule="auto" w:after="0"/>
            </w:pPr>
            <w:r/>
            <w:r>
              <w:rPr>
                <w:rFonts w:ascii="Times New Roman" w:hAnsi="Times New Roman"/>
                <w:b w:val="0"/>
                <w:sz w:val="20"/>
              </w:rPr>
              <w:t>212</w:t>
            </w:r>
          </w:p>
        </w:tc>
        <w:tc>
          <w:tcPr>
            <w:tcW w:type="dxa" w:w="1587"/>
          </w:tcPr>
          <w:p>
            <w:pPr>
              <w:spacing w:line="240" w:lineRule="auto" w:after="0"/>
            </w:pPr>
            <w:r/>
            <w:r>
              <w:rPr>
                <w:rFonts w:ascii="Times New Roman" w:hAnsi="Times New Roman"/>
                <w:b w:val="0"/>
                <w:sz w:val="20"/>
              </w:rPr>
              <w:t>12.4 ± 5.7</w:t>
            </w:r>
          </w:p>
        </w:tc>
        <w:tc>
          <w:tcPr>
            <w:tcW w:type="dxa" w:w="1361"/>
          </w:tcPr>
          <w:p>
            <w:pPr>
              <w:spacing w:line="240" w:lineRule="auto" w:after="0"/>
            </w:pPr>
            <w:r/>
            <w:r>
              <w:rPr>
                <w:rFonts w:ascii="Times New Roman" w:hAnsi="Times New Roman"/>
                <w:b w:val="0"/>
                <w:sz w:val="20"/>
              </w:rPr>
            </w:r>
          </w:p>
        </w:tc>
        <w:tc>
          <w:tcPr>
            <w:tcW w:type="dxa" w:w="1587"/>
          </w:tcPr>
          <w:p>
            <w:pPr>
              <w:spacing w:line="240" w:lineRule="auto" w:after="0"/>
            </w:pPr>
            <w:r/>
            <w:r>
              <w:rPr>
                <w:rFonts w:ascii="Times New Roman" w:hAnsi="Times New Roman"/>
                <w:b w:val="0"/>
                <w:sz w:val="20"/>
              </w:rPr>
              <w:t>29.0 ± 8.2</w:t>
            </w:r>
          </w:p>
        </w:tc>
        <w:tc>
          <w:tcPr>
            <w:tcW w:type="dxa" w:w="1361"/>
          </w:tcPr>
          <w:p>
            <w:pPr>
              <w:spacing w:line="240" w:lineRule="auto" w:after="0"/>
            </w:pPr>
            <w:r/>
            <w:r>
              <w:rPr>
                <w:rFonts w:ascii="Times New Roman" w:hAnsi="Times New Roman"/>
                <w:b w:val="0"/>
                <w:sz w:val="20"/>
              </w:rPr>
            </w:r>
          </w:p>
        </w:tc>
      </w:tr>
      <w:tr>
        <w:trPr>
          <w:cantSplit/>
        </w:trPr>
        <w:tc>
          <w:tcPr>
            <w:tcW w:type="dxa" w:w="2948"/>
            <w:tcBorders>
              <w:bottom w:val="single" w:sz="8" w:color="000000"/>
            </w:tcBorders>
          </w:tcPr>
          <w:p>
            <w:pPr>
              <w:spacing w:line="240" w:lineRule="auto" w:after="0"/>
            </w:pPr>
            <w:r/>
            <w:r>
              <w:rPr>
                <w:rFonts w:ascii="Times New Roman" w:hAnsi="Times New Roman"/>
                <w:b w:val="0"/>
                <w:sz w:val="20"/>
              </w:rPr>
              <w:t xml:space="preserve">    English</w:t>
            </w:r>
          </w:p>
        </w:tc>
        <w:tc>
          <w:tcPr>
            <w:tcW w:type="dxa" w:w="680"/>
            <w:tcBorders>
              <w:bottom w:val="single" w:sz="8" w:color="000000"/>
            </w:tcBorders>
          </w:tcPr>
          <w:p>
            <w:pPr>
              <w:spacing w:line="240" w:lineRule="auto" w:after="0"/>
            </w:pPr>
            <w:r/>
            <w:r>
              <w:rPr>
                <w:rFonts w:ascii="Times New Roman" w:hAnsi="Times New Roman"/>
                <w:b w:val="0"/>
                <w:sz w:val="20"/>
              </w:rPr>
              <w:t>88</w:t>
            </w:r>
          </w:p>
        </w:tc>
        <w:tc>
          <w:tcPr>
            <w:tcW w:type="dxa" w:w="1587"/>
            <w:tcBorders>
              <w:bottom w:val="single" w:sz="8" w:color="000000"/>
            </w:tcBorders>
          </w:tcPr>
          <w:p>
            <w:pPr>
              <w:spacing w:line="240" w:lineRule="auto" w:after="0"/>
            </w:pPr>
            <w:r/>
            <w:r>
              <w:rPr>
                <w:rFonts w:ascii="Times New Roman" w:hAnsi="Times New Roman"/>
                <w:b w:val="0"/>
                <w:sz w:val="20"/>
              </w:rPr>
              <w:t>12.2 ± 6.1</w:t>
            </w:r>
          </w:p>
        </w:tc>
        <w:tc>
          <w:tcPr>
            <w:tcW w:type="dxa" w:w="1361"/>
            <w:tcBorders>
              <w:bottom w:val="single" w:sz="8" w:color="000000"/>
            </w:tcBorders>
          </w:tcPr>
          <w:p>
            <w:pPr>
              <w:spacing w:line="240" w:lineRule="auto" w:after="0"/>
            </w:pPr>
            <w:r/>
            <w:r>
              <w:rPr>
                <w:rFonts w:ascii="Times New Roman" w:hAnsi="Times New Roman"/>
                <w:b w:val="0"/>
                <w:sz w:val="20"/>
              </w:rPr>
            </w:r>
          </w:p>
        </w:tc>
        <w:tc>
          <w:tcPr>
            <w:tcW w:type="dxa" w:w="1587"/>
            <w:tcBorders>
              <w:bottom w:val="single" w:sz="8" w:color="000000"/>
            </w:tcBorders>
          </w:tcPr>
          <w:p>
            <w:pPr>
              <w:spacing w:line="240" w:lineRule="auto" w:after="0"/>
            </w:pPr>
            <w:r/>
            <w:r>
              <w:rPr>
                <w:rFonts w:ascii="Times New Roman" w:hAnsi="Times New Roman"/>
                <w:b w:val="0"/>
                <w:sz w:val="20"/>
              </w:rPr>
              <w:t>28.6 ± 8.8</w:t>
            </w:r>
          </w:p>
        </w:tc>
        <w:tc>
          <w:tcPr>
            <w:tcW w:type="dxa" w:w="1361"/>
            <w:tcBorders>
              <w:bottom w:val="single" w:sz="8" w:color="000000"/>
            </w:tcBorders>
          </w:tcPr>
          <w:p>
            <w:pPr>
              <w:spacing w:line="240" w:lineRule="auto" w:after="0"/>
            </w:pPr>
            <w:r/>
            <w:r>
              <w:rPr>
                <w:rFonts w:ascii="Times New Roman" w:hAnsi="Times New Roman"/>
                <w:b w:val="0"/>
                <w:sz w:val="20"/>
              </w:rPr>
            </w:r>
          </w:p>
        </w:tc>
      </w:tr>
    </w:tbl>
    <w:p>
      <w:pPr>
        <w:spacing w:line="240" w:lineRule="auto" w:after="200"/>
      </w:pPr>
      <w:r>
        <w:rPr>
          <w:rFonts w:ascii="Times New Roman" w:hAnsi="Times New Roman"/>
          <w:sz w:val="19"/>
        </w:rPr>
        <w:t>p: Mann–Whitney U (two groups) or Kruskal–Wallis H (three or more groups); q: Benjamini–Hochberg false-discovery-rate adjusted p across all 162 group comparisons. Effect sizes, medians (IQR), Welch tests and post-hoc comparisons are provided in the supplementary workbook.</w:t>
      </w:r>
    </w:p>
    <w:p>
      <w:pPr>
        <w:keepNext/>
        <w:jc w:val="center"/>
      </w:pPr>
      <w:r>
        <w:drawing>
          <wp:inline xmlns:a="http://schemas.openxmlformats.org/drawingml/2006/main" xmlns:pic="http://schemas.openxmlformats.org/drawingml/2006/picture">
            <wp:extent cx="4320000" cy="2848436"/>
            <wp:docPr id="5" name="Picture 5"/>
            <wp:cNvGraphicFramePr>
              <a:graphicFrameLocks noChangeAspect="1"/>
            </wp:cNvGraphicFramePr>
            <a:graphic>
              <a:graphicData uri="http://schemas.openxmlformats.org/drawingml/2006/picture">
                <pic:pic>
                  <pic:nvPicPr>
                    <pic:cNvPr id="0" name="fig6_css_by_tool.png"/>
                    <pic:cNvPicPr/>
                  </pic:nvPicPr>
                  <pic:blipFill>
                    <a:blip r:embed="rId13"/>
                    <a:stretch>
                      <a:fillRect/>
                    </a:stretch>
                  </pic:blipFill>
                  <pic:spPr>
                    <a:xfrm>
                      <a:off x="0" y="0"/>
                      <a:ext cx="4320000" cy="2848436"/>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5</w:t>
      </w:r>
      <w:r>
        <w:rPr>
          <w:b/>
          <w:sz w:val="24"/>
        </w:rPr>
        <w:fldChar w:fldCharType="end"/>
      </w:r>
      <w:r>
        <w:rPr>
          <w:b/>
          <w:sz w:val="24"/>
        </w:rPr>
        <w:t xml:space="preserve">. </w:t>
      </w:r>
      <w:r>
        <w:rPr>
          <w:i/>
          <w:sz w:val="24"/>
        </w:rPr>
        <w:t>Cyberchondria (CSS-12) by online tool profile.</w:t>
      </w:r>
    </w:p>
    <w:p>
      <w:pPr>
        <w:spacing w:after="120"/>
        <w:ind w:firstLine="567"/>
        <w:jc w:val="both"/>
      </w:pPr>
      <w:r>
        <w:rPr>
          <w:rFonts w:ascii="Times New Roman" w:hAnsi="Times New Roman"/>
        </w:rPr>
        <w:t>In categorical analysis, elevated health anxiety was more common among social-media users (13/32 (40.6%) vs 44/268 (16.4%); q = 0.015) and those seeking instant reassurance (42/153 (27.5%) vs 15/147 (10.2%); q = 0.004). Participants with elevated health anxiety had 3.7 times the odds of high cyberchondria (52.6% vs 23.0%; OR = 3.71, 95% CI 2.04–6.76). High cyberchondria was associated with disclosure pattern (p = 0.001, q = 0.015): it was most frequent among those who always disclosed their searches (33/81 (40.7%)) and least frequent among those who never did (15/95 (15.8%)) (Table 6).</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6</w:t>
      </w:r>
      <w:r>
        <w:rPr>
          <w:b/>
          <w:sz w:val="24"/>
        </w:rPr>
        <w:fldChar w:fldCharType="end"/>
      </w:r>
      <w:r>
        <w:rPr>
          <w:b/>
          <w:sz w:val="24"/>
        </w:rPr>
        <w:t xml:space="preserve">. </w:t>
      </w:r>
      <w:r>
        <w:rPr>
          <w:i w:val="0"/>
          <w:sz w:val="24"/>
        </w:rPr>
        <w:t>Variables significantly associated (p &lt; 0.05) with elevated health anxiety and with high cyberchondria</w:t>
      </w:r>
    </w:p>
    <w:tbl>
      <w:tblPr>
        <w:tblStyle w:val="TableGrid"/>
        <w:tblW w:type="auto" w:w="0"/>
        <w:jc w:val="center"/>
        <w:tblLayout w:type="fixed"/>
        <w:tblLook w:firstColumn="1" w:firstRow="1" w:lastColumn="0" w:lastRow="0" w:noHBand="0" w:noVBand="1" w:val="04A0"/>
        <w:tblLayout w:type="fixed"/>
      </w:tblPr>
      <w:tblGrid>
        <w:gridCol w:w="2608"/>
        <w:gridCol w:w="4195"/>
        <w:gridCol w:w="907"/>
        <w:gridCol w:w="794"/>
        <w:gridCol w:w="907"/>
      </w:tblGrid>
      <w:tr>
        <w:trPr>
          <w:cantSplit/>
        </w:trPr>
        <w:tc>
          <w:tcPr>
            <w:tcW w:type="dxa" w:w="2608"/>
            <w:tcBorders>
              <w:top w:val="single" w:sz="8" w:color="000000"/>
              <w:bottom w:val="single" w:sz="8" w:color="000000"/>
            </w:tcBorders>
          </w:tcPr>
          <w:p>
            <w:pPr>
              <w:spacing w:line="240" w:lineRule="auto" w:after="0"/>
            </w:pPr>
            <w:r/>
            <w:r>
              <w:rPr>
                <w:rFonts w:ascii="Times New Roman" w:hAnsi="Times New Roman"/>
                <w:b/>
                <w:sz w:val="19"/>
              </w:rPr>
              <w:t>Variable</w:t>
            </w:r>
          </w:p>
        </w:tc>
        <w:tc>
          <w:tcPr>
            <w:tcW w:type="dxa" w:w="4195"/>
            <w:tcBorders>
              <w:top w:val="single" w:sz="8" w:color="000000"/>
              <w:bottom w:val="single" w:sz="8" w:color="000000"/>
            </w:tcBorders>
          </w:tcPr>
          <w:p>
            <w:pPr>
              <w:spacing w:line="240" w:lineRule="auto" w:after="0"/>
            </w:pPr>
            <w:r/>
            <w:r>
              <w:rPr>
                <w:rFonts w:ascii="Times New Roman" w:hAnsi="Times New Roman"/>
                <w:b/>
                <w:sz w:val="19"/>
              </w:rPr>
              <w:t>n/N (%) with outcome, by group</w:t>
            </w:r>
          </w:p>
        </w:tc>
        <w:tc>
          <w:tcPr>
            <w:tcW w:type="dxa" w:w="907"/>
            <w:tcBorders>
              <w:top w:val="single" w:sz="8" w:color="000000"/>
              <w:bottom w:val="single" w:sz="8" w:color="000000"/>
            </w:tcBorders>
          </w:tcPr>
          <w:p>
            <w:pPr>
              <w:spacing w:line="240" w:lineRule="auto" w:after="0"/>
            </w:pPr>
            <w:r/>
            <w:r>
              <w:rPr>
                <w:rFonts w:ascii="Times New Roman" w:hAnsi="Times New Roman"/>
                <w:b/>
                <w:sz w:val="19"/>
              </w:rPr>
              <w:t>Cramér's V</w:t>
            </w:r>
          </w:p>
        </w:tc>
        <w:tc>
          <w:tcPr>
            <w:tcW w:type="dxa" w:w="794"/>
            <w:tcBorders>
              <w:top w:val="single" w:sz="8" w:color="000000"/>
              <w:bottom w:val="single" w:sz="8" w:color="000000"/>
            </w:tcBorders>
          </w:tcPr>
          <w:p>
            <w:pPr>
              <w:spacing w:line="240" w:lineRule="auto" w:after="0"/>
            </w:pPr>
            <w:r/>
            <w:r>
              <w:rPr>
                <w:rFonts w:ascii="Times New Roman" w:hAnsi="Times New Roman"/>
                <w:b/>
                <w:sz w:val="19"/>
              </w:rPr>
              <w:t>p</w:t>
            </w:r>
          </w:p>
        </w:tc>
        <w:tc>
          <w:tcPr>
            <w:tcW w:type="dxa" w:w="907"/>
            <w:tcBorders>
              <w:top w:val="single" w:sz="8" w:color="000000"/>
              <w:bottom w:val="single" w:sz="8" w:color="000000"/>
            </w:tcBorders>
          </w:tcPr>
          <w:p>
            <w:pPr>
              <w:spacing w:line="240" w:lineRule="auto" w:after="0"/>
            </w:pPr>
            <w:r/>
            <w:r>
              <w:rPr>
                <w:rFonts w:ascii="Times New Roman" w:hAnsi="Times New Roman"/>
                <w:b/>
                <w:sz w:val="19"/>
              </w:rPr>
              <w:t>q (FDR)</w:t>
            </w:r>
          </w:p>
        </w:tc>
      </w:tr>
      <w:tr>
        <w:trPr>
          <w:cantSplit/>
        </w:trPr>
        <w:tc>
          <w:tcPr>
            <w:tcW w:type="dxa" w:w="2608"/>
          </w:tcPr>
          <w:p>
            <w:pPr>
              <w:spacing w:line="240" w:lineRule="auto" w:after="0"/>
            </w:pPr>
            <w:r/>
            <w:r>
              <w:rPr>
                <w:rFonts w:ascii="Times New Roman" w:hAnsi="Times New Roman"/>
                <w:b/>
                <w:sz w:val="19"/>
              </w:rPr>
              <w:t>Elevated health anxiety (SHAI ≥ 18)</w:t>
            </w:r>
          </w:p>
        </w:tc>
        <w:tc>
          <w:tcPr>
            <w:tcW w:type="dxa" w:w="4195"/>
          </w:tcPr>
          <w:p>
            <w:pPr>
              <w:spacing w:line="240" w:lineRule="auto" w:after="0"/>
            </w:pPr>
            <w:r/>
            <w:r>
              <w:rPr>
                <w:rFonts w:ascii="Times New Roman" w:hAnsi="Times New Roman"/>
                <w:b/>
                <w:sz w:val="19"/>
              </w:rPr>
            </w:r>
          </w:p>
        </w:tc>
        <w:tc>
          <w:tcPr>
            <w:tcW w:type="dxa" w:w="907"/>
          </w:tcPr>
          <w:p>
            <w:pPr>
              <w:spacing w:line="240" w:lineRule="auto" w:after="0"/>
            </w:pPr>
            <w:r/>
            <w:r>
              <w:rPr>
                <w:rFonts w:ascii="Times New Roman" w:hAnsi="Times New Roman"/>
                <w:b/>
                <w:sz w:val="19"/>
              </w:rPr>
            </w:r>
          </w:p>
        </w:tc>
        <w:tc>
          <w:tcPr>
            <w:tcW w:type="dxa" w:w="794"/>
          </w:tcPr>
          <w:p>
            <w:pPr>
              <w:spacing w:line="240" w:lineRule="auto" w:after="0"/>
            </w:pPr>
            <w:r/>
            <w:r>
              <w:rPr>
                <w:rFonts w:ascii="Times New Roman" w:hAnsi="Times New Roman"/>
                <w:b/>
                <w:sz w:val="19"/>
              </w:rPr>
            </w:r>
          </w:p>
        </w:tc>
        <w:tc>
          <w:tcPr>
            <w:tcW w:type="dxa" w:w="907"/>
          </w:tcPr>
          <w:p>
            <w:pPr>
              <w:spacing w:line="240" w:lineRule="auto" w:after="0"/>
            </w:pPr>
            <w:r/>
            <w:r>
              <w:rPr>
                <w:rFonts w:ascii="Times New Roman" w:hAnsi="Times New Roman"/>
                <w:b/>
                <w:sz w:val="19"/>
              </w:rPr>
            </w:r>
          </w:p>
        </w:tc>
      </w:tr>
      <w:tr>
        <w:trPr>
          <w:cantSplit/>
        </w:trPr>
        <w:tc>
          <w:tcPr>
            <w:tcW w:type="dxa" w:w="2608"/>
          </w:tcPr>
          <w:p>
            <w:pPr>
              <w:spacing w:line="240" w:lineRule="auto" w:after="0"/>
            </w:pPr>
            <w:r/>
            <w:r>
              <w:rPr>
                <w:rFonts w:ascii="Times New Roman" w:hAnsi="Times New Roman"/>
                <w:b w:val="0"/>
                <w:sz w:val="19"/>
              </w:rPr>
              <w:t xml:space="preserve">    Motive: reassurance</w:t>
            </w:r>
          </w:p>
        </w:tc>
        <w:tc>
          <w:tcPr>
            <w:tcW w:type="dxa" w:w="4195"/>
          </w:tcPr>
          <w:p>
            <w:pPr>
              <w:spacing w:line="240" w:lineRule="auto" w:after="0"/>
            </w:pPr>
            <w:r/>
            <w:r>
              <w:rPr>
                <w:rFonts w:ascii="Times New Roman" w:hAnsi="Times New Roman"/>
                <w:b w:val="0"/>
                <w:sz w:val="19"/>
              </w:rPr>
              <w:t>No: 15/147 (10.2%); Yes: 42/153 (27.5%)</w:t>
            </w:r>
          </w:p>
        </w:tc>
        <w:tc>
          <w:tcPr>
            <w:tcW w:type="dxa" w:w="907"/>
          </w:tcPr>
          <w:p>
            <w:pPr>
              <w:spacing w:line="240" w:lineRule="auto" w:after="0"/>
            </w:pPr>
            <w:r/>
            <w:r>
              <w:rPr>
                <w:rFonts w:ascii="Times New Roman" w:hAnsi="Times New Roman"/>
                <w:b w:val="0"/>
                <w:sz w:val="19"/>
              </w:rPr>
              <w:t>0.22</w:t>
            </w:r>
          </w:p>
        </w:tc>
        <w:tc>
          <w:tcPr>
            <w:tcW w:type="dxa" w:w="794"/>
          </w:tcPr>
          <w:p>
            <w:pPr>
              <w:spacing w:line="240" w:lineRule="auto" w:after="0"/>
            </w:pPr>
            <w:r/>
            <w:r>
              <w:rPr>
                <w:rFonts w:ascii="Times New Roman" w:hAnsi="Times New Roman"/>
                <w:b w:val="0"/>
                <w:sz w:val="19"/>
              </w:rPr>
              <w:t>&lt;0.001</w:t>
            </w:r>
          </w:p>
        </w:tc>
        <w:tc>
          <w:tcPr>
            <w:tcW w:type="dxa" w:w="907"/>
          </w:tcPr>
          <w:p>
            <w:pPr>
              <w:spacing w:line="240" w:lineRule="auto" w:after="0"/>
            </w:pPr>
            <w:r/>
            <w:r>
              <w:rPr>
                <w:rFonts w:ascii="Times New Roman" w:hAnsi="Times New Roman"/>
                <w:b w:val="0"/>
                <w:sz w:val="19"/>
              </w:rPr>
              <w:t>0.004</w:t>
            </w:r>
          </w:p>
        </w:tc>
      </w:tr>
      <w:tr>
        <w:trPr>
          <w:cantSplit/>
        </w:trPr>
        <w:tc>
          <w:tcPr>
            <w:tcW w:type="dxa" w:w="2608"/>
          </w:tcPr>
          <w:p>
            <w:pPr>
              <w:spacing w:line="240" w:lineRule="auto" w:after="0"/>
            </w:pPr>
            <w:r/>
            <w:r>
              <w:rPr>
                <w:rFonts w:ascii="Times New Roman" w:hAnsi="Times New Roman"/>
                <w:b w:val="0"/>
                <w:sz w:val="19"/>
              </w:rPr>
              <w:t xml:space="preserve">    Uses social media</w:t>
            </w:r>
          </w:p>
        </w:tc>
        <w:tc>
          <w:tcPr>
            <w:tcW w:type="dxa" w:w="4195"/>
          </w:tcPr>
          <w:p>
            <w:pPr>
              <w:spacing w:line="240" w:lineRule="auto" w:after="0"/>
            </w:pPr>
            <w:r/>
            <w:r>
              <w:rPr>
                <w:rFonts w:ascii="Times New Roman" w:hAnsi="Times New Roman"/>
                <w:b w:val="0"/>
                <w:sz w:val="19"/>
              </w:rPr>
              <w:t>No: 44/268 (16.4%); Yes: 13/32 (40.6%)</w:t>
            </w:r>
          </w:p>
        </w:tc>
        <w:tc>
          <w:tcPr>
            <w:tcW w:type="dxa" w:w="907"/>
          </w:tcPr>
          <w:p>
            <w:pPr>
              <w:spacing w:line="240" w:lineRule="auto" w:after="0"/>
            </w:pPr>
            <w:r/>
            <w:r>
              <w:rPr>
                <w:rFonts w:ascii="Times New Roman" w:hAnsi="Times New Roman"/>
                <w:b w:val="0"/>
                <w:sz w:val="19"/>
              </w:rPr>
              <w:t>0.19</w:t>
            </w:r>
          </w:p>
        </w:tc>
        <w:tc>
          <w:tcPr>
            <w:tcW w:type="dxa" w:w="794"/>
          </w:tcPr>
          <w:p>
            <w:pPr>
              <w:spacing w:line="240" w:lineRule="auto" w:after="0"/>
            </w:pPr>
            <w:r/>
            <w:r>
              <w:rPr>
                <w:rFonts w:ascii="Times New Roman" w:hAnsi="Times New Roman"/>
                <w:b w:val="0"/>
                <w:sz w:val="19"/>
              </w:rPr>
              <w:t>0.001</w:t>
            </w:r>
          </w:p>
        </w:tc>
        <w:tc>
          <w:tcPr>
            <w:tcW w:type="dxa" w:w="907"/>
          </w:tcPr>
          <w:p>
            <w:pPr>
              <w:spacing w:line="240" w:lineRule="auto" w:after="0"/>
            </w:pPr>
            <w:r/>
            <w:r>
              <w:rPr>
                <w:rFonts w:ascii="Times New Roman" w:hAnsi="Times New Roman"/>
                <w:b w:val="0"/>
                <w:sz w:val="19"/>
              </w:rPr>
              <w:t>0.015</w:t>
            </w:r>
          </w:p>
        </w:tc>
      </w:tr>
      <w:tr>
        <w:trPr>
          <w:cantSplit/>
        </w:trPr>
        <w:tc>
          <w:tcPr>
            <w:tcW w:type="dxa" w:w="2608"/>
          </w:tcPr>
          <w:p>
            <w:pPr>
              <w:spacing w:line="240" w:lineRule="auto" w:after="0"/>
            </w:pPr>
            <w:r/>
            <w:r>
              <w:rPr>
                <w:rFonts w:ascii="Times New Roman" w:hAnsi="Times New Roman"/>
                <w:b w:val="0"/>
                <w:sz w:val="19"/>
              </w:rPr>
              <w:t xml:space="preserve">    Delay care (terrified)</w:t>
            </w:r>
          </w:p>
        </w:tc>
        <w:tc>
          <w:tcPr>
            <w:tcW w:type="dxa" w:w="4195"/>
          </w:tcPr>
          <w:p>
            <w:pPr>
              <w:spacing w:line="240" w:lineRule="auto" w:after="0"/>
            </w:pPr>
            <w:r/>
            <w:r>
              <w:rPr>
                <w:rFonts w:ascii="Times New Roman" w:hAnsi="Times New Roman"/>
                <w:b w:val="0"/>
                <w:sz w:val="19"/>
              </w:rPr>
              <w:t>No: 47/274 (17.2%); Yes: 10/26 (38.5%)</w:t>
            </w:r>
          </w:p>
        </w:tc>
        <w:tc>
          <w:tcPr>
            <w:tcW w:type="dxa" w:w="907"/>
          </w:tcPr>
          <w:p>
            <w:pPr>
              <w:spacing w:line="240" w:lineRule="auto" w:after="0"/>
            </w:pPr>
            <w:r/>
            <w:r>
              <w:rPr>
                <w:rFonts w:ascii="Times New Roman" w:hAnsi="Times New Roman"/>
                <w:b w:val="0"/>
                <w:sz w:val="19"/>
              </w:rPr>
              <w:t>0.15</w:t>
            </w:r>
          </w:p>
        </w:tc>
        <w:tc>
          <w:tcPr>
            <w:tcW w:type="dxa" w:w="794"/>
          </w:tcPr>
          <w:p>
            <w:pPr>
              <w:spacing w:line="240" w:lineRule="auto" w:after="0"/>
            </w:pPr>
            <w:r/>
            <w:r>
              <w:rPr>
                <w:rFonts w:ascii="Times New Roman" w:hAnsi="Times New Roman"/>
                <w:b w:val="0"/>
                <w:sz w:val="19"/>
              </w:rPr>
              <w:t>0.016</w:t>
            </w:r>
          </w:p>
        </w:tc>
        <w:tc>
          <w:tcPr>
            <w:tcW w:type="dxa" w:w="907"/>
          </w:tcPr>
          <w:p>
            <w:pPr>
              <w:spacing w:line="240" w:lineRule="auto" w:after="0"/>
            </w:pPr>
            <w:r/>
            <w:r>
              <w:rPr>
                <w:rFonts w:ascii="Times New Roman" w:hAnsi="Times New Roman"/>
                <w:b w:val="0"/>
                <w:sz w:val="19"/>
              </w:rPr>
              <w:t>0.107</w:t>
            </w:r>
          </w:p>
        </w:tc>
      </w:tr>
      <w:tr>
        <w:trPr>
          <w:cantSplit/>
        </w:trPr>
        <w:tc>
          <w:tcPr>
            <w:tcW w:type="dxa" w:w="2608"/>
          </w:tcPr>
          <w:p>
            <w:pPr>
              <w:spacing w:line="240" w:lineRule="auto" w:after="0"/>
            </w:pPr>
            <w:r/>
            <w:r>
              <w:rPr>
                <w:rFonts w:ascii="Times New Roman" w:hAnsi="Times New Roman"/>
                <w:b w:val="0"/>
                <w:sz w:val="19"/>
              </w:rPr>
              <w:t xml:space="preserve">    Motive: convenience</w:t>
            </w:r>
          </w:p>
        </w:tc>
        <w:tc>
          <w:tcPr>
            <w:tcW w:type="dxa" w:w="4195"/>
          </w:tcPr>
          <w:p>
            <w:pPr>
              <w:spacing w:line="240" w:lineRule="auto" w:after="0"/>
            </w:pPr>
            <w:r/>
            <w:r>
              <w:rPr>
                <w:rFonts w:ascii="Times New Roman" w:hAnsi="Times New Roman"/>
                <w:b w:val="0"/>
                <w:sz w:val="19"/>
              </w:rPr>
              <w:t>No: 17/60 (28.3%); Yes: 40/240 (16.7%)</w:t>
            </w:r>
          </w:p>
        </w:tc>
        <w:tc>
          <w:tcPr>
            <w:tcW w:type="dxa" w:w="907"/>
          </w:tcPr>
          <w:p>
            <w:pPr>
              <w:spacing w:line="240" w:lineRule="auto" w:after="0"/>
            </w:pPr>
            <w:r/>
            <w:r>
              <w:rPr>
                <w:rFonts w:ascii="Times New Roman" w:hAnsi="Times New Roman"/>
                <w:b w:val="0"/>
                <w:sz w:val="19"/>
              </w:rPr>
              <w:t>0.12</w:t>
            </w:r>
          </w:p>
        </w:tc>
        <w:tc>
          <w:tcPr>
            <w:tcW w:type="dxa" w:w="794"/>
          </w:tcPr>
          <w:p>
            <w:pPr>
              <w:spacing w:line="240" w:lineRule="auto" w:after="0"/>
            </w:pPr>
            <w:r/>
            <w:r>
              <w:rPr>
                <w:rFonts w:ascii="Times New Roman" w:hAnsi="Times New Roman"/>
                <w:b w:val="0"/>
                <w:sz w:val="19"/>
              </w:rPr>
              <w:t>0.039</w:t>
            </w:r>
          </w:p>
        </w:tc>
        <w:tc>
          <w:tcPr>
            <w:tcW w:type="dxa" w:w="907"/>
          </w:tcPr>
          <w:p>
            <w:pPr>
              <w:spacing w:line="240" w:lineRule="auto" w:after="0"/>
            </w:pPr>
            <w:r/>
            <w:r>
              <w:rPr>
                <w:rFonts w:ascii="Times New Roman" w:hAnsi="Times New Roman"/>
                <w:b w:val="0"/>
                <w:sz w:val="19"/>
              </w:rPr>
              <w:t>0.180</w:t>
            </w:r>
          </w:p>
        </w:tc>
      </w:tr>
      <w:tr>
        <w:trPr>
          <w:cantSplit/>
        </w:trPr>
        <w:tc>
          <w:tcPr>
            <w:tcW w:type="dxa" w:w="2608"/>
          </w:tcPr>
          <w:p>
            <w:pPr>
              <w:spacing w:line="240" w:lineRule="auto" w:after="0"/>
            </w:pPr>
            <w:r/>
            <w:r>
              <w:rPr>
                <w:rFonts w:ascii="Times New Roman" w:hAnsi="Times New Roman"/>
                <w:b/>
                <w:sz w:val="19"/>
              </w:rPr>
              <w:t>High cyberchondria (CSS &gt; 33)</w:t>
            </w:r>
          </w:p>
        </w:tc>
        <w:tc>
          <w:tcPr>
            <w:tcW w:type="dxa" w:w="4195"/>
          </w:tcPr>
          <w:p>
            <w:pPr>
              <w:spacing w:line="240" w:lineRule="auto" w:after="0"/>
            </w:pPr>
            <w:r/>
            <w:r>
              <w:rPr>
                <w:rFonts w:ascii="Times New Roman" w:hAnsi="Times New Roman"/>
                <w:b/>
                <w:sz w:val="19"/>
              </w:rPr>
            </w:r>
          </w:p>
        </w:tc>
        <w:tc>
          <w:tcPr>
            <w:tcW w:type="dxa" w:w="907"/>
          </w:tcPr>
          <w:p>
            <w:pPr>
              <w:spacing w:line="240" w:lineRule="auto" w:after="0"/>
            </w:pPr>
            <w:r/>
            <w:r>
              <w:rPr>
                <w:rFonts w:ascii="Times New Roman" w:hAnsi="Times New Roman"/>
                <w:b/>
                <w:sz w:val="19"/>
              </w:rPr>
            </w:r>
          </w:p>
        </w:tc>
        <w:tc>
          <w:tcPr>
            <w:tcW w:type="dxa" w:w="794"/>
          </w:tcPr>
          <w:p>
            <w:pPr>
              <w:spacing w:line="240" w:lineRule="auto" w:after="0"/>
            </w:pPr>
            <w:r/>
            <w:r>
              <w:rPr>
                <w:rFonts w:ascii="Times New Roman" w:hAnsi="Times New Roman"/>
                <w:b/>
                <w:sz w:val="19"/>
              </w:rPr>
            </w:r>
          </w:p>
        </w:tc>
        <w:tc>
          <w:tcPr>
            <w:tcW w:type="dxa" w:w="907"/>
          </w:tcPr>
          <w:p>
            <w:pPr>
              <w:spacing w:line="240" w:lineRule="auto" w:after="0"/>
            </w:pPr>
            <w:r/>
            <w:r>
              <w:rPr>
                <w:rFonts w:ascii="Times New Roman" w:hAnsi="Times New Roman"/>
                <w:b/>
                <w:sz w:val="19"/>
              </w:rPr>
            </w:r>
          </w:p>
        </w:tc>
      </w:tr>
      <w:tr>
        <w:trPr>
          <w:cantSplit/>
        </w:trPr>
        <w:tc>
          <w:tcPr>
            <w:tcW w:type="dxa" w:w="2608"/>
          </w:tcPr>
          <w:p>
            <w:pPr>
              <w:spacing w:line="240" w:lineRule="auto" w:after="0"/>
            </w:pPr>
            <w:r/>
            <w:r>
              <w:rPr>
                <w:rFonts w:ascii="Times New Roman" w:hAnsi="Times New Roman"/>
                <w:b w:val="0"/>
                <w:sz w:val="19"/>
              </w:rPr>
              <w:t xml:space="preserve">    Elevated health anxiety</w:t>
            </w:r>
          </w:p>
        </w:tc>
        <w:tc>
          <w:tcPr>
            <w:tcW w:type="dxa" w:w="4195"/>
          </w:tcPr>
          <w:p>
            <w:pPr>
              <w:spacing w:line="240" w:lineRule="auto" w:after="0"/>
            </w:pPr>
            <w:r/>
            <w:r>
              <w:rPr>
                <w:rFonts w:ascii="Times New Roman" w:hAnsi="Times New Roman"/>
                <w:b w:val="0"/>
                <w:sz w:val="19"/>
              </w:rPr>
              <w:t>No: 56/243 (23.0%); Yes: 30/57 (52.6%)</w:t>
            </w:r>
          </w:p>
        </w:tc>
        <w:tc>
          <w:tcPr>
            <w:tcW w:type="dxa" w:w="907"/>
          </w:tcPr>
          <w:p>
            <w:pPr>
              <w:spacing w:line="240" w:lineRule="auto" w:after="0"/>
            </w:pPr>
            <w:r/>
            <w:r>
              <w:rPr>
                <w:rFonts w:ascii="Times New Roman" w:hAnsi="Times New Roman"/>
                <w:b w:val="0"/>
                <w:sz w:val="19"/>
              </w:rPr>
              <w:t>0.26</w:t>
            </w:r>
          </w:p>
        </w:tc>
        <w:tc>
          <w:tcPr>
            <w:tcW w:type="dxa" w:w="794"/>
          </w:tcPr>
          <w:p>
            <w:pPr>
              <w:spacing w:line="240" w:lineRule="auto" w:after="0"/>
            </w:pPr>
            <w:r/>
            <w:r>
              <w:rPr>
                <w:rFonts w:ascii="Times New Roman" w:hAnsi="Times New Roman"/>
                <w:b w:val="0"/>
                <w:sz w:val="19"/>
              </w:rPr>
              <w:t>&lt;0.001</w:t>
            </w:r>
          </w:p>
        </w:tc>
        <w:tc>
          <w:tcPr>
            <w:tcW w:type="dxa" w:w="907"/>
          </w:tcPr>
          <w:p>
            <w:pPr>
              <w:spacing w:line="240" w:lineRule="auto" w:after="0"/>
            </w:pPr>
            <w:r/>
            <w:r>
              <w:rPr>
                <w:rFonts w:ascii="Times New Roman" w:hAnsi="Times New Roman"/>
                <w:b w:val="0"/>
                <w:sz w:val="19"/>
              </w:rPr>
              <w:t>0.001</w:t>
            </w:r>
          </w:p>
        </w:tc>
      </w:tr>
      <w:tr>
        <w:trPr>
          <w:cantSplit/>
        </w:trPr>
        <w:tc>
          <w:tcPr>
            <w:tcW w:type="dxa" w:w="2608"/>
          </w:tcPr>
          <w:p>
            <w:pPr>
              <w:spacing w:line="240" w:lineRule="auto" w:after="0"/>
            </w:pPr>
            <w:r/>
            <w:r>
              <w:rPr>
                <w:rFonts w:ascii="Times New Roman" w:hAnsi="Times New Roman"/>
                <w:b w:val="0"/>
                <w:sz w:val="19"/>
              </w:rPr>
              <w:t xml:space="preserve">    Disclose to physician</w:t>
            </w:r>
          </w:p>
        </w:tc>
        <w:tc>
          <w:tcPr>
            <w:tcW w:type="dxa" w:w="4195"/>
          </w:tcPr>
          <w:p>
            <w:pPr>
              <w:spacing w:line="240" w:lineRule="auto" w:after="0"/>
            </w:pPr>
            <w:r/>
            <w:r>
              <w:rPr>
                <w:rFonts w:ascii="Times New Roman" w:hAnsi="Times New Roman"/>
                <w:b w:val="0"/>
                <w:sz w:val="19"/>
              </w:rPr>
              <w:t>Always: 33/81 (40.7%); Never : 15/95 (15.8%); Sometimes: 38/124 (30.6%)</w:t>
            </w:r>
          </w:p>
        </w:tc>
        <w:tc>
          <w:tcPr>
            <w:tcW w:type="dxa" w:w="907"/>
          </w:tcPr>
          <w:p>
            <w:pPr>
              <w:spacing w:line="240" w:lineRule="auto" w:after="0"/>
            </w:pPr>
            <w:r/>
            <w:r>
              <w:rPr>
                <w:rFonts w:ascii="Times New Roman" w:hAnsi="Times New Roman"/>
                <w:b w:val="0"/>
                <w:sz w:val="19"/>
              </w:rPr>
              <w:t>0.21</w:t>
            </w:r>
          </w:p>
        </w:tc>
        <w:tc>
          <w:tcPr>
            <w:tcW w:type="dxa" w:w="794"/>
          </w:tcPr>
          <w:p>
            <w:pPr>
              <w:spacing w:line="240" w:lineRule="auto" w:after="0"/>
            </w:pPr>
            <w:r/>
            <w:r>
              <w:rPr>
                <w:rFonts w:ascii="Times New Roman" w:hAnsi="Times New Roman"/>
                <w:b w:val="0"/>
                <w:sz w:val="19"/>
              </w:rPr>
              <w:t>0.001</w:t>
            </w:r>
          </w:p>
        </w:tc>
        <w:tc>
          <w:tcPr>
            <w:tcW w:type="dxa" w:w="907"/>
          </w:tcPr>
          <w:p>
            <w:pPr>
              <w:spacing w:line="240" w:lineRule="auto" w:after="0"/>
            </w:pPr>
            <w:r/>
            <w:r>
              <w:rPr>
                <w:rFonts w:ascii="Times New Roman" w:hAnsi="Times New Roman"/>
                <w:b w:val="0"/>
                <w:sz w:val="19"/>
              </w:rPr>
              <w:t>0.015</w:t>
            </w:r>
          </w:p>
        </w:tc>
      </w:tr>
      <w:tr>
        <w:trPr>
          <w:cantSplit/>
        </w:trPr>
        <w:tc>
          <w:tcPr>
            <w:tcW w:type="dxa" w:w="2608"/>
          </w:tcPr>
          <w:p>
            <w:pPr>
              <w:spacing w:line="240" w:lineRule="auto" w:after="0"/>
            </w:pPr>
            <w:r/>
            <w:r>
              <w:rPr>
                <w:rFonts w:ascii="Times New Roman" w:hAnsi="Times New Roman"/>
                <w:b w:val="0"/>
                <w:sz w:val="19"/>
              </w:rPr>
              <w:t xml:space="preserve">    Ignore symptom</w:t>
            </w:r>
          </w:p>
        </w:tc>
        <w:tc>
          <w:tcPr>
            <w:tcW w:type="dxa" w:w="4195"/>
          </w:tcPr>
          <w:p>
            <w:pPr>
              <w:spacing w:line="240" w:lineRule="auto" w:after="0"/>
            </w:pPr>
            <w:r/>
            <w:r>
              <w:rPr>
                <w:rFonts w:ascii="Times New Roman" w:hAnsi="Times New Roman"/>
                <w:b w:val="0"/>
                <w:sz w:val="19"/>
              </w:rPr>
              <w:t>No: 70/210 (33.3%); Yes: 16/90 (17.8%)</w:t>
            </w:r>
          </w:p>
        </w:tc>
        <w:tc>
          <w:tcPr>
            <w:tcW w:type="dxa" w:w="907"/>
          </w:tcPr>
          <w:p>
            <w:pPr>
              <w:spacing w:line="240" w:lineRule="auto" w:after="0"/>
            </w:pPr>
            <w:r/>
            <w:r>
              <w:rPr>
                <w:rFonts w:ascii="Times New Roman" w:hAnsi="Times New Roman"/>
                <w:b w:val="0"/>
                <w:sz w:val="19"/>
              </w:rPr>
              <w:t>0.16</w:t>
            </w:r>
          </w:p>
        </w:tc>
        <w:tc>
          <w:tcPr>
            <w:tcW w:type="dxa" w:w="794"/>
          </w:tcPr>
          <w:p>
            <w:pPr>
              <w:spacing w:line="240" w:lineRule="auto" w:after="0"/>
            </w:pPr>
            <w:r/>
            <w:r>
              <w:rPr>
                <w:rFonts w:ascii="Times New Roman" w:hAnsi="Times New Roman"/>
                <w:b w:val="0"/>
                <w:sz w:val="19"/>
              </w:rPr>
              <w:t>0.006</w:t>
            </w:r>
          </w:p>
        </w:tc>
        <w:tc>
          <w:tcPr>
            <w:tcW w:type="dxa" w:w="907"/>
          </w:tcPr>
          <w:p>
            <w:pPr>
              <w:spacing w:line="240" w:lineRule="auto" w:after="0"/>
            </w:pPr>
            <w:r/>
            <w:r>
              <w:rPr>
                <w:rFonts w:ascii="Times New Roman" w:hAnsi="Times New Roman"/>
                <w:b w:val="0"/>
                <w:sz w:val="19"/>
              </w:rPr>
              <w:t>0.060</w:t>
            </w:r>
          </w:p>
        </w:tc>
      </w:tr>
      <w:tr>
        <w:trPr>
          <w:cantSplit/>
        </w:trPr>
        <w:tc>
          <w:tcPr>
            <w:tcW w:type="dxa" w:w="2608"/>
          </w:tcPr>
          <w:p>
            <w:pPr>
              <w:spacing w:line="240" w:lineRule="auto" w:after="0"/>
            </w:pPr>
            <w:r/>
            <w:r>
              <w:rPr>
                <w:rFonts w:ascii="Times New Roman" w:hAnsi="Times New Roman"/>
                <w:b w:val="0"/>
                <w:sz w:val="19"/>
              </w:rPr>
              <w:t xml:space="preserve">    Uses AI chatbots</w:t>
            </w:r>
          </w:p>
        </w:tc>
        <w:tc>
          <w:tcPr>
            <w:tcW w:type="dxa" w:w="4195"/>
          </w:tcPr>
          <w:p>
            <w:pPr>
              <w:spacing w:line="240" w:lineRule="auto" w:after="0"/>
            </w:pPr>
            <w:r/>
            <w:r>
              <w:rPr>
                <w:rFonts w:ascii="Times New Roman" w:hAnsi="Times New Roman"/>
                <w:b w:val="0"/>
                <w:sz w:val="19"/>
              </w:rPr>
              <w:t>No: 3/34 (8.8%); Yes: 83/266 (31.2%)</w:t>
            </w:r>
          </w:p>
        </w:tc>
        <w:tc>
          <w:tcPr>
            <w:tcW w:type="dxa" w:w="907"/>
          </w:tcPr>
          <w:p>
            <w:pPr>
              <w:spacing w:line="240" w:lineRule="auto" w:after="0"/>
            </w:pPr>
            <w:r/>
            <w:r>
              <w:rPr>
                <w:rFonts w:ascii="Times New Roman" w:hAnsi="Times New Roman"/>
                <w:b w:val="0"/>
                <w:sz w:val="19"/>
              </w:rPr>
              <w:t>0.16</w:t>
            </w:r>
          </w:p>
        </w:tc>
        <w:tc>
          <w:tcPr>
            <w:tcW w:type="dxa" w:w="794"/>
          </w:tcPr>
          <w:p>
            <w:pPr>
              <w:spacing w:line="240" w:lineRule="auto" w:after="0"/>
            </w:pPr>
            <w:r/>
            <w:r>
              <w:rPr>
                <w:rFonts w:ascii="Times New Roman" w:hAnsi="Times New Roman"/>
                <w:b w:val="0"/>
                <w:sz w:val="19"/>
              </w:rPr>
              <w:t>0.007</w:t>
            </w:r>
          </w:p>
        </w:tc>
        <w:tc>
          <w:tcPr>
            <w:tcW w:type="dxa" w:w="907"/>
          </w:tcPr>
          <w:p>
            <w:pPr>
              <w:spacing w:line="240" w:lineRule="auto" w:after="0"/>
            </w:pPr>
            <w:r/>
            <w:r>
              <w:rPr>
                <w:rFonts w:ascii="Times New Roman" w:hAnsi="Times New Roman"/>
                <w:b w:val="0"/>
                <w:sz w:val="19"/>
              </w:rPr>
              <w:t>0.060</w:t>
            </w:r>
          </w:p>
        </w:tc>
      </w:tr>
      <w:tr>
        <w:trPr>
          <w:cantSplit/>
        </w:trPr>
        <w:tc>
          <w:tcPr>
            <w:tcW w:type="dxa" w:w="2608"/>
          </w:tcPr>
          <w:p>
            <w:pPr>
              <w:spacing w:line="240" w:lineRule="auto" w:after="0"/>
            </w:pPr>
            <w:r/>
            <w:r>
              <w:rPr>
                <w:rFonts w:ascii="Times New Roman" w:hAnsi="Times New Roman"/>
                <w:b w:val="0"/>
                <w:sz w:val="19"/>
              </w:rPr>
              <w:t xml:space="preserve">    Tool profile</w:t>
            </w:r>
          </w:p>
        </w:tc>
        <w:tc>
          <w:tcPr>
            <w:tcW w:type="dxa" w:w="4195"/>
          </w:tcPr>
          <w:p>
            <w:pPr>
              <w:spacing w:line="240" w:lineRule="auto" w:after="0"/>
            </w:pPr>
            <w:r/>
            <w:r>
              <w:rPr>
                <w:rFonts w:ascii="Times New Roman" w:hAnsi="Times New Roman"/>
                <w:b w:val="0"/>
                <w:sz w:val="19"/>
              </w:rPr>
              <w:t>AI + search engine: 49/143 (34.3%); AI without search engine: 34/123 (27.6%); No AI (search/other only): 3/34 (8.8%)</w:t>
            </w:r>
          </w:p>
        </w:tc>
        <w:tc>
          <w:tcPr>
            <w:tcW w:type="dxa" w:w="907"/>
          </w:tcPr>
          <w:p>
            <w:pPr>
              <w:spacing w:line="240" w:lineRule="auto" w:after="0"/>
            </w:pPr>
            <w:r/>
            <w:r>
              <w:rPr>
                <w:rFonts w:ascii="Times New Roman" w:hAnsi="Times New Roman"/>
                <w:b w:val="0"/>
                <w:sz w:val="19"/>
              </w:rPr>
              <w:t>0.17</w:t>
            </w:r>
          </w:p>
        </w:tc>
        <w:tc>
          <w:tcPr>
            <w:tcW w:type="dxa" w:w="794"/>
          </w:tcPr>
          <w:p>
            <w:pPr>
              <w:spacing w:line="240" w:lineRule="auto" w:after="0"/>
            </w:pPr>
            <w:r/>
            <w:r>
              <w:rPr>
                <w:rFonts w:ascii="Times New Roman" w:hAnsi="Times New Roman"/>
                <w:b w:val="0"/>
                <w:sz w:val="19"/>
              </w:rPr>
              <w:t>0.012</w:t>
            </w:r>
          </w:p>
        </w:tc>
        <w:tc>
          <w:tcPr>
            <w:tcW w:type="dxa" w:w="907"/>
          </w:tcPr>
          <w:p>
            <w:pPr>
              <w:spacing w:line="240" w:lineRule="auto" w:after="0"/>
            </w:pPr>
            <w:r/>
            <w:r>
              <w:rPr>
                <w:rFonts w:ascii="Times New Roman" w:hAnsi="Times New Roman"/>
                <w:b w:val="0"/>
                <w:sz w:val="19"/>
              </w:rPr>
              <w:t>0.096</w:t>
            </w:r>
          </w:p>
        </w:tc>
      </w:tr>
      <w:tr>
        <w:trPr>
          <w:cantSplit/>
        </w:trPr>
        <w:tc>
          <w:tcPr>
            <w:tcW w:type="dxa" w:w="2608"/>
          </w:tcPr>
          <w:p>
            <w:pPr>
              <w:spacing w:line="240" w:lineRule="auto" w:after="0"/>
            </w:pPr>
            <w:r/>
            <w:r>
              <w:rPr>
                <w:rFonts w:ascii="Times New Roman" w:hAnsi="Times New Roman"/>
                <w:b w:val="0"/>
                <w:sz w:val="19"/>
              </w:rPr>
              <w:t xml:space="preserve">    Effect on doctor relationship</w:t>
            </w:r>
          </w:p>
        </w:tc>
        <w:tc>
          <w:tcPr>
            <w:tcW w:type="dxa" w:w="4195"/>
          </w:tcPr>
          <w:p>
            <w:pPr>
              <w:spacing w:line="240" w:lineRule="auto" w:after="0"/>
            </w:pPr>
            <w:r/>
            <w:r>
              <w:rPr>
                <w:rFonts w:ascii="Times New Roman" w:hAnsi="Times New Roman"/>
                <w:b w:val="0"/>
                <w:sz w:val="19"/>
              </w:rPr>
              <w:t>No negative impact: 46/196 (23.5%); Significantly reduced trust: 14/38 (36.8%); Somewhat complicated: 26/66 (39.4%)</w:t>
            </w:r>
          </w:p>
        </w:tc>
        <w:tc>
          <w:tcPr>
            <w:tcW w:type="dxa" w:w="907"/>
          </w:tcPr>
          <w:p>
            <w:pPr>
              <w:spacing w:line="240" w:lineRule="auto" w:after="0"/>
            </w:pPr>
            <w:r/>
            <w:r>
              <w:rPr>
                <w:rFonts w:ascii="Times New Roman" w:hAnsi="Times New Roman"/>
                <w:b w:val="0"/>
                <w:sz w:val="19"/>
              </w:rPr>
              <w:t>0.16</w:t>
            </w:r>
          </w:p>
        </w:tc>
        <w:tc>
          <w:tcPr>
            <w:tcW w:type="dxa" w:w="794"/>
          </w:tcPr>
          <w:p>
            <w:pPr>
              <w:spacing w:line="240" w:lineRule="auto" w:after="0"/>
            </w:pPr>
            <w:r/>
            <w:r>
              <w:rPr>
                <w:rFonts w:ascii="Times New Roman" w:hAnsi="Times New Roman"/>
                <w:b w:val="0"/>
                <w:sz w:val="19"/>
              </w:rPr>
              <w:t>0.023</w:t>
            </w:r>
          </w:p>
        </w:tc>
        <w:tc>
          <w:tcPr>
            <w:tcW w:type="dxa" w:w="907"/>
          </w:tcPr>
          <w:p>
            <w:pPr>
              <w:spacing w:line="240" w:lineRule="auto" w:after="0"/>
            </w:pPr>
            <w:r/>
            <w:r>
              <w:rPr>
                <w:rFonts w:ascii="Times New Roman" w:hAnsi="Times New Roman"/>
                <w:b w:val="0"/>
                <w:sz w:val="19"/>
              </w:rPr>
              <w:t>0.141</w:t>
            </w:r>
          </w:p>
        </w:tc>
      </w:tr>
      <w:tr>
        <w:trPr>
          <w:cantSplit/>
        </w:trPr>
        <w:tc>
          <w:tcPr>
            <w:tcW w:type="dxa" w:w="2608"/>
          </w:tcPr>
          <w:p>
            <w:pPr>
              <w:spacing w:line="240" w:lineRule="auto" w:after="0"/>
            </w:pPr>
            <w:r/>
            <w:r>
              <w:rPr>
                <w:rFonts w:ascii="Times New Roman" w:hAnsi="Times New Roman"/>
                <w:b w:val="0"/>
                <w:sz w:val="19"/>
              </w:rPr>
              <w:t xml:space="preserve">    Main AI chatbot</w:t>
            </w:r>
          </w:p>
        </w:tc>
        <w:tc>
          <w:tcPr>
            <w:tcW w:type="dxa" w:w="4195"/>
          </w:tcPr>
          <w:p>
            <w:pPr>
              <w:spacing w:line="240" w:lineRule="auto" w:after="0"/>
            </w:pPr>
            <w:r/>
            <w:r>
              <w:rPr>
                <w:rFonts w:ascii="Times New Roman" w:hAnsi="Times New Roman"/>
                <w:b w:val="0"/>
                <w:sz w:val="19"/>
              </w:rPr>
              <w:t>ChatGPT: 61/178 (34.3%); Claude: 4/12 (33.3%); Gemini: 17/71 (23.9%); None reported: 4/36 (11.1%); Other AI: 0/3 (0.0%)</w:t>
            </w:r>
          </w:p>
        </w:tc>
        <w:tc>
          <w:tcPr>
            <w:tcW w:type="dxa" w:w="907"/>
          </w:tcPr>
          <w:p>
            <w:pPr>
              <w:spacing w:line="240" w:lineRule="auto" w:after="0"/>
            </w:pPr>
            <w:r/>
            <w:r>
              <w:rPr>
                <w:rFonts w:ascii="Times New Roman" w:hAnsi="Times New Roman"/>
                <w:b w:val="0"/>
                <w:sz w:val="19"/>
              </w:rPr>
              <w:t>0.18</w:t>
            </w:r>
          </w:p>
        </w:tc>
        <w:tc>
          <w:tcPr>
            <w:tcW w:type="dxa" w:w="794"/>
          </w:tcPr>
          <w:p>
            <w:pPr>
              <w:spacing w:line="240" w:lineRule="auto" w:after="0"/>
            </w:pPr>
            <w:r/>
            <w:r>
              <w:rPr>
                <w:rFonts w:ascii="Times New Roman" w:hAnsi="Times New Roman"/>
                <w:b w:val="0"/>
                <w:sz w:val="19"/>
              </w:rPr>
              <w:t>0.034</w:t>
            </w:r>
          </w:p>
        </w:tc>
        <w:tc>
          <w:tcPr>
            <w:tcW w:type="dxa" w:w="907"/>
          </w:tcPr>
          <w:p>
            <w:pPr>
              <w:spacing w:line="240" w:lineRule="auto" w:after="0"/>
            </w:pPr>
            <w:r/>
            <w:r>
              <w:rPr>
                <w:rFonts w:ascii="Times New Roman" w:hAnsi="Times New Roman"/>
                <w:b w:val="0"/>
                <w:sz w:val="19"/>
              </w:rPr>
              <w:t>0.180</w:t>
            </w:r>
          </w:p>
        </w:tc>
      </w:tr>
      <w:tr>
        <w:trPr>
          <w:cantSplit/>
        </w:trPr>
        <w:tc>
          <w:tcPr>
            <w:tcW w:type="dxa" w:w="2608"/>
            <w:tcBorders>
              <w:bottom w:val="single" w:sz="8" w:color="000000"/>
            </w:tcBorders>
          </w:tcPr>
          <w:p>
            <w:pPr>
              <w:spacing w:line="240" w:lineRule="auto" w:after="0"/>
            </w:pPr>
            <w:r/>
            <w:r>
              <w:rPr>
                <w:rFonts w:ascii="Times New Roman" w:hAnsi="Times New Roman"/>
                <w:b w:val="0"/>
                <w:sz w:val="19"/>
              </w:rPr>
              <w:t xml:space="preserve">    Delay care (terrified)</w:t>
            </w:r>
          </w:p>
        </w:tc>
        <w:tc>
          <w:tcPr>
            <w:tcW w:type="dxa" w:w="4195"/>
            <w:tcBorders>
              <w:bottom w:val="single" w:sz="8" w:color="000000"/>
            </w:tcBorders>
          </w:tcPr>
          <w:p>
            <w:pPr>
              <w:spacing w:line="240" w:lineRule="auto" w:after="0"/>
            </w:pPr>
            <w:r/>
            <w:r>
              <w:rPr>
                <w:rFonts w:ascii="Times New Roman" w:hAnsi="Times New Roman"/>
                <w:b w:val="0"/>
                <w:sz w:val="19"/>
              </w:rPr>
              <w:t>No: 74/274 (27.0%); Yes: 12/26 (46.2%)</w:t>
            </w:r>
          </w:p>
        </w:tc>
        <w:tc>
          <w:tcPr>
            <w:tcW w:type="dxa" w:w="907"/>
            <w:tcBorders>
              <w:bottom w:val="single" w:sz="8" w:color="000000"/>
            </w:tcBorders>
          </w:tcPr>
          <w:p>
            <w:pPr>
              <w:spacing w:line="240" w:lineRule="auto" w:after="0"/>
            </w:pPr>
            <w:r/>
            <w:r>
              <w:rPr>
                <w:rFonts w:ascii="Times New Roman" w:hAnsi="Times New Roman"/>
                <w:b w:val="0"/>
                <w:sz w:val="19"/>
              </w:rPr>
              <w:t>0.12</w:t>
            </w:r>
          </w:p>
        </w:tc>
        <w:tc>
          <w:tcPr>
            <w:tcW w:type="dxa" w:w="794"/>
            <w:tcBorders>
              <w:bottom w:val="single" w:sz="8" w:color="000000"/>
            </w:tcBorders>
          </w:tcPr>
          <w:p>
            <w:pPr>
              <w:spacing w:line="240" w:lineRule="auto" w:after="0"/>
            </w:pPr>
            <w:r/>
            <w:r>
              <w:rPr>
                <w:rFonts w:ascii="Times New Roman" w:hAnsi="Times New Roman"/>
                <w:b w:val="0"/>
                <w:sz w:val="19"/>
              </w:rPr>
              <w:t>0.039</w:t>
            </w:r>
          </w:p>
        </w:tc>
        <w:tc>
          <w:tcPr>
            <w:tcW w:type="dxa" w:w="907"/>
            <w:tcBorders>
              <w:bottom w:val="single" w:sz="8" w:color="000000"/>
            </w:tcBorders>
          </w:tcPr>
          <w:p>
            <w:pPr>
              <w:spacing w:line="240" w:lineRule="auto" w:after="0"/>
            </w:pPr>
            <w:r/>
            <w:r>
              <w:rPr>
                <w:rFonts w:ascii="Times New Roman" w:hAnsi="Times New Roman"/>
                <w:b w:val="0"/>
                <w:sz w:val="19"/>
              </w:rPr>
              <w:t>0.180</w:t>
            </w:r>
          </w:p>
        </w:tc>
      </w:tr>
    </w:tbl>
    <w:p>
      <w:pPr>
        <w:spacing w:line="240" w:lineRule="auto" w:after="200"/>
      </w:pPr>
      <w:r>
        <w:rPr>
          <w:rFonts w:ascii="Times New Roman" w:hAnsi="Times New Roman"/>
          <w:sz w:val="19"/>
        </w:rPr>
        <w:t>Pearson χ² or Fisher's exact test (Monte-Carlo exact p where expected counts were &lt; 5). Associations with q ≥ 0.05 are exploratory. Non-significant associations are listed in the supplementary workbook.</w:t>
      </w:r>
    </w:p>
    <w:p>
      <w:pPr>
        <w:pStyle w:val="Heading2"/>
      </w:pPr>
      <w:r>
        <w:t>3.7 Independent predictors (multivariable analysis)</w:t>
      </w:r>
    </w:p>
    <w:p>
      <w:pPr>
        <w:spacing w:after="120"/>
        <w:ind w:firstLine="567"/>
        <w:jc w:val="both"/>
      </w:pPr>
      <w:r>
        <w:rPr>
          <w:rFonts w:ascii="Times New Roman" w:hAnsi="Times New Roman"/>
        </w:rPr>
        <w:t>In the hierarchical regression (Table 7), socio-demographic variables alone explained little of the variance in cyberchondria (R² = 0.030). Adding digital-use variables raised R² to 0.133 (ΔR² = 0.103, p &lt; 0.001), and adding health anxiety raised it to 0.317 (ΔR² = 0.184, p &lt; 0.001; adjusted R² = 0.268). In the final model, health anxiety was by far the strongest predictor (B = 0.68, 95% CI 0.53–0.84, β = 0.48, p &lt; 0.001): each additional SHAI point was associated with a 0.68-point higher CSS score. AI-chatbot use was independently associated with a 5.3-point higher CSS score (95% CI 2.34–8.32, β = 0.20, p &lt; 0.001), and age 30–39 years with higher cyberchondria than age 20–29 (p = 0.043). This AI finding was sensitive to how AI use was defined: when only respondents who ticked "AI chatbots" were counted as users (n = 234), so that the 32 who named a chatbot without ticking it fell into the comparison group, the association was no longer significant (B = 1.49, p = 0.314). The 32 reclassified respondents had the highest cyberchondria of any group (mean 31.6), and the true non-user group was small (n = 34). Occupation, health background, gender, chronic disease, language, trust and motives were not independently associated with cyberchondria. Multicollinearity was low (maximum VIF = 3.9), and the bootstrap 95% CI for the SHAI coefficient (0.54–0.83) confirmed its stability. Quantile regression showed a consistent effect of health anxiety across the distribution of cyberchondria (B from 0.55 to 0.85), and a quadratic term was not significant (p = 0.245), indicating a linear association.</w:t>
      </w:r>
    </w:p>
    <w:p>
      <w:pPr>
        <w:spacing w:after="120"/>
        <w:ind w:firstLine="567"/>
        <w:jc w:val="both"/>
      </w:pPr>
      <w:r>
        <w:rPr>
          <w:rFonts w:ascii="Times New Roman" w:hAnsi="Times New Roman"/>
        </w:rPr>
        <w:t>In the reverse model, cyberchondria was the strongest predictor of health anxiety (β = 0.45, p &lt; 0.001; ΔR² = 0.173), together with chronic disease (B = 1.68, p = 0.029) and searching for instant reassurance (B = 2.42, p &lt; 0.001); after adjustment, medical students no longer differed from other groups (p = 0.101).</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7</w:t>
      </w:r>
      <w:r>
        <w:rPr>
          <w:b/>
          <w:sz w:val="24"/>
        </w:rPr>
        <w:fldChar w:fldCharType="end"/>
      </w:r>
      <w:r>
        <w:rPr>
          <w:b/>
          <w:sz w:val="24"/>
        </w:rPr>
        <w:t xml:space="preserve">. </w:t>
      </w:r>
      <w:r>
        <w:rPr>
          <w:i w:val="0"/>
          <w:sz w:val="24"/>
        </w:rPr>
        <w:t>Hierarchical robust linear regression of cyberchondria (CSS-12 total) – final model (n = 300)</w:t>
      </w:r>
    </w:p>
    <w:tbl>
      <w:tblPr>
        <w:tblStyle w:val="TableGrid"/>
        <w:tblW w:type="auto" w:w="0"/>
        <w:jc w:val="center"/>
        <w:tblLayout w:type="fixed"/>
        <w:tblLook w:firstColumn="1" w:firstRow="1" w:lastColumn="0" w:lastRow="0" w:noHBand="0" w:noVBand="1" w:val="04A0"/>
        <w:tblLayout w:type="fixed"/>
      </w:tblPr>
      <w:tblGrid>
        <w:gridCol w:w="4309"/>
        <w:gridCol w:w="907"/>
        <w:gridCol w:w="1814"/>
        <w:gridCol w:w="794"/>
        <w:gridCol w:w="907"/>
      </w:tblGrid>
      <w:tr>
        <w:trPr>
          <w:cantSplit/>
        </w:trPr>
        <w:tc>
          <w:tcPr>
            <w:tcW w:type="dxa" w:w="4309"/>
            <w:tcBorders>
              <w:top w:val="single" w:sz="8" w:color="000000"/>
              <w:bottom w:val="single" w:sz="8" w:color="000000"/>
            </w:tcBorders>
          </w:tcPr>
          <w:p>
            <w:pPr>
              <w:spacing w:line="240" w:lineRule="auto" w:after="0"/>
            </w:pPr>
            <w:r/>
            <w:r>
              <w:rPr>
                <w:rFonts w:ascii="Times New Roman" w:hAnsi="Times New Roman"/>
                <w:b/>
                <w:sz w:val="20"/>
              </w:rPr>
              <w:t>Predictor</w:t>
            </w:r>
          </w:p>
        </w:tc>
        <w:tc>
          <w:tcPr>
            <w:tcW w:type="dxa" w:w="907"/>
            <w:tcBorders>
              <w:top w:val="single" w:sz="8" w:color="000000"/>
              <w:bottom w:val="single" w:sz="8" w:color="000000"/>
            </w:tcBorders>
          </w:tcPr>
          <w:p>
            <w:pPr>
              <w:spacing w:line="240" w:lineRule="auto" w:after="0"/>
            </w:pPr>
            <w:r/>
            <w:r>
              <w:rPr>
                <w:rFonts w:ascii="Times New Roman" w:hAnsi="Times New Roman"/>
                <w:b/>
                <w:sz w:val="20"/>
              </w:rPr>
              <w:t>B</w:t>
            </w:r>
          </w:p>
        </w:tc>
        <w:tc>
          <w:tcPr>
            <w:tcW w:type="dxa" w:w="1814"/>
            <w:tcBorders>
              <w:top w:val="single" w:sz="8" w:color="000000"/>
              <w:bottom w:val="single" w:sz="8" w:color="000000"/>
            </w:tcBorders>
          </w:tcPr>
          <w:p>
            <w:pPr>
              <w:spacing w:line="240" w:lineRule="auto" w:after="0"/>
            </w:pPr>
            <w:r/>
            <w:r>
              <w:rPr>
                <w:rFonts w:ascii="Times New Roman" w:hAnsi="Times New Roman"/>
                <w:b/>
                <w:sz w:val="20"/>
              </w:rPr>
              <w:t>95% CI</w:t>
            </w:r>
          </w:p>
        </w:tc>
        <w:tc>
          <w:tcPr>
            <w:tcW w:type="dxa" w:w="794"/>
            <w:tcBorders>
              <w:top w:val="single" w:sz="8" w:color="000000"/>
              <w:bottom w:val="single" w:sz="8" w:color="000000"/>
            </w:tcBorders>
          </w:tcPr>
          <w:p>
            <w:pPr>
              <w:spacing w:line="240" w:lineRule="auto" w:after="0"/>
            </w:pPr>
            <w:r/>
            <w:r>
              <w:rPr>
                <w:rFonts w:ascii="Times New Roman" w:hAnsi="Times New Roman"/>
                <w:b/>
                <w:sz w:val="20"/>
              </w:rPr>
              <w:t>β</w:t>
            </w:r>
          </w:p>
        </w:tc>
        <w:tc>
          <w:tcPr>
            <w:tcW w:type="dxa" w:w="907"/>
            <w:tcBorders>
              <w:top w:val="single" w:sz="8" w:color="000000"/>
              <w:bottom w:val="single" w:sz="8" w:color="000000"/>
            </w:tcBorders>
          </w:tcPr>
          <w:p>
            <w:pPr>
              <w:spacing w:line="240" w:lineRule="auto" w:after="0"/>
            </w:pPr>
            <w:r/>
            <w:r>
              <w:rPr>
                <w:rFonts w:ascii="Times New Roman" w:hAnsi="Times New Roman"/>
                <w:b/>
                <w:sz w:val="20"/>
              </w:rPr>
              <w:t>p</w:t>
            </w:r>
          </w:p>
        </w:tc>
      </w:tr>
      <w:tr>
        <w:trPr>
          <w:cantSplit/>
        </w:trPr>
        <w:tc>
          <w:tcPr>
            <w:tcW w:type="dxa" w:w="4309"/>
          </w:tcPr>
          <w:p>
            <w:pPr>
              <w:spacing w:line="240" w:lineRule="auto" w:after="0"/>
            </w:pPr>
            <w:r/>
            <w:r>
              <w:rPr>
                <w:rFonts w:ascii="Times New Roman" w:hAnsi="Times New Roman"/>
                <w:b w:val="0"/>
                <w:sz w:val="20"/>
              </w:rPr>
              <w:t>Constant</w:t>
            </w:r>
          </w:p>
        </w:tc>
        <w:tc>
          <w:tcPr>
            <w:tcW w:type="dxa" w:w="907"/>
          </w:tcPr>
          <w:p>
            <w:pPr>
              <w:spacing w:line="240" w:lineRule="auto" w:after="0"/>
            </w:pPr>
            <w:r/>
            <w:r>
              <w:rPr>
                <w:rFonts w:ascii="Times New Roman" w:hAnsi="Times New Roman"/>
                <w:b w:val="0"/>
                <w:sz w:val="20"/>
              </w:rPr>
              <w:t>12.04</w:t>
            </w:r>
          </w:p>
        </w:tc>
        <w:tc>
          <w:tcPr>
            <w:tcW w:type="dxa" w:w="1814"/>
          </w:tcPr>
          <w:p>
            <w:pPr>
              <w:spacing w:line="240" w:lineRule="auto" w:after="0"/>
            </w:pPr>
            <w:r/>
            <w:r>
              <w:rPr>
                <w:rFonts w:ascii="Times New Roman" w:hAnsi="Times New Roman"/>
                <w:b w:val="0"/>
                <w:sz w:val="20"/>
              </w:rPr>
              <w:t>6.39–17.68</w:t>
            </w:r>
          </w:p>
        </w:tc>
        <w:tc>
          <w:tcPr>
            <w:tcW w:type="dxa" w:w="794"/>
          </w:tcPr>
          <w:p>
            <w:pPr>
              <w:spacing w:line="240" w:lineRule="auto" w:after="0"/>
            </w:pPr>
            <w:r/>
            <w:r>
              <w:rPr>
                <w:rFonts w:ascii="Times New Roman" w:hAnsi="Times New Roman"/>
                <w:b w:val="0"/>
                <w:sz w:val="20"/>
              </w:rPr>
            </w:r>
          </w:p>
        </w:tc>
        <w:tc>
          <w:tcPr>
            <w:tcW w:type="dxa" w:w="907"/>
          </w:tcPr>
          <w:p>
            <w:pPr>
              <w:spacing w:line="240" w:lineRule="auto" w:after="0"/>
            </w:pPr>
            <w:r/>
            <w:r>
              <w:rPr>
                <w:rFonts w:ascii="Times New Roman" w:hAnsi="Times New Roman"/>
                <w:b w:val="0"/>
                <w:sz w:val="20"/>
              </w:rPr>
              <w:t>&lt;0.001</w:t>
            </w:r>
          </w:p>
        </w:tc>
      </w:tr>
      <w:tr>
        <w:trPr>
          <w:cantSplit/>
        </w:trPr>
        <w:tc>
          <w:tcPr>
            <w:tcW w:type="dxa" w:w="4309"/>
          </w:tcPr>
          <w:p>
            <w:pPr>
              <w:spacing w:line="240" w:lineRule="auto" w:after="0"/>
            </w:pPr>
            <w:r/>
            <w:r>
              <w:rPr>
                <w:rFonts w:ascii="Times New Roman" w:hAnsi="Times New Roman"/>
                <w:b w:val="0"/>
                <w:sz w:val="20"/>
              </w:rPr>
              <w:t>Age 18–19 (ref. 20–29)</w:t>
            </w:r>
          </w:p>
        </w:tc>
        <w:tc>
          <w:tcPr>
            <w:tcW w:type="dxa" w:w="907"/>
          </w:tcPr>
          <w:p>
            <w:pPr>
              <w:spacing w:line="240" w:lineRule="auto" w:after="0"/>
            </w:pPr>
            <w:r/>
            <w:r>
              <w:rPr>
                <w:rFonts w:ascii="Times New Roman" w:hAnsi="Times New Roman"/>
                <w:b w:val="0"/>
                <w:sz w:val="20"/>
              </w:rPr>
              <w:t>-0.43</w:t>
            </w:r>
          </w:p>
        </w:tc>
        <w:tc>
          <w:tcPr>
            <w:tcW w:type="dxa" w:w="1814"/>
          </w:tcPr>
          <w:p>
            <w:pPr>
              <w:spacing w:line="240" w:lineRule="auto" w:after="0"/>
            </w:pPr>
            <w:r/>
            <w:r>
              <w:rPr>
                <w:rFonts w:ascii="Times New Roman" w:hAnsi="Times New Roman"/>
                <w:b w:val="0"/>
                <w:sz w:val="20"/>
              </w:rPr>
              <w:t>-2.77–1.91</w:t>
            </w:r>
          </w:p>
        </w:tc>
        <w:tc>
          <w:tcPr>
            <w:tcW w:type="dxa" w:w="794"/>
          </w:tcPr>
          <w:p>
            <w:pPr>
              <w:spacing w:line="240" w:lineRule="auto" w:after="0"/>
            </w:pPr>
            <w:r/>
            <w:r>
              <w:rPr>
                <w:rFonts w:ascii="Times New Roman" w:hAnsi="Times New Roman"/>
                <w:b w:val="0"/>
                <w:sz w:val="20"/>
              </w:rPr>
              <w:t>-0.02</w:t>
            </w:r>
          </w:p>
        </w:tc>
        <w:tc>
          <w:tcPr>
            <w:tcW w:type="dxa" w:w="907"/>
          </w:tcPr>
          <w:p>
            <w:pPr>
              <w:spacing w:line="240" w:lineRule="auto" w:after="0"/>
            </w:pPr>
            <w:r/>
            <w:r>
              <w:rPr>
                <w:rFonts w:ascii="Times New Roman" w:hAnsi="Times New Roman"/>
                <w:b w:val="0"/>
                <w:sz w:val="20"/>
              </w:rPr>
              <w:t>0.721</w:t>
            </w:r>
          </w:p>
        </w:tc>
      </w:tr>
      <w:tr>
        <w:trPr>
          <w:cantSplit/>
        </w:trPr>
        <w:tc>
          <w:tcPr>
            <w:tcW w:type="dxa" w:w="4309"/>
          </w:tcPr>
          <w:p>
            <w:pPr>
              <w:spacing w:line="240" w:lineRule="auto" w:after="0"/>
            </w:pPr>
            <w:r/>
            <w:r>
              <w:rPr>
                <w:rFonts w:ascii="Times New Roman" w:hAnsi="Times New Roman"/>
                <w:b/>
                <w:sz w:val="20"/>
              </w:rPr>
              <w:t>Age 30–39</w:t>
            </w:r>
          </w:p>
        </w:tc>
        <w:tc>
          <w:tcPr>
            <w:tcW w:type="dxa" w:w="907"/>
          </w:tcPr>
          <w:p>
            <w:pPr>
              <w:spacing w:line="240" w:lineRule="auto" w:after="0"/>
            </w:pPr>
            <w:r/>
            <w:r>
              <w:rPr>
                <w:rFonts w:ascii="Times New Roman" w:hAnsi="Times New Roman"/>
                <w:b/>
                <w:sz w:val="20"/>
              </w:rPr>
              <w:t>6.27</w:t>
            </w:r>
          </w:p>
        </w:tc>
        <w:tc>
          <w:tcPr>
            <w:tcW w:type="dxa" w:w="1814"/>
          </w:tcPr>
          <w:p>
            <w:pPr>
              <w:spacing w:line="240" w:lineRule="auto" w:after="0"/>
            </w:pPr>
            <w:r/>
            <w:r>
              <w:rPr>
                <w:rFonts w:ascii="Times New Roman" w:hAnsi="Times New Roman"/>
                <w:b/>
                <w:sz w:val="20"/>
              </w:rPr>
              <w:t>0.19–12.34</w:t>
            </w:r>
          </w:p>
        </w:tc>
        <w:tc>
          <w:tcPr>
            <w:tcW w:type="dxa" w:w="794"/>
          </w:tcPr>
          <w:p>
            <w:pPr>
              <w:spacing w:line="240" w:lineRule="auto" w:after="0"/>
            </w:pPr>
            <w:r/>
            <w:r>
              <w:rPr>
                <w:rFonts w:ascii="Times New Roman" w:hAnsi="Times New Roman"/>
                <w:b/>
                <w:sz w:val="20"/>
              </w:rPr>
              <w:t>0.19</w:t>
            </w:r>
          </w:p>
        </w:tc>
        <w:tc>
          <w:tcPr>
            <w:tcW w:type="dxa" w:w="907"/>
          </w:tcPr>
          <w:p>
            <w:pPr>
              <w:spacing w:line="240" w:lineRule="auto" w:after="0"/>
            </w:pPr>
            <w:r/>
            <w:r>
              <w:rPr>
                <w:rFonts w:ascii="Times New Roman" w:hAnsi="Times New Roman"/>
                <w:b/>
                <w:sz w:val="20"/>
              </w:rPr>
              <w:t>0.043</w:t>
            </w:r>
          </w:p>
        </w:tc>
      </w:tr>
      <w:tr>
        <w:trPr>
          <w:cantSplit/>
        </w:trPr>
        <w:tc>
          <w:tcPr>
            <w:tcW w:type="dxa" w:w="4309"/>
          </w:tcPr>
          <w:p>
            <w:pPr>
              <w:spacing w:line="240" w:lineRule="auto" w:after="0"/>
            </w:pPr>
            <w:r/>
            <w:r>
              <w:rPr>
                <w:rFonts w:ascii="Times New Roman" w:hAnsi="Times New Roman"/>
                <w:b w:val="0"/>
                <w:sz w:val="20"/>
              </w:rPr>
              <w:t>Age ≥40</w:t>
            </w:r>
          </w:p>
        </w:tc>
        <w:tc>
          <w:tcPr>
            <w:tcW w:type="dxa" w:w="907"/>
          </w:tcPr>
          <w:p>
            <w:pPr>
              <w:spacing w:line="240" w:lineRule="auto" w:after="0"/>
            </w:pPr>
            <w:r/>
            <w:r>
              <w:rPr>
                <w:rFonts w:ascii="Times New Roman" w:hAnsi="Times New Roman"/>
                <w:b w:val="0"/>
                <w:sz w:val="20"/>
              </w:rPr>
              <w:t>3.98</w:t>
            </w:r>
          </w:p>
        </w:tc>
        <w:tc>
          <w:tcPr>
            <w:tcW w:type="dxa" w:w="1814"/>
          </w:tcPr>
          <w:p>
            <w:pPr>
              <w:spacing w:line="240" w:lineRule="auto" w:after="0"/>
            </w:pPr>
            <w:r/>
            <w:r>
              <w:rPr>
                <w:rFonts w:ascii="Times New Roman" w:hAnsi="Times New Roman"/>
                <w:b w:val="0"/>
                <w:sz w:val="20"/>
              </w:rPr>
              <w:t>-0.86–8.81</w:t>
            </w:r>
          </w:p>
        </w:tc>
        <w:tc>
          <w:tcPr>
            <w:tcW w:type="dxa" w:w="794"/>
          </w:tcPr>
          <w:p>
            <w:pPr>
              <w:spacing w:line="240" w:lineRule="auto" w:after="0"/>
            </w:pPr>
            <w:r/>
            <w:r>
              <w:rPr>
                <w:rFonts w:ascii="Times New Roman" w:hAnsi="Times New Roman"/>
                <w:b w:val="0"/>
                <w:sz w:val="20"/>
              </w:rPr>
              <w:t>0.16</w:t>
            </w:r>
          </w:p>
        </w:tc>
        <w:tc>
          <w:tcPr>
            <w:tcW w:type="dxa" w:w="907"/>
          </w:tcPr>
          <w:p>
            <w:pPr>
              <w:spacing w:line="240" w:lineRule="auto" w:after="0"/>
            </w:pPr>
            <w:r/>
            <w:r>
              <w:rPr>
                <w:rFonts w:ascii="Times New Roman" w:hAnsi="Times New Roman"/>
                <w:b w:val="0"/>
                <w:sz w:val="20"/>
              </w:rPr>
              <w:t>0.107</w:t>
            </w:r>
          </w:p>
        </w:tc>
      </w:tr>
      <w:tr>
        <w:trPr>
          <w:cantSplit/>
        </w:trPr>
        <w:tc>
          <w:tcPr>
            <w:tcW w:type="dxa" w:w="4309"/>
          </w:tcPr>
          <w:p>
            <w:pPr>
              <w:spacing w:line="240" w:lineRule="auto" w:after="0"/>
            </w:pPr>
            <w:r/>
            <w:r>
              <w:rPr>
                <w:rFonts w:ascii="Times New Roman" w:hAnsi="Times New Roman"/>
                <w:b w:val="0"/>
                <w:sz w:val="20"/>
              </w:rPr>
              <w:t>Healthcare worker (ref. non-health employed)</w:t>
            </w:r>
          </w:p>
        </w:tc>
        <w:tc>
          <w:tcPr>
            <w:tcW w:type="dxa" w:w="907"/>
          </w:tcPr>
          <w:p>
            <w:pPr>
              <w:spacing w:line="240" w:lineRule="auto" w:after="0"/>
            </w:pPr>
            <w:r/>
            <w:r>
              <w:rPr>
                <w:rFonts w:ascii="Times New Roman" w:hAnsi="Times New Roman"/>
                <w:b w:val="0"/>
                <w:sz w:val="20"/>
              </w:rPr>
              <w:t>1.06</w:t>
            </w:r>
          </w:p>
        </w:tc>
        <w:tc>
          <w:tcPr>
            <w:tcW w:type="dxa" w:w="1814"/>
          </w:tcPr>
          <w:p>
            <w:pPr>
              <w:spacing w:line="240" w:lineRule="auto" w:after="0"/>
            </w:pPr>
            <w:r/>
            <w:r>
              <w:rPr>
                <w:rFonts w:ascii="Times New Roman" w:hAnsi="Times New Roman"/>
                <w:b w:val="0"/>
                <w:sz w:val="20"/>
              </w:rPr>
              <w:t>-4.32–6.44</w:t>
            </w:r>
          </w:p>
        </w:tc>
        <w:tc>
          <w:tcPr>
            <w:tcW w:type="dxa" w:w="794"/>
          </w:tcPr>
          <w:p>
            <w:pPr>
              <w:spacing w:line="240" w:lineRule="auto" w:after="0"/>
            </w:pPr>
            <w:r/>
            <w:r>
              <w:rPr>
                <w:rFonts w:ascii="Times New Roman" w:hAnsi="Times New Roman"/>
                <w:b w:val="0"/>
                <w:sz w:val="20"/>
              </w:rPr>
              <w:t>0.03</w:t>
            </w:r>
          </w:p>
        </w:tc>
        <w:tc>
          <w:tcPr>
            <w:tcW w:type="dxa" w:w="907"/>
          </w:tcPr>
          <w:p>
            <w:pPr>
              <w:spacing w:line="240" w:lineRule="auto" w:after="0"/>
            </w:pPr>
            <w:r/>
            <w:r>
              <w:rPr>
                <w:rFonts w:ascii="Times New Roman" w:hAnsi="Times New Roman"/>
                <w:b w:val="0"/>
                <w:sz w:val="20"/>
              </w:rPr>
              <w:t>0.700</w:t>
            </w:r>
          </w:p>
        </w:tc>
      </w:tr>
      <w:tr>
        <w:trPr>
          <w:cantSplit/>
        </w:trPr>
        <w:tc>
          <w:tcPr>
            <w:tcW w:type="dxa" w:w="4309"/>
          </w:tcPr>
          <w:p>
            <w:pPr>
              <w:spacing w:line="240" w:lineRule="auto" w:after="0"/>
            </w:pPr>
            <w:r/>
            <w:r>
              <w:rPr>
                <w:rFonts w:ascii="Times New Roman" w:hAnsi="Times New Roman"/>
                <w:b w:val="0"/>
                <w:sz w:val="20"/>
              </w:rPr>
              <w:t>Medical student</w:t>
            </w:r>
          </w:p>
        </w:tc>
        <w:tc>
          <w:tcPr>
            <w:tcW w:type="dxa" w:w="907"/>
          </w:tcPr>
          <w:p>
            <w:pPr>
              <w:spacing w:line="240" w:lineRule="auto" w:after="0"/>
            </w:pPr>
            <w:r/>
            <w:r>
              <w:rPr>
                <w:rFonts w:ascii="Times New Roman" w:hAnsi="Times New Roman"/>
                <w:b w:val="0"/>
                <w:sz w:val="20"/>
              </w:rPr>
              <w:t>0.41</w:t>
            </w:r>
          </w:p>
        </w:tc>
        <w:tc>
          <w:tcPr>
            <w:tcW w:type="dxa" w:w="1814"/>
          </w:tcPr>
          <w:p>
            <w:pPr>
              <w:spacing w:line="240" w:lineRule="auto" w:after="0"/>
            </w:pPr>
            <w:r/>
            <w:r>
              <w:rPr>
                <w:rFonts w:ascii="Times New Roman" w:hAnsi="Times New Roman"/>
                <w:b w:val="0"/>
                <w:sz w:val="20"/>
              </w:rPr>
              <w:t>-3.67–4.49</w:t>
            </w:r>
          </w:p>
        </w:tc>
        <w:tc>
          <w:tcPr>
            <w:tcW w:type="dxa" w:w="794"/>
          </w:tcPr>
          <w:p>
            <w:pPr>
              <w:spacing w:line="240" w:lineRule="auto" w:after="0"/>
            </w:pPr>
            <w:r/>
            <w:r>
              <w:rPr>
                <w:rFonts w:ascii="Times New Roman" w:hAnsi="Times New Roman"/>
                <w:b w:val="0"/>
                <w:sz w:val="20"/>
              </w:rPr>
              <w:t>0.02</w:t>
            </w:r>
          </w:p>
        </w:tc>
        <w:tc>
          <w:tcPr>
            <w:tcW w:type="dxa" w:w="907"/>
          </w:tcPr>
          <w:p>
            <w:pPr>
              <w:spacing w:line="240" w:lineRule="auto" w:after="0"/>
            </w:pPr>
            <w:r/>
            <w:r>
              <w:rPr>
                <w:rFonts w:ascii="Times New Roman" w:hAnsi="Times New Roman"/>
                <w:b w:val="0"/>
                <w:sz w:val="20"/>
              </w:rPr>
              <w:t>0.845</w:t>
            </w:r>
          </w:p>
        </w:tc>
      </w:tr>
      <w:tr>
        <w:trPr>
          <w:cantSplit/>
        </w:trPr>
        <w:tc>
          <w:tcPr>
            <w:tcW w:type="dxa" w:w="4309"/>
          </w:tcPr>
          <w:p>
            <w:pPr>
              <w:spacing w:line="240" w:lineRule="auto" w:after="0"/>
            </w:pPr>
            <w:r/>
            <w:r>
              <w:rPr>
                <w:rFonts w:ascii="Times New Roman" w:hAnsi="Times New Roman"/>
                <w:b w:val="0"/>
                <w:sz w:val="20"/>
              </w:rPr>
              <w:t>Non-health student</w:t>
            </w:r>
          </w:p>
        </w:tc>
        <w:tc>
          <w:tcPr>
            <w:tcW w:type="dxa" w:w="907"/>
          </w:tcPr>
          <w:p>
            <w:pPr>
              <w:spacing w:line="240" w:lineRule="auto" w:after="0"/>
            </w:pPr>
            <w:r/>
            <w:r>
              <w:rPr>
                <w:rFonts w:ascii="Times New Roman" w:hAnsi="Times New Roman"/>
                <w:b w:val="0"/>
                <w:sz w:val="20"/>
              </w:rPr>
              <w:t>-0.73</w:t>
            </w:r>
          </w:p>
        </w:tc>
        <w:tc>
          <w:tcPr>
            <w:tcW w:type="dxa" w:w="1814"/>
          </w:tcPr>
          <w:p>
            <w:pPr>
              <w:spacing w:line="240" w:lineRule="auto" w:after="0"/>
            </w:pPr>
            <w:r/>
            <w:r>
              <w:rPr>
                <w:rFonts w:ascii="Times New Roman" w:hAnsi="Times New Roman"/>
                <w:b w:val="0"/>
                <w:sz w:val="20"/>
              </w:rPr>
              <w:t>-5.12–3.66</w:t>
            </w:r>
          </w:p>
        </w:tc>
        <w:tc>
          <w:tcPr>
            <w:tcW w:type="dxa" w:w="794"/>
          </w:tcPr>
          <w:p>
            <w:pPr>
              <w:spacing w:line="240" w:lineRule="auto" w:after="0"/>
            </w:pPr>
            <w:r/>
            <w:r>
              <w:rPr>
                <w:rFonts w:ascii="Times New Roman" w:hAnsi="Times New Roman"/>
                <w:b w:val="0"/>
                <w:sz w:val="20"/>
              </w:rPr>
              <w:t>-0.03</w:t>
            </w:r>
          </w:p>
        </w:tc>
        <w:tc>
          <w:tcPr>
            <w:tcW w:type="dxa" w:w="907"/>
          </w:tcPr>
          <w:p>
            <w:pPr>
              <w:spacing w:line="240" w:lineRule="auto" w:after="0"/>
            </w:pPr>
            <w:r/>
            <w:r>
              <w:rPr>
                <w:rFonts w:ascii="Times New Roman" w:hAnsi="Times New Roman"/>
                <w:b w:val="0"/>
                <w:sz w:val="20"/>
              </w:rPr>
              <w:t>0.745</w:t>
            </w:r>
          </w:p>
        </w:tc>
      </w:tr>
      <w:tr>
        <w:trPr>
          <w:cantSplit/>
        </w:trPr>
        <w:tc>
          <w:tcPr>
            <w:tcW w:type="dxa" w:w="4309"/>
          </w:tcPr>
          <w:p>
            <w:pPr>
              <w:spacing w:line="240" w:lineRule="auto" w:after="0"/>
            </w:pPr>
            <w:r/>
            <w:r>
              <w:rPr>
                <w:rFonts w:ascii="Times New Roman" w:hAnsi="Times New Roman"/>
                <w:b w:val="0"/>
                <w:sz w:val="20"/>
              </w:rPr>
              <w:t>Other health-science student</w:t>
            </w:r>
          </w:p>
        </w:tc>
        <w:tc>
          <w:tcPr>
            <w:tcW w:type="dxa" w:w="907"/>
          </w:tcPr>
          <w:p>
            <w:pPr>
              <w:spacing w:line="240" w:lineRule="auto" w:after="0"/>
            </w:pPr>
            <w:r/>
            <w:r>
              <w:rPr>
                <w:rFonts w:ascii="Times New Roman" w:hAnsi="Times New Roman"/>
                <w:b w:val="0"/>
                <w:sz w:val="20"/>
              </w:rPr>
              <w:t>1.32</w:t>
            </w:r>
          </w:p>
        </w:tc>
        <w:tc>
          <w:tcPr>
            <w:tcW w:type="dxa" w:w="1814"/>
          </w:tcPr>
          <w:p>
            <w:pPr>
              <w:spacing w:line="240" w:lineRule="auto" w:after="0"/>
            </w:pPr>
            <w:r/>
            <w:r>
              <w:rPr>
                <w:rFonts w:ascii="Times New Roman" w:hAnsi="Times New Roman"/>
                <w:b w:val="0"/>
                <w:sz w:val="20"/>
              </w:rPr>
              <w:t>-3.61–6.25</w:t>
            </w:r>
          </w:p>
        </w:tc>
        <w:tc>
          <w:tcPr>
            <w:tcW w:type="dxa" w:w="794"/>
          </w:tcPr>
          <w:p>
            <w:pPr>
              <w:spacing w:line="240" w:lineRule="auto" w:after="0"/>
            </w:pPr>
            <w:r/>
            <w:r>
              <w:rPr>
                <w:rFonts w:ascii="Times New Roman" w:hAnsi="Times New Roman"/>
                <w:b w:val="0"/>
                <w:sz w:val="20"/>
              </w:rPr>
              <w:t>0.06</w:t>
            </w:r>
          </w:p>
        </w:tc>
        <w:tc>
          <w:tcPr>
            <w:tcW w:type="dxa" w:w="907"/>
          </w:tcPr>
          <w:p>
            <w:pPr>
              <w:spacing w:line="240" w:lineRule="auto" w:after="0"/>
            </w:pPr>
            <w:r/>
            <w:r>
              <w:rPr>
                <w:rFonts w:ascii="Times New Roman" w:hAnsi="Times New Roman"/>
                <w:b w:val="0"/>
                <w:sz w:val="20"/>
              </w:rPr>
              <w:t>0.599</w:t>
            </w:r>
          </w:p>
        </w:tc>
      </w:tr>
      <w:tr>
        <w:trPr>
          <w:cantSplit/>
        </w:trPr>
        <w:tc>
          <w:tcPr>
            <w:tcW w:type="dxa" w:w="4309"/>
          </w:tcPr>
          <w:p>
            <w:pPr>
              <w:spacing w:line="240" w:lineRule="auto" w:after="0"/>
            </w:pPr>
            <w:r/>
            <w:r>
              <w:rPr>
                <w:rFonts w:ascii="Times New Roman" w:hAnsi="Times New Roman"/>
                <w:b w:val="0"/>
                <w:sz w:val="20"/>
              </w:rPr>
              <w:t>Female</w:t>
            </w:r>
          </w:p>
        </w:tc>
        <w:tc>
          <w:tcPr>
            <w:tcW w:type="dxa" w:w="907"/>
          </w:tcPr>
          <w:p>
            <w:pPr>
              <w:spacing w:line="240" w:lineRule="auto" w:after="0"/>
            </w:pPr>
            <w:r/>
            <w:r>
              <w:rPr>
                <w:rFonts w:ascii="Times New Roman" w:hAnsi="Times New Roman"/>
                <w:b w:val="0"/>
                <w:sz w:val="20"/>
              </w:rPr>
              <w:t>-0.05</w:t>
            </w:r>
          </w:p>
        </w:tc>
        <w:tc>
          <w:tcPr>
            <w:tcW w:type="dxa" w:w="1814"/>
          </w:tcPr>
          <w:p>
            <w:pPr>
              <w:spacing w:line="240" w:lineRule="auto" w:after="0"/>
            </w:pPr>
            <w:r/>
            <w:r>
              <w:rPr>
                <w:rFonts w:ascii="Times New Roman" w:hAnsi="Times New Roman"/>
                <w:b w:val="0"/>
                <w:sz w:val="20"/>
              </w:rPr>
              <w:t>-1.82–1.72</w:t>
            </w:r>
          </w:p>
        </w:tc>
        <w:tc>
          <w:tcPr>
            <w:tcW w:type="dxa" w:w="794"/>
          </w:tcPr>
          <w:p>
            <w:pPr>
              <w:spacing w:line="240" w:lineRule="auto" w:after="0"/>
            </w:pPr>
            <w:r/>
            <w:r>
              <w:rPr>
                <w:rFonts w:ascii="Times New Roman" w:hAnsi="Times New Roman"/>
                <w:b w:val="0"/>
                <w:sz w:val="20"/>
              </w:rPr>
              <w:t>0.00</w:t>
            </w:r>
          </w:p>
        </w:tc>
        <w:tc>
          <w:tcPr>
            <w:tcW w:type="dxa" w:w="907"/>
          </w:tcPr>
          <w:p>
            <w:pPr>
              <w:spacing w:line="240" w:lineRule="auto" w:after="0"/>
            </w:pPr>
            <w:r/>
            <w:r>
              <w:rPr>
                <w:rFonts w:ascii="Times New Roman" w:hAnsi="Times New Roman"/>
                <w:b w:val="0"/>
                <w:sz w:val="20"/>
              </w:rPr>
              <w:t>0.954</w:t>
            </w:r>
          </w:p>
        </w:tc>
      </w:tr>
      <w:tr>
        <w:trPr>
          <w:cantSplit/>
        </w:trPr>
        <w:tc>
          <w:tcPr>
            <w:tcW w:type="dxa" w:w="4309"/>
          </w:tcPr>
          <w:p>
            <w:pPr>
              <w:spacing w:line="240" w:lineRule="auto" w:after="0"/>
            </w:pPr>
            <w:r/>
            <w:r>
              <w:rPr>
                <w:rFonts w:ascii="Times New Roman" w:hAnsi="Times New Roman"/>
                <w:b w:val="0"/>
                <w:sz w:val="20"/>
              </w:rPr>
              <w:t>Chronic condition</w:t>
            </w:r>
          </w:p>
        </w:tc>
        <w:tc>
          <w:tcPr>
            <w:tcW w:type="dxa" w:w="907"/>
          </w:tcPr>
          <w:p>
            <w:pPr>
              <w:spacing w:line="240" w:lineRule="auto" w:after="0"/>
            </w:pPr>
            <w:r/>
            <w:r>
              <w:rPr>
                <w:rFonts w:ascii="Times New Roman" w:hAnsi="Times New Roman"/>
                <w:b w:val="0"/>
                <w:sz w:val="20"/>
              </w:rPr>
              <w:t>-0.14</w:t>
            </w:r>
          </w:p>
        </w:tc>
        <w:tc>
          <w:tcPr>
            <w:tcW w:type="dxa" w:w="1814"/>
          </w:tcPr>
          <w:p>
            <w:pPr>
              <w:spacing w:line="240" w:lineRule="auto" w:after="0"/>
            </w:pPr>
            <w:r/>
            <w:r>
              <w:rPr>
                <w:rFonts w:ascii="Times New Roman" w:hAnsi="Times New Roman"/>
                <w:b w:val="0"/>
                <w:sz w:val="20"/>
              </w:rPr>
              <w:t>-2.42–2.15</w:t>
            </w:r>
          </w:p>
        </w:tc>
        <w:tc>
          <w:tcPr>
            <w:tcW w:type="dxa" w:w="794"/>
          </w:tcPr>
          <w:p>
            <w:pPr>
              <w:spacing w:line="240" w:lineRule="auto" w:after="0"/>
            </w:pPr>
            <w:r/>
            <w:r>
              <w:rPr>
                <w:rFonts w:ascii="Times New Roman" w:hAnsi="Times New Roman"/>
                <w:b w:val="0"/>
                <w:sz w:val="20"/>
              </w:rPr>
              <w:t>-0.01</w:t>
            </w:r>
          </w:p>
        </w:tc>
        <w:tc>
          <w:tcPr>
            <w:tcW w:type="dxa" w:w="907"/>
          </w:tcPr>
          <w:p>
            <w:pPr>
              <w:spacing w:line="240" w:lineRule="auto" w:after="0"/>
            </w:pPr>
            <w:r/>
            <w:r>
              <w:rPr>
                <w:rFonts w:ascii="Times New Roman" w:hAnsi="Times New Roman"/>
                <w:b w:val="0"/>
                <w:sz w:val="20"/>
              </w:rPr>
              <w:t>0.906</w:t>
            </w:r>
          </w:p>
        </w:tc>
      </w:tr>
      <w:tr>
        <w:trPr>
          <w:cantSplit/>
        </w:trPr>
        <w:tc>
          <w:tcPr>
            <w:tcW w:type="dxa" w:w="4309"/>
          </w:tcPr>
          <w:p>
            <w:pPr>
              <w:spacing w:line="240" w:lineRule="auto" w:after="0"/>
            </w:pPr>
            <w:r/>
            <w:r>
              <w:rPr>
                <w:rFonts w:ascii="Times New Roman" w:hAnsi="Times New Roman"/>
                <w:b w:val="0"/>
                <w:sz w:val="20"/>
              </w:rPr>
              <w:t>Answered mainly in English</w:t>
            </w:r>
          </w:p>
        </w:tc>
        <w:tc>
          <w:tcPr>
            <w:tcW w:type="dxa" w:w="907"/>
          </w:tcPr>
          <w:p>
            <w:pPr>
              <w:spacing w:line="240" w:lineRule="auto" w:after="0"/>
            </w:pPr>
            <w:r/>
            <w:r>
              <w:rPr>
                <w:rFonts w:ascii="Times New Roman" w:hAnsi="Times New Roman"/>
                <w:b w:val="0"/>
                <w:sz w:val="20"/>
              </w:rPr>
              <w:t>0.51</w:t>
            </w:r>
          </w:p>
        </w:tc>
        <w:tc>
          <w:tcPr>
            <w:tcW w:type="dxa" w:w="1814"/>
          </w:tcPr>
          <w:p>
            <w:pPr>
              <w:spacing w:line="240" w:lineRule="auto" w:after="0"/>
            </w:pPr>
            <w:r/>
            <w:r>
              <w:rPr>
                <w:rFonts w:ascii="Times New Roman" w:hAnsi="Times New Roman"/>
                <w:b w:val="0"/>
                <w:sz w:val="20"/>
              </w:rPr>
              <w:t>-1.71–2.74</w:t>
            </w:r>
          </w:p>
        </w:tc>
        <w:tc>
          <w:tcPr>
            <w:tcW w:type="dxa" w:w="794"/>
          </w:tcPr>
          <w:p>
            <w:pPr>
              <w:spacing w:line="240" w:lineRule="auto" w:after="0"/>
            </w:pPr>
            <w:r/>
            <w:r>
              <w:rPr>
                <w:rFonts w:ascii="Times New Roman" w:hAnsi="Times New Roman"/>
                <w:b w:val="0"/>
                <w:sz w:val="20"/>
              </w:rPr>
              <w:t>0.03</w:t>
            </w:r>
          </w:p>
        </w:tc>
        <w:tc>
          <w:tcPr>
            <w:tcW w:type="dxa" w:w="907"/>
          </w:tcPr>
          <w:p>
            <w:pPr>
              <w:spacing w:line="240" w:lineRule="auto" w:after="0"/>
            </w:pPr>
            <w:r/>
            <w:r>
              <w:rPr>
                <w:rFonts w:ascii="Times New Roman" w:hAnsi="Times New Roman"/>
                <w:b w:val="0"/>
                <w:sz w:val="20"/>
              </w:rPr>
              <w:t>0.650</w:t>
            </w:r>
          </w:p>
        </w:tc>
      </w:tr>
      <w:tr>
        <w:trPr>
          <w:cantSplit/>
        </w:trPr>
        <w:tc>
          <w:tcPr>
            <w:tcW w:type="dxa" w:w="4309"/>
          </w:tcPr>
          <w:p>
            <w:pPr>
              <w:spacing w:line="240" w:lineRule="auto" w:after="0"/>
            </w:pPr>
            <w:r/>
            <w:r>
              <w:rPr>
                <w:rFonts w:ascii="Times New Roman" w:hAnsi="Times New Roman"/>
                <w:b/>
                <w:sz w:val="20"/>
              </w:rPr>
              <w:t>Uses AI chatbots</w:t>
            </w:r>
          </w:p>
        </w:tc>
        <w:tc>
          <w:tcPr>
            <w:tcW w:type="dxa" w:w="907"/>
          </w:tcPr>
          <w:p>
            <w:pPr>
              <w:spacing w:line="240" w:lineRule="auto" w:after="0"/>
            </w:pPr>
            <w:r/>
            <w:r>
              <w:rPr>
                <w:rFonts w:ascii="Times New Roman" w:hAnsi="Times New Roman"/>
                <w:b/>
                <w:sz w:val="20"/>
              </w:rPr>
              <w:t>5.33</w:t>
            </w:r>
          </w:p>
        </w:tc>
        <w:tc>
          <w:tcPr>
            <w:tcW w:type="dxa" w:w="1814"/>
          </w:tcPr>
          <w:p>
            <w:pPr>
              <w:spacing w:line="240" w:lineRule="auto" w:after="0"/>
            </w:pPr>
            <w:r/>
            <w:r>
              <w:rPr>
                <w:rFonts w:ascii="Times New Roman" w:hAnsi="Times New Roman"/>
                <w:b/>
                <w:sz w:val="20"/>
              </w:rPr>
              <w:t>2.34–8.32</w:t>
            </w:r>
          </w:p>
        </w:tc>
        <w:tc>
          <w:tcPr>
            <w:tcW w:type="dxa" w:w="794"/>
          </w:tcPr>
          <w:p>
            <w:pPr>
              <w:spacing w:line="240" w:lineRule="auto" w:after="0"/>
            </w:pPr>
            <w:r/>
            <w:r>
              <w:rPr>
                <w:rFonts w:ascii="Times New Roman" w:hAnsi="Times New Roman"/>
                <w:b/>
                <w:sz w:val="20"/>
              </w:rPr>
              <w:t>0.20</w:t>
            </w:r>
          </w:p>
        </w:tc>
        <w:tc>
          <w:tcPr>
            <w:tcW w:type="dxa" w:w="907"/>
          </w:tcPr>
          <w:p>
            <w:pPr>
              <w:spacing w:line="240" w:lineRule="auto" w:after="0"/>
            </w:pPr>
            <w:r/>
            <w:r>
              <w:rPr>
                <w:rFonts w:ascii="Times New Roman" w:hAnsi="Times New Roman"/>
                <w:b/>
                <w:sz w:val="20"/>
              </w:rPr>
              <w:t>&lt;0.001</w:t>
            </w:r>
          </w:p>
        </w:tc>
      </w:tr>
      <w:tr>
        <w:trPr>
          <w:cantSplit/>
        </w:trPr>
        <w:tc>
          <w:tcPr>
            <w:tcW w:type="dxa" w:w="4309"/>
          </w:tcPr>
          <w:p>
            <w:pPr>
              <w:spacing w:line="240" w:lineRule="auto" w:after="0"/>
            </w:pPr>
            <w:r/>
            <w:r>
              <w:rPr>
                <w:rFonts w:ascii="Times New Roman" w:hAnsi="Times New Roman"/>
                <w:b w:val="0"/>
                <w:sz w:val="20"/>
              </w:rPr>
              <w:t>Uses search engines</w:t>
            </w:r>
          </w:p>
        </w:tc>
        <w:tc>
          <w:tcPr>
            <w:tcW w:type="dxa" w:w="907"/>
          </w:tcPr>
          <w:p>
            <w:pPr>
              <w:spacing w:line="240" w:lineRule="auto" w:after="0"/>
            </w:pPr>
            <w:r/>
            <w:r>
              <w:rPr>
                <w:rFonts w:ascii="Times New Roman" w:hAnsi="Times New Roman"/>
                <w:b w:val="0"/>
                <w:sz w:val="20"/>
              </w:rPr>
              <w:t>0.95</w:t>
            </w:r>
          </w:p>
        </w:tc>
        <w:tc>
          <w:tcPr>
            <w:tcW w:type="dxa" w:w="1814"/>
          </w:tcPr>
          <w:p>
            <w:pPr>
              <w:spacing w:line="240" w:lineRule="auto" w:after="0"/>
            </w:pPr>
            <w:r/>
            <w:r>
              <w:rPr>
                <w:rFonts w:ascii="Times New Roman" w:hAnsi="Times New Roman"/>
                <w:b w:val="0"/>
                <w:sz w:val="20"/>
              </w:rPr>
              <w:t>-1.00–2.90</w:t>
            </w:r>
          </w:p>
        </w:tc>
        <w:tc>
          <w:tcPr>
            <w:tcW w:type="dxa" w:w="794"/>
          </w:tcPr>
          <w:p>
            <w:pPr>
              <w:spacing w:line="240" w:lineRule="auto" w:after="0"/>
            </w:pPr>
            <w:r/>
            <w:r>
              <w:rPr>
                <w:rFonts w:ascii="Times New Roman" w:hAnsi="Times New Roman"/>
                <w:b w:val="0"/>
                <w:sz w:val="20"/>
              </w:rPr>
              <w:t>0.06</w:t>
            </w:r>
          </w:p>
        </w:tc>
        <w:tc>
          <w:tcPr>
            <w:tcW w:type="dxa" w:w="907"/>
          </w:tcPr>
          <w:p>
            <w:pPr>
              <w:spacing w:line="240" w:lineRule="auto" w:after="0"/>
            </w:pPr>
            <w:r/>
            <w:r>
              <w:rPr>
                <w:rFonts w:ascii="Times New Roman" w:hAnsi="Times New Roman"/>
                <w:b w:val="0"/>
                <w:sz w:val="20"/>
              </w:rPr>
              <w:t>0.342</w:t>
            </w:r>
          </w:p>
        </w:tc>
      </w:tr>
      <w:tr>
        <w:trPr>
          <w:cantSplit/>
        </w:trPr>
        <w:tc>
          <w:tcPr>
            <w:tcW w:type="dxa" w:w="4309"/>
          </w:tcPr>
          <w:p>
            <w:pPr>
              <w:spacing w:line="240" w:lineRule="auto" w:after="0"/>
            </w:pPr>
            <w:r/>
            <w:r>
              <w:rPr>
                <w:rFonts w:ascii="Times New Roman" w:hAnsi="Times New Roman"/>
                <w:b w:val="0"/>
                <w:sz w:val="20"/>
              </w:rPr>
              <w:t>Uses medical platforms</w:t>
            </w:r>
          </w:p>
        </w:tc>
        <w:tc>
          <w:tcPr>
            <w:tcW w:type="dxa" w:w="907"/>
          </w:tcPr>
          <w:p>
            <w:pPr>
              <w:spacing w:line="240" w:lineRule="auto" w:after="0"/>
            </w:pPr>
            <w:r/>
            <w:r>
              <w:rPr>
                <w:rFonts w:ascii="Times New Roman" w:hAnsi="Times New Roman"/>
                <w:b w:val="0"/>
                <w:sz w:val="20"/>
              </w:rPr>
              <w:t>0.17</w:t>
            </w:r>
          </w:p>
        </w:tc>
        <w:tc>
          <w:tcPr>
            <w:tcW w:type="dxa" w:w="1814"/>
          </w:tcPr>
          <w:p>
            <w:pPr>
              <w:spacing w:line="240" w:lineRule="auto" w:after="0"/>
            </w:pPr>
            <w:r/>
            <w:r>
              <w:rPr>
                <w:rFonts w:ascii="Times New Roman" w:hAnsi="Times New Roman"/>
                <w:b w:val="0"/>
                <w:sz w:val="20"/>
              </w:rPr>
              <w:t>-2.10–2.44</w:t>
            </w:r>
          </w:p>
        </w:tc>
        <w:tc>
          <w:tcPr>
            <w:tcW w:type="dxa" w:w="794"/>
          </w:tcPr>
          <w:p>
            <w:pPr>
              <w:spacing w:line="240" w:lineRule="auto" w:after="0"/>
            </w:pPr>
            <w:r/>
            <w:r>
              <w:rPr>
                <w:rFonts w:ascii="Times New Roman" w:hAnsi="Times New Roman"/>
                <w:b w:val="0"/>
                <w:sz w:val="20"/>
              </w:rPr>
              <w:t>0.01</w:t>
            </w:r>
          </w:p>
        </w:tc>
        <w:tc>
          <w:tcPr>
            <w:tcW w:type="dxa" w:w="907"/>
          </w:tcPr>
          <w:p>
            <w:pPr>
              <w:spacing w:line="240" w:lineRule="auto" w:after="0"/>
            </w:pPr>
            <w:r/>
            <w:r>
              <w:rPr>
                <w:rFonts w:ascii="Times New Roman" w:hAnsi="Times New Roman"/>
                <w:b w:val="0"/>
                <w:sz w:val="20"/>
              </w:rPr>
              <w:t>0.885</w:t>
            </w:r>
          </w:p>
        </w:tc>
      </w:tr>
      <w:tr>
        <w:trPr>
          <w:cantSplit/>
        </w:trPr>
        <w:tc>
          <w:tcPr>
            <w:tcW w:type="dxa" w:w="4309"/>
          </w:tcPr>
          <w:p>
            <w:pPr>
              <w:spacing w:line="240" w:lineRule="auto" w:after="0"/>
            </w:pPr>
            <w:r/>
            <w:r>
              <w:rPr>
                <w:rFonts w:ascii="Times New Roman" w:hAnsi="Times New Roman"/>
                <w:b w:val="0"/>
                <w:sz w:val="20"/>
              </w:rPr>
              <w:t>Uses social media</w:t>
            </w:r>
          </w:p>
        </w:tc>
        <w:tc>
          <w:tcPr>
            <w:tcW w:type="dxa" w:w="907"/>
          </w:tcPr>
          <w:p>
            <w:pPr>
              <w:spacing w:line="240" w:lineRule="auto" w:after="0"/>
            </w:pPr>
            <w:r/>
            <w:r>
              <w:rPr>
                <w:rFonts w:ascii="Times New Roman" w:hAnsi="Times New Roman"/>
                <w:b w:val="0"/>
                <w:sz w:val="20"/>
              </w:rPr>
              <w:t>1.46</w:t>
            </w:r>
          </w:p>
        </w:tc>
        <w:tc>
          <w:tcPr>
            <w:tcW w:type="dxa" w:w="1814"/>
          </w:tcPr>
          <w:p>
            <w:pPr>
              <w:spacing w:line="240" w:lineRule="auto" w:after="0"/>
            </w:pPr>
            <w:r/>
            <w:r>
              <w:rPr>
                <w:rFonts w:ascii="Times New Roman" w:hAnsi="Times New Roman"/>
                <w:b w:val="0"/>
                <w:sz w:val="20"/>
              </w:rPr>
              <w:t>-1.61–4.54</w:t>
            </w:r>
          </w:p>
        </w:tc>
        <w:tc>
          <w:tcPr>
            <w:tcW w:type="dxa" w:w="794"/>
          </w:tcPr>
          <w:p>
            <w:pPr>
              <w:spacing w:line="240" w:lineRule="auto" w:after="0"/>
            </w:pPr>
            <w:r/>
            <w:r>
              <w:rPr>
                <w:rFonts w:ascii="Times New Roman" w:hAnsi="Times New Roman"/>
                <w:b w:val="0"/>
                <w:sz w:val="20"/>
              </w:rPr>
              <w:t>0.05</w:t>
            </w:r>
          </w:p>
        </w:tc>
        <w:tc>
          <w:tcPr>
            <w:tcW w:type="dxa" w:w="907"/>
          </w:tcPr>
          <w:p>
            <w:pPr>
              <w:spacing w:line="240" w:lineRule="auto" w:after="0"/>
            </w:pPr>
            <w:r/>
            <w:r>
              <w:rPr>
                <w:rFonts w:ascii="Times New Roman" w:hAnsi="Times New Roman"/>
                <w:b w:val="0"/>
                <w:sz w:val="20"/>
              </w:rPr>
              <w:t>0.351</w:t>
            </w:r>
          </w:p>
        </w:tc>
      </w:tr>
      <w:tr>
        <w:trPr>
          <w:cantSplit/>
        </w:trPr>
        <w:tc>
          <w:tcPr>
            <w:tcW w:type="dxa" w:w="4309"/>
          </w:tcPr>
          <w:p>
            <w:pPr>
              <w:spacing w:line="240" w:lineRule="auto" w:after="0"/>
            </w:pPr>
            <w:r/>
            <w:r>
              <w:rPr>
                <w:rFonts w:ascii="Times New Roman" w:hAnsi="Times New Roman"/>
                <w:b w:val="0"/>
                <w:sz w:val="20"/>
              </w:rPr>
              <w:t>Trust in online/AI (per point)</w:t>
            </w:r>
          </w:p>
        </w:tc>
        <w:tc>
          <w:tcPr>
            <w:tcW w:type="dxa" w:w="907"/>
          </w:tcPr>
          <w:p>
            <w:pPr>
              <w:spacing w:line="240" w:lineRule="auto" w:after="0"/>
            </w:pPr>
            <w:r/>
            <w:r>
              <w:rPr>
                <w:rFonts w:ascii="Times New Roman" w:hAnsi="Times New Roman"/>
                <w:b w:val="0"/>
                <w:sz w:val="20"/>
              </w:rPr>
              <w:t>0.72</w:t>
            </w:r>
          </w:p>
        </w:tc>
        <w:tc>
          <w:tcPr>
            <w:tcW w:type="dxa" w:w="1814"/>
          </w:tcPr>
          <w:p>
            <w:pPr>
              <w:spacing w:line="240" w:lineRule="auto" w:after="0"/>
            </w:pPr>
            <w:r/>
            <w:r>
              <w:rPr>
                <w:rFonts w:ascii="Times New Roman" w:hAnsi="Times New Roman"/>
                <w:b w:val="0"/>
                <w:sz w:val="20"/>
              </w:rPr>
              <w:t>-0.50–1.93</w:t>
            </w:r>
          </w:p>
        </w:tc>
        <w:tc>
          <w:tcPr>
            <w:tcW w:type="dxa" w:w="794"/>
          </w:tcPr>
          <w:p>
            <w:pPr>
              <w:spacing w:line="240" w:lineRule="auto" w:after="0"/>
            </w:pPr>
            <w:r/>
            <w:r>
              <w:rPr>
                <w:rFonts w:ascii="Times New Roman" w:hAnsi="Times New Roman"/>
                <w:b w:val="0"/>
                <w:sz w:val="20"/>
              </w:rPr>
              <w:t>0.06</w:t>
            </w:r>
          </w:p>
        </w:tc>
        <w:tc>
          <w:tcPr>
            <w:tcW w:type="dxa" w:w="907"/>
          </w:tcPr>
          <w:p>
            <w:pPr>
              <w:spacing w:line="240" w:lineRule="auto" w:after="0"/>
            </w:pPr>
            <w:r/>
            <w:r>
              <w:rPr>
                <w:rFonts w:ascii="Times New Roman" w:hAnsi="Times New Roman"/>
                <w:b w:val="0"/>
                <w:sz w:val="20"/>
              </w:rPr>
              <w:t>0.247</w:t>
            </w:r>
          </w:p>
        </w:tc>
      </w:tr>
      <w:tr>
        <w:trPr>
          <w:cantSplit/>
        </w:trPr>
        <w:tc>
          <w:tcPr>
            <w:tcW w:type="dxa" w:w="4309"/>
          </w:tcPr>
          <w:p>
            <w:pPr>
              <w:spacing w:line="240" w:lineRule="auto" w:after="0"/>
            </w:pPr>
            <w:r/>
            <w:r>
              <w:rPr>
                <w:rFonts w:ascii="Times New Roman" w:hAnsi="Times New Roman"/>
                <w:b w:val="0"/>
                <w:sz w:val="20"/>
              </w:rPr>
              <w:t>Motive: instant reassurance</w:t>
            </w:r>
          </w:p>
        </w:tc>
        <w:tc>
          <w:tcPr>
            <w:tcW w:type="dxa" w:w="907"/>
          </w:tcPr>
          <w:p>
            <w:pPr>
              <w:spacing w:line="240" w:lineRule="auto" w:after="0"/>
            </w:pPr>
            <w:r/>
            <w:r>
              <w:rPr>
                <w:rFonts w:ascii="Times New Roman" w:hAnsi="Times New Roman"/>
                <w:b w:val="0"/>
                <w:sz w:val="20"/>
              </w:rPr>
              <w:t>-1.11</w:t>
            </w:r>
          </w:p>
        </w:tc>
        <w:tc>
          <w:tcPr>
            <w:tcW w:type="dxa" w:w="1814"/>
          </w:tcPr>
          <w:p>
            <w:pPr>
              <w:spacing w:line="240" w:lineRule="auto" w:after="0"/>
            </w:pPr>
            <w:r/>
            <w:r>
              <w:rPr>
                <w:rFonts w:ascii="Times New Roman" w:hAnsi="Times New Roman"/>
                <w:b w:val="0"/>
                <w:sz w:val="20"/>
              </w:rPr>
              <w:t>-2.91–0.69</w:t>
            </w:r>
          </w:p>
        </w:tc>
        <w:tc>
          <w:tcPr>
            <w:tcW w:type="dxa" w:w="794"/>
          </w:tcPr>
          <w:p>
            <w:pPr>
              <w:spacing w:line="240" w:lineRule="auto" w:after="0"/>
            </w:pPr>
            <w:r/>
            <w:r>
              <w:rPr>
                <w:rFonts w:ascii="Times New Roman" w:hAnsi="Times New Roman"/>
                <w:b w:val="0"/>
                <w:sz w:val="20"/>
              </w:rPr>
              <w:t>-0.07</w:t>
            </w:r>
          </w:p>
        </w:tc>
        <w:tc>
          <w:tcPr>
            <w:tcW w:type="dxa" w:w="907"/>
          </w:tcPr>
          <w:p>
            <w:pPr>
              <w:spacing w:line="240" w:lineRule="auto" w:after="0"/>
            </w:pPr>
            <w:r/>
            <w:r>
              <w:rPr>
                <w:rFonts w:ascii="Times New Roman" w:hAnsi="Times New Roman"/>
                <w:b w:val="0"/>
                <w:sz w:val="20"/>
              </w:rPr>
              <w:t>0.229</w:t>
            </w:r>
          </w:p>
        </w:tc>
      </w:tr>
      <w:tr>
        <w:trPr>
          <w:cantSplit/>
        </w:trPr>
        <w:tc>
          <w:tcPr>
            <w:tcW w:type="dxa" w:w="4309"/>
          </w:tcPr>
          <w:p>
            <w:pPr>
              <w:spacing w:line="240" w:lineRule="auto" w:after="0"/>
            </w:pPr>
            <w:r/>
            <w:r>
              <w:rPr>
                <w:rFonts w:ascii="Times New Roman" w:hAnsi="Times New Roman"/>
                <w:b w:val="0"/>
                <w:sz w:val="20"/>
              </w:rPr>
              <w:t>Motive: self-diagnosis</w:t>
            </w:r>
          </w:p>
        </w:tc>
        <w:tc>
          <w:tcPr>
            <w:tcW w:type="dxa" w:w="907"/>
          </w:tcPr>
          <w:p>
            <w:pPr>
              <w:spacing w:line="240" w:lineRule="auto" w:after="0"/>
            </w:pPr>
            <w:r/>
            <w:r>
              <w:rPr>
                <w:rFonts w:ascii="Times New Roman" w:hAnsi="Times New Roman"/>
                <w:b w:val="0"/>
                <w:sz w:val="20"/>
              </w:rPr>
              <w:t>0.99</w:t>
            </w:r>
          </w:p>
        </w:tc>
        <w:tc>
          <w:tcPr>
            <w:tcW w:type="dxa" w:w="1814"/>
          </w:tcPr>
          <w:p>
            <w:pPr>
              <w:spacing w:line="240" w:lineRule="auto" w:after="0"/>
            </w:pPr>
            <w:r/>
            <w:r>
              <w:rPr>
                <w:rFonts w:ascii="Times New Roman" w:hAnsi="Times New Roman"/>
                <w:b w:val="0"/>
                <w:sz w:val="20"/>
              </w:rPr>
              <w:t>-1.01–3.00</w:t>
            </w:r>
          </w:p>
        </w:tc>
        <w:tc>
          <w:tcPr>
            <w:tcW w:type="dxa" w:w="794"/>
          </w:tcPr>
          <w:p>
            <w:pPr>
              <w:spacing w:line="240" w:lineRule="auto" w:after="0"/>
            </w:pPr>
            <w:r/>
            <w:r>
              <w:rPr>
                <w:rFonts w:ascii="Times New Roman" w:hAnsi="Times New Roman"/>
                <w:b w:val="0"/>
                <w:sz w:val="20"/>
              </w:rPr>
              <w:t>0.05</w:t>
            </w:r>
          </w:p>
        </w:tc>
        <w:tc>
          <w:tcPr>
            <w:tcW w:type="dxa" w:w="907"/>
          </w:tcPr>
          <w:p>
            <w:pPr>
              <w:spacing w:line="240" w:lineRule="auto" w:after="0"/>
            </w:pPr>
            <w:r/>
            <w:r>
              <w:rPr>
                <w:rFonts w:ascii="Times New Roman" w:hAnsi="Times New Roman"/>
                <w:b w:val="0"/>
                <w:sz w:val="20"/>
              </w:rPr>
              <w:t>0.332</w:t>
            </w:r>
          </w:p>
        </w:tc>
      </w:tr>
      <w:tr>
        <w:trPr>
          <w:cantSplit/>
        </w:trPr>
        <w:tc>
          <w:tcPr>
            <w:tcW w:type="dxa" w:w="4309"/>
          </w:tcPr>
          <w:p>
            <w:pPr>
              <w:spacing w:line="240" w:lineRule="auto" w:after="0"/>
            </w:pPr>
            <w:r/>
            <w:r>
              <w:rPr>
                <w:rFonts w:ascii="Times New Roman" w:hAnsi="Times New Roman"/>
                <w:b w:val="0"/>
                <w:sz w:val="20"/>
              </w:rPr>
              <w:t>Motive: cost/logistics</w:t>
            </w:r>
          </w:p>
        </w:tc>
        <w:tc>
          <w:tcPr>
            <w:tcW w:type="dxa" w:w="907"/>
          </w:tcPr>
          <w:p>
            <w:pPr>
              <w:spacing w:line="240" w:lineRule="auto" w:after="0"/>
            </w:pPr>
            <w:r/>
            <w:r>
              <w:rPr>
                <w:rFonts w:ascii="Times New Roman" w:hAnsi="Times New Roman"/>
                <w:b w:val="0"/>
                <w:sz w:val="20"/>
              </w:rPr>
              <w:t>0.44</w:t>
            </w:r>
          </w:p>
        </w:tc>
        <w:tc>
          <w:tcPr>
            <w:tcW w:type="dxa" w:w="1814"/>
          </w:tcPr>
          <w:p>
            <w:pPr>
              <w:spacing w:line="240" w:lineRule="auto" w:after="0"/>
            </w:pPr>
            <w:r/>
            <w:r>
              <w:rPr>
                <w:rFonts w:ascii="Times New Roman" w:hAnsi="Times New Roman"/>
                <w:b w:val="0"/>
                <w:sz w:val="20"/>
              </w:rPr>
              <w:t>-1.50–2.39</w:t>
            </w:r>
          </w:p>
        </w:tc>
        <w:tc>
          <w:tcPr>
            <w:tcW w:type="dxa" w:w="794"/>
          </w:tcPr>
          <w:p>
            <w:pPr>
              <w:spacing w:line="240" w:lineRule="auto" w:after="0"/>
            </w:pPr>
            <w:r/>
            <w:r>
              <w:rPr>
                <w:rFonts w:ascii="Times New Roman" w:hAnsi="Times New Roman"/>
                <w:b w:val="0"/>
                <w:sz w:val="20"/>
              </w:rPr>
              <w:t>0.02</w:t>
            </w:r>
          </w:p>
        </w:tc>
        <w:tc>
          <w:tcPr>
            <w:tcW w:type="dxa" w:w="907"/>
          </w:tcPr>
          <w:p>
            <w:pPr>
              <w:spacing w:line="240" w:lineRule="auto" w:after="0"/>
            </w:pPr>
            <w:r/>
            <w:r>
              <w:rPr>
                <w:rFonts w:ascii="Times New Roman" w:hAnsi="Times New Roman"/>
                <w:b w:val="0"/>
                <w:sz w:val="20"/>
              </w:rPr>
              <w:t>0.656</w:t>
            </w:r>
          </w:p>
        </w:tc>
      </w:tr>
      <w:tr>
        <w:trPr>
          <w:cantSplit/>
        </w:trPr>
        <w:tc>
          <w:tcPr>
            <w:tcW w:type="dxa" w:w="4309"/>
          </w:tcPr>
          <w:p>
            <w:pPr>
              <w:spacing w:line="240" w:lineRule="auto" w:after="0"/>
            </w:pPr>
            <w:r/>
            <w:r>
              <w:rPr>
                <w:rFonts w:ascii="Times New Roman" w:hAnsi="Times New Roman"/>
                <w:b w:val="0"/>
                <w:sz w:val="20"/>
              </w:rPr>
              <w:t>Motive: need for a doctor?</w:t>
            </w:r>
          </w:p>
        </w:tc>
        <w:tc>
          <w:tcPr>
            <w:tcW w:type="dxa" w:w="907"/>
          </w:tcPr>
          <w:p>
            <w:pPr>
              <w:spacing w:line="240" w:lineRule="auto" w:after="0"/>
            </w:pPr>
            <w:r/>
            <w:r>
              <w:rPr>
                <w:rFonts w:ascii="Times New Roman" w:hAnsi="Times New Roman"/>
                <w:b w:val="0"/>
                <w:sz w:val="20"/>
              </w:rPr>
              <w:t>0.09</w:t>
            </w:r>
          </w:p>
        </w:tc>
        <w:tc>
          <w:tcPr>
            <w:tcW w:type="dxa" w:w="1814"/>
          </w:tcPr>
          <w:p>
            <w:pPr>
              <w:spacing w:line="240" w:lineRule="auto" w:after="0"/>
            </w:pPr>
            <w:r/>
            <w:r>
              <w:rPr>
                <w:rFonts w:ascii="Times New Roman" w:hAnsi="Times New Roman"/>
                <w:b w:val="0"/>
                <w:sz w:val="20"/>
              </w:rPr>
              <w:t>-1.71–1.90</w:t>
            </w:r>
          </w:p>
        </w:tc>
        <w:tc>
          <w:tcPr>
            <w:tcW w:type="dxa" w:w="794"/>
          </w:tcPr>
          <w:p>
            <w:pPr>
              <w:spacing w:line="240" w:lineRule="auto" w:after="0"/>
            </w:pPr>
            <w:r/>
            <w:r>
              <w:rPr>
                <w:rFonts w:ascii="Times New Roman" w:hAnsi="Times New Roman"/>
                <w:b w:val="0"/>
                <w:sz w:val="20"/>
              </w:rPr>
              <w:t>0.01</w:t>
            </w:r>
          </w:p>
        </w:tc>
        <w:tc>
          <w:tcPr>
            <w:tcW w:type="dxa" w:w="907"/>
          </w:tcPr>
          <w:p>
            <w:pPr>
              <w:spacing w:line="240" w:lineRule="auto" w:after="0"/>
            </w:pPr>
            <w:r/>
            <w:r>
              <w:rPr>
                <w:rFonts w:ascii="Times New Roman" w:hAnsi="Times New Roman"/>
                <w:b w:val="0"/>
                <w:sz w:val="20"/>
              </w:rPr>
              <w:t>0.919</w:t>
            </w:r>
          </w:p>
        </w:tc>
      </w:tr>
      <w:tr>
        <w:trPr>
          <w:cantSplit/>
        </w:trPr>
        <w:tc>
          <w:tcPr>
            <w:tcW w:type="dxa" w:w="4309"/>
            <w:tcBorders>
              <w:bottom w:val="single" w:sz="8" w:color="000000"/>
            </w:tcBorders>
          </w:tcPr>
          <w:p>
            <w:pPr>
              <w:spacing w:line="240" w:lineRule="auto" w:after="0"/>
            </w:pPr>
            <w:r/>
            <w:r>
              <w:rPr>
                <w:rFonts w:ascii="Times New Roman" w:hAnsi="Times New Roman"/>
                <w:b/>
                <w:sz w:val="20"/>
              </w:rPr>
              <w:t>Health anxiety (SHAI, per point)</w:t>
            </w:r>
          </w:p>
        </w:tc>
        <w:tc>
          <w:tcPr>
            <w:tcW w:type="dxa" w:w="907"/>
            <w:tcBorders>
              <w:bottom w:val="single" w:sz="8" w:color="000000"/>
            </w:tcBorders>
          </w:tcPr>
          <w:p>
            <w:pPr>
              <w:spacing w:line="240" w:lineRule="auto" w:after="0"/>
            </w:pPr>
            <w:r/>
            <w:r>
              <w:rPr>
                <w:rFonts w:ascii="Times New Roman" w:hAnsi="Times New Roman"/>
                <w:b/>
                <w:sz w:val="20"/>
              </w:rPr>
              <w:t>0.68</w:t>
            </w:r>
          </w:p>
        </w:tc>
        <w:tc>
          <w:tcPr>
            <w:tcW w:type="dxa" w:w="1814"/>
            <w:tcBorders>
              <w:bottom w:val="single" w:sz="8" w:color="000000"/>
            </w:tcBorders>
          </w:tcPr>
          <w:p>
            <w:pPr>
              <w:spacing w:line="240" w:lineRule="auto" w:after="0"/>
            </w:pPr>
            <w:r/>
            <w:r>
              <w:rPr>
                <w:rFonts w:ascii="Times New Roman" w:hAnsi="Times New Roman"/>
                <w:b/>
                <w:sz w:val="20"/>
              </w:rPr>
              <w:t>0.53–0.84</w:t>
            </w:r>
          </w:p>
        </w:tc>
        <w:tc>
          <w:tcPr>
            <w:tcW w:type="dxa" w:w="794"/>
            <w:tcBorders>
              <w:bottom w:val="single" w:sz="8" w:color="000000"/>
            </w:tcBorders>
          </w:tcPr>
          <w:p>
            <w:pPr>
              <w:spacing w:line="240" w:lineRule="auto" w:after="0"/>
            </w:pPr>
            <w:r/>
            <w:r>
              <w:rPr>
                <w:rFonts w:ascii="Times New Roman" w:hAnsi="Times New Roman"/>
                <w:b/>
                <w:sz w:val="20"/>
              </w:rPr>
              <w:t>0.48</w:t>
            </w:r>
          </w:p>
        </w:tc>
        <w:tc>
          <w:tcPr>
            <w:tcW w:type="dxa" w:w="907"/>
            <w:tcBorders>
              <w:bottom w:val="single" w:sz="8" w:color="000000"/>
            </w:tcBorders>
          </w:tcPr>
          <w:p>
            <w:pPr>
              <w:spacing w:line="240" w:lineRule="auto" w:after="0"/>
            </w:pPr>
            <w:r/>
            <w:r>
              <w:rPr>
                <w:rFonts w:ascii="Times New Roman" w:hAnsi="Times New Roman"/>
                <w:b/>
                <w:sz w:val="20"/>
              </w:rPr>
              <w:t>&lt;0.001</w:t>
            </w:r>
          </w:p>
        </w:tc>
      </w:tr>
    </w:tbl>
    <w:p>
      <w:pPr>
        <w:spacing w:line="240" w:lineRule="auto" w:after="200"/>
      </w:pPr>
      <w:r>
        <w:rPr>
          <w:rFonts w:ascii="Times New Roman" w:hAnsi="Times New Roman"/>
          <w:sz w:val="19"/>
        </w:rPr>
        <w:t>Block 1 (socio-demographics) R² = 0.030; Block 2 (+ digital use) R² = 0.133, ΔR² = 0.103, p = 0.0002; Block 3 (+ SHAI) R² = 0.317, ΔR² = 0.184, p &lt; 0.001; adjusted R² = 0.268; F = 8.03, p &lt; 0.001. HC3 robust standard errors. β: standardised coefficient.</w:t>
      </w:r>
    </w:p>
    <w:p>
      <w:pPr>
        <w:spacing w:after="120"/>
        <w:ind w:firstLine="567"/>
        <w:jc w:val="both"/>
      </w:pPr>
      <w:r>
        <w:rPr>
          <w:rFonts w:ascii="Times New Roman" w:hAnsi="Times New Roman"/>
        </w:rPr>
        <w:t>In logistic regression (Table 8, Figure 6), elevated health anxiety was independently associated with higher cyberchondria (AOR = 3.12 per SD, 95% CI 2.09–4.65), with searching for instant reassurance (AOR = 3.83, 95% CI 1.75–8.42) and with younger age (AOR = 0.61 per age-group step, 95% CI 0.38–0.96). The model discriminated well (AUC = 0.83; McFadden pseudo-R² = 0.22).</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8</w:t>
      </w:r>
      <w:r>
        <w:rPr>
          <w:b/>
          <w:sz w:val="24"/>
        </w:rPr>
        <w:fldChar w:fldCharType="end"/>
      </w:r>
      <w:r>
        <w:rPr>
          <w:b/>
          <w:sz w:val="24"/>
        </w:rPr>
        <w:t xml:space="preserve">. </w:t>
      </w:r>
      <w:r>
        <w:rPr>
          <w:i w:val="0"/>
          <w:sz w:val="24"/>
        </w:rPr>
        <w:t>Multivariable logistic regression of elevated health anxiety (SHAI ≥ 18; 57 events, n = 300)</w:t>
      </w:r>
    </w:p>
    <w:tbl>
      <w:tblPr>
        <w:tblStyle w:val="TableGrid"/>
        <w:tblW w:type="auto" w:w="0"/>
        <w:jc w:val="center"/>
        <w:tblLayout w:type="fixed"/>
        <w:tblLook w:firstColumn="1" w:firstRow="1" w:lastColumn="0" w:lastRow="0" w:noHBand="0" w:noVBand="1" w:val="04A0"/>
        <w:tblLayout w:type="fixed"/>
      </w:tblPr>
      <w:tblGrid>
        <w:gridCol w:w="4535"/>
        <w:gridCol w:w="1134"/>
        <w:gridCol w:w="1984"/>
        <w:gridCol w:w="1134"/>
      </w:tblGrid>
      <w:tr>
        <w:trPr>
          <w:cantSplit/>
        </w:trPr>
        <w:tc>
          <w:tcPr>
            <w:tcW w:type="dxa" w:w="4535"/>
            <w:tcBorders>
              <w:top w:val="single" w:sz="8" w:color="000000"/>
              <w:bottom w:val="single" w:sz="8" w:color="000000"/>
            </w:tcBorders>
          </w:tcPr>
          <w:p>
            <w:pPr>
              <w:spacing w:line="240" w:lineRule="auto" w:after="0"/>
            </w:pPr>
            <w:r/>
            <w:r>
              <w:rPr>
                <w:rFonts w:ascii="Times New Roman" w:hAnsi="Times New Roman"/>
                <w:b/>
                <w:sz w:val="21"/>
              </w:rPr>
              <w:t>Predictor</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AOR</w:t>
            </w:r>
          </w:p>
        </w:tc>
        <w:tc>
          <w:tcPr>
            <w:tcW w:type="dxa" w:w="1984"/>
            <w:tcBorders>
              <w:top w:val="single" w:sz="8" w:color="000000"/>
              <w:bottom w:val="single" w:sz="8" w:color="000000"/>
            </w:tcBorders>
          </w:tcPr>
          <w:p>
            <w:pPr>
              <w:spacing w:line="240" w:lineRule="auto" w:after="0"/>
            </w:pPr>
            <w:r/>
            <w:r>
              <w:rPr>
                <w:rFonts w:ascii="Times New Roman" w:hAnsi="Times New Roman"/>
                <w:b/>
                <w:sz w:val="21"/>
              </w:rPr>
              <w:t>95% CI</w:t>
            </w:r>
          </w:p>
        </w:tc>
        <w:tc>
          <w:tcPr>
            <w:tcW w:type="dxa" w:w="1134"/>
            <w:tcBorders>
              <w:top w:val="single" w:sz="8" w:color="000000"/>
              <w:bottom w:val="single" w:sz="8" w:color="000000"/>
            </w:tcBorders>
          </w:tcPr>
          <w:p>
            <w:pPr>
              <w:spacing w:line="240" w:lineRule="auto" w:after="0"/>
            </w:pPr>
            <w:r/>
            <w:r>
              <w:rPr>
                <w:rFonts w:ascii="Times New Roman" w:hAnsi="Times New Roman"/>
                <w:b/>
                <w:sz w:val="21"/>
              </w:rPr>
              <w:t>p</w:t>
            </w:r>
          </w:p>
        </w:tc>
      </w:tr>
      <w:tr>
        <w:trPr>
          <w:cantSplit/>
        </w:trPr>
        <w:tc>
          <w:tcPr>
            <w:tcW w:type="dxa" w:w="4535"/>
          </w:tcPr>
          <w:p>
            <w:pPr>
              <w:spacing w:line="240" w:lineRule="auto" w:after="0"/>
            </w:pPr>
            <w:r/>
            <w:r>
              <w:rPr>
                <w:rFonts w:ascii="Times New Roman" w:hAnsi="Times New Roman"/>
                <w:b/>
                <w:sz w:val="21"/>
              </w:rPr>
              <w:t>Age group (per step)</w:t>
            </w:r>
          </w:p>
        </w:tc>
        <w:tc>
          <w:tcPr>
            <w:tcW w:type="dxa" w:w="1134"/>
          </w:tcPr>
          <w:p>
            <w:pPr>
              <w:spacing w:line="240" w:lineRule="auto" w:after="0"/>
            </w:pPr>
            <w:r/>
            <w:r>
              <w:rPr>
                <w:rFonts w:ascii="Times New Roman" w:hAnsi="Times New Roman"/>
                <w:b/>
                <w:sz w:val="21"/>
              </w:rPr>
              <w:t>0.61</w:t>
            </w:r>
          </w:p>
        </w:tc>
        <w:tc>
          <w:tcPr>
            <w:tcW w:type="dxa" w:w="1984"/>
          </w:tcPr>
          <w:p>
            <w:pPr>
              <w:spacing w:line="240" w:lineRule="auto" w:after="0"/>
            </w:pPr>
            <w:r/>
            <w:r>
              <w:rPr>
                <w:rFonts w:ascii="Times New Roman" w:hAnsi="Times New Roman"/>
                <w:b/>
                <w:sz w:val="21"/>
              </w:rPr>
              <w:t>0.38–0.96</w:t>
            </w:r>
          </w:p>
        </w:tc>
        <w:tc>
          <w:tcPr>
            <w:tcW w:type="dxa" w:w="1134"/>
          </w:tcPr>
          <w:p>
            <w:pPr>
              <w:spacing w:line="240" w:lineRule="auto" w:after="0"/>
            </w:pPr>
            <w:r/>
            <w:r>
              <w:rPr>
                <w:rFonts w:ascii="Times New Roman" w:hAnsi="Times New Roman"/>
                <w:b/>
                <w:sz w:val="21"/>
              </w:rPr>
              <w:t>0.034</w:t>
            </w:r>
          </w:p>
        </w:tc>
      </w:tr>
      <w:tr>
        <w:trPr>
          <w:cantSplit/>
        </w:trPr>
        <w:tc>
          <w:tcPr>
            <w:tcW w:type="dxa" w:w="4535"/>
          </w:tcPr>
          <w:p>
            <w:pPr>
              <w:spacing w:line="240" w:lineRule="auto" w:after="0"/>
            </w:pPr>
            <w:r/>
            <w:r>
              <w:rPr>
                <w:rFonts w:ascii="Times New Roman" w:hAnsi="Times New Roman"/>
                <w:b w:val="0"/>
                <w:sz w:val="21"/>
              </w:rPr>
              <w:t>Female</w:t>
            </w:r>
          </w:p>
        </w:tc>
        <w:tc>
          <w:tcPr>
            <w:tcW w:type="dxa" w:w="1134"/>
          </w:tcPr>
          <w:p>
            <w:pPr>
              <w:spacing w:line="240" w:lineRule="auto" w:after="0"/>
            </w:pPr>
            <w:r/>
            <w:r>
              <w:rPr>
                <w:rFonts w:ascii="Times New Roman" w:hAnsi="Times New Roman"/>
                <w:b w:val="0"/>
                <w:sz w:val="21"/>
              </w:rPr>
              <w:t>1.23</w:t>
            </w:r>
          </w:p>
        </w:tc>
        <w:tc>
          <w:tcPr>
            <w:tcW w:type="dxa" w:w="1984"/>
          </w:tcPr>
          <w:p>
            <w:pPr>
              <w:spacing w:line="240" w:lineRule="auto" w:after="0"/>
            </w:pPr>
            <w:r/>
            <w:r>
              <w:rPr>
                <w:rFonts w:ascii="Times New Roman" w:hAnsi="Times New Roman"/>
                <w:b w:val="0"/>
                <w:sz w:val="21"/>
              </w:rPr>
              <w:t>0.63–2.40</w:t>
            </w:r>
          </w:p>
        </w:tc>
        <w:tc>
          <w:tcPr>
            <w:tcW w:type="dxa" w:w="1134"/>
          </w:tcPr>
          <w:p>
            <w:pPr>
              <w:spacing w:line="240" w:lineRule="auto" w:after="0"/>
            </w:pPr>
            <w:r/>
            <w:r>
              <w:rPr>
                <w:rFonts w:ascii="Times New Roman" w:hAnsi="Times New Roman"/>
                <w:b w:val="0"/>
                <w:sz w:val="21"/>
              </w:rPr>
              <w:t>0.551</w:t>
            </w:r>
          </w:p>
        </w:tc>
      </w:tr>
      <w:tr>
        <w:trPr>
          <w:cantSplit/>
        </w:trPr>
        <w:tc>
          <w:tcPr>
            <w:tcW w:type="dxa" w:w="4535"/>
          </w:tcPr>
          <w:p>
            <w:pPr>
              <w:spacing w:line="240" w:lineRule="auto" w:after="0"/>
            </w:pPr>
            <w:r/>
            <w:r>
              <w:rPr>
                <w:rFonts w:ascii="Times New Roman" w:hAnsi="Times New Roman"/>
                <w:b w:val="0"/>
                <w:sz w:val="21"/>
              </w:rPr>
              <w:t>Health-related background</w:t>
            </w:r>
          </w:p>
        </w:tc>
        <w:tc>
          <w:tcPr>
            <w:tcW w:type="dxa" w:w="1134"/>
          </w:tcPr>
          <w:p>
            <w:pPr>
              <w:spacing w:line="240" w:lineRule="auto" w:after="0"/>
            </w:pPr>
            <w:r/>
            <w:r>
              <w:rPr>
                <w:rFonts w:ascii="Times New Roman" w:hAnsi="Times New Roman"/>
                <w:b w:val="0"/>
                <w:sz w:val="21"/>
              </w:rPr>
              <w:t>1.05</w:t>
            </w:r>
          </w:p>
        </w:tc>
        <w:tc>
          <w:tcPr>
            <w:tcW w:type="dxa" w:w="1984"/>
          </w:tcPr>
          <w:p>
            <w:pPr>
              <w:spacing w:line="240" w:lineRule="auto" w:after="0"/>
            </w:pPr>
            <w:r/>
            <w:r>
              <w:rPr>
                <w:rFonts w:ascii="Times New Roman" w:hAnsi="Times New Roman"/>
                <w:b w:val="0"/>
                <w:sz w:val="21"/>
              </w:rPr>
              <w:t>0.47–2.35</w:t>
            </w:r>
          </w:p>
        </w:tc>
        <w:tc>
          <w:tcPr>
            <w:tcW w:type="dxa" w:w="1134"/>
          </w:tcPr>
          <w:p>
            <w:pPr>
              <w:spacing w:line="240" w:lineRule="auto" w:after="0"/>
            </w:pPr>
            <w:r/>
            <w:r>
              <w:rPr>
                <w:rFonts w:ascii="Times New Roman" w:hAnsi="Times New Roman"/>
                <w:b w:val="0"/>
                <w:sz w:val="21"/>
              </w:rPr>
              <w:t>0.909</w:t>
            </w:r>
          </w:p>
        </w:tc>
      </w:tr>
      <w:tr>
        <w:trPr>
          <w:cantSplit/>
        </w:trPr>
        <w:tc>
          <w:tcPr>
            <w:tcW w:type="dxa" w:w="4535"/>
          </w:tcPr>
          <w:p>
            <w:pPr>
              <w:spacing w:line="240" w:lineRule="auto" w:after="0"/>
            </w:pPr>
            <w:r/>
            <w:r>
              <w:rPr>
                <w:rFonts w:ascii="Times New Roman" w:hAnsi="Times New Roman"/>
                <w:b w:val="0"/>
                <w:sz w:val="21"/>
              </w:rPr>
              <w:t>Chronic condition</w:t>
            </w:r>
          </w:p>
        </w:tc>
        <w:tc>
          <w:tcPr>
            <w:tcW w:type="dxa" w:w="1134"/>
          </w:tcPr>
          <w:p>
            <w:pPr>
              <w:spacing w:line="240" w:lineRule="auto" w:after="0"/>
            </w:pPr>
            <w:r/>
            <w:r>
              <w:rPr>
                <w:rFonts w:ascii="Times New Roman" w:hAnsi="Times New Roman"/>
                <w:b w:val="0"/>
                <w:sz w:val="21"/>
              </w:rPr>
              <w:t>1.51</w:t>
            </w:r>
          </w:p>
        </w:tc>
        <w:tc>
          <w:tcPr>
            <w:tcW w:type="dxa" w:w="1984"/>
          </w:tcPr>
          <w:p>
            <w:pPr>
              <w:spacing w:line="240" w:lineRule="auto" w:after="0"/>
            </w:pPr>
            <w:r/>
            <w:r>
              <w:rPr>
                <w:rFonts w:ascii="Times New Roman" w:hAnsi="Times New Roman"/>
                <w:b w:val="0"/>
                <w:sz w:val="21"/>
              </w:rPr>
              <w:t>0.64–3.53</w:t>
            </w:r>
          </w:p>
        </w:tc>
        <w:tc>
          <w:tcPr>
            <w:tcW w:type="dxa" w:w="1134"/>
          </w:tcPr>
          <w:p>
            <w:pPr>
              <w:spacing w:line="240" w:lineRule="auto" w:after="0"/>
            </w:pPr>
            <w:r/>
            <w:r>
              <w:rPr>
                <w:rFonts w:ascii="Times New Roman" w:hAnsi="Times New Roman"/>
                <w:b w:val="0"/>
                <w:sz w:val="21"/>
              </w:rPr>
              <w:t>0.345</w:t>
            </w:r>
          </w:p>
        </w:tc>
      </w:tr>
      <w:tr>
        <w:trPr>
          <w:cantSplit/>
        </w:trPr>
        <w:tc>
          <w:tcPr>
            <w:tcW w:type="dxa" w:w="4535"/>
          </w:tcPr>
          <w:p>
            <w:pPr>
              <w:spacing w:line="240" w:lineRule="auto" w:after="0"/>
            </w:pPr>
            <w:r/>
            <w:r>
              <w:rPr>
                <w:rFonts w:ascii="Times New Roman" w:hAnsi="Times New Roman"/>
                <w:b w:val="0"/>
                <w:sz w:val="21"/>
              </w:rPr>
              <w:t>Answered mainly in English</w:t>
            </w:r>
          </w:p>
        </w:tc>
        <w:tc>
          <w:tcPr>
            <w:tcW w:type="dxa" w:w="1134"/>
          </w:tcPr>
          <w:p>
            <w:pPr>
              <w:spacing w:line="240" w:lineRule="auto" w:after="0"/>
            </w:pPr>
            <w:r/>
            <w:r>
              <w:rPr>
                <w:rFonts w:ascii="Times New Roman" w:hAnsi="Times New Roman"/>
                <w:b w:val="0"/>
                <w:sz w:val="21"/>
              </w:rPr>
              <w:t>0.94</w:t>
            </w:r>
          </w:p>
        </w:tc>
        <w:tc>
          <w:tcPr>
            <w:tcW w:type="dxa" w:w="1984"/>
          </w:tcPr>
          <w:p>
            <w:pPr>
              <w:spacing w:line="240" w:lineRule="auto" w:after="0"/>
            </w:pPr>
            <w:r/>
            <w:r>
              <w:rPr>
                <w:rFonts w:ascii="Times New Roman" w:hAnsi="Times New Roman"/>
                <w:b w:val="0"/>
                <w:sz w:val="21"/>
              </w:rPr>
              <w:t>0.45–1.97</w:t>
            </w:r>
          </w:p>
        </w:tc>
        <w:tc>
          <w:tcPr>
            <w:tcW w:type="dxa" w:w="1134"/>
          </w:tcPr>
          <w:p>
            <w:pPr>
              <w:spacing w:line="240" w:lineRule="auto" w:after="0"/>
            </w:pPr>
            <w:r/>
            <w:r>
              <w:rPr>
                <w:rFonts w:ascii="Times New Roman" w:hAnsi="Times New Roman"/>
                <w:b w:val="0"/>
                <w:sz w:val="21"/>
              </w:rPr>
              <w:t>0.871</w:t>
            </w:r>
          </w:p>
        </w:tc>
      </w:tr>
      <w:tr>
        <w:trPr>
          <w:cantSplit/>
        </w:trPr>
        <w:tc>
          <w:tcPr>
            <w:tcW w:type="dxa" w:w="4535"/>
          </w:tcPr>
          <w:p>
            <w:pPr>
              <w:spacing w:line="240" w:lineRule="auto" w:after="0"/>
            </w:pPr>
            <w:r/>
            <w:r>
              <w:rPr>
                <w:rFonts w:ascii="Times New Roman" w:hAnsi="Times New Roman"/>
                <w:b w:val="0"/>
                <w:sz w:val="21"/>
              </w:rPr>
              <w:t>Uses AI chatbots</w:t>
            </w:r>
          </w:p>
        </w:tc>
        <w:tc>
          <w:tcPr>
            <w:tcW w:type="dxa" w:w="1134"/>
          </w:tcPr>
          <w:p>
            <w:pPr>
              <w:spacing w:line="240" w:lineRule="auto" w:after="0"/>
            </w:pPr>
            <w:r/>
            <w:r>
              <w:rPr>
                <w:rFonts w:ascii="Times New Roman" w:hAnsi="Times New Roman"/>
                <w:b w:val="0"/>
                <w:sz w:val="21"/>
              </w:rPr>
              <w:t>0.61</w:t>
            </w:r>
          </w:p>
        </w:tc>
        <w:tc>
          <w:tcPr>
            <w:tcW w:type="dxa" w:w="1984"/>
          </w:tcPr>
          <w:p>
            <w:pPr>
              <w:spacing w:line="240" w:lineRule="auto" w:after="0"/>
            </w:pPr>
            <w:r/>
            <w:r>
              <w:rPr>
                <w:rFonts w:ascii="Times New Roman" w:hAnsi="Times New Roman"/>
                <w:b w:val="0"/>
                <w:sz w:val="21"/>
              </w:rPr>
              <w:t>0.22–1.69</w:t>
            </w:r>
          </w:p>
        </w:tc>
        <w:tc>
          <w:tcPr>
            <w:tcW w:type="dxa" w:w="1134"/>
          </w:tcPr>
          <w:p>
            <w:pPr>
              <w:spacing w:line="240" w:lineRule="auto" w:after="0"/>
            </w:pPr>
            <w:r/>
            <w:r>
              <w:rPr>
                <w:rFonts w:ascii="Times New Roman" w:hAnsi="Times New Roman"/>
                <w:b w:val="0"/>
                <w:sz w:val="21"/>
              </w:rPr>
              <w:t>0.346</w:t>
            </w:r>
          </w:p>
        </w:tc>
      </w:tr>
      <w:tr>
        <w:trPr>
          <w:cantSplit/>
        </w:trPr>
        <w:tc>
          <w:tcPr>
            <w:tcW w:type="dxa" w:w="4535"/>
          </w:tcPr>
          <w:p>
            <w:pPr>
              <w:spacing w:line="240" w:lineRule="auto" w:after="0"/>
            </w:pPr>
            <w:r/>
            <w:r>
              <w:rPr>
                <w:rFonts w:ascii="Times New Roman" w:hAnsi="Times New Roman"/>
                <w:b w:val="0"/>
                <w:sz w:val="21"/>
              </w:rPr>
              <w:t>Uses search engines</w:t>
            </w:r>
          </w:p>
        </w:tc>
        <w:tc>
          <w:tcPr>
            <w:tcW w:type="dxa" w:w="1134"/>
          </w:tcPr>
          <w:p>
            <w:pPr>
              <w:spacing w:line="240" w:lineRule="auto" w:after="0"/>
            </w:pPr>
            <w:r/>
            <w:r>
              <w:rPr>
                <w:rFonts w:ascii="Times New Roman" w:hAnsi="Times New Roman"/>
                <w:b w:val="0"/>
                <w:sz w:val="21"/>
              </w:rPr>
              <w:t>1.43</w:t>
            </w:r>
          </w:p>
        </w:tc>
        <w:tc>
          <w:tcPr>
            <w:tcW w:type="dxa" w:w="1984"/>
          </w:tcPr>
          <w:p>
            <w:pPr>
              <w:spacing w:line="240" w:lineRule="auto" w:after="0"/>
            </w:pPr>
            <w:r/>
            <w:r>
              <w:rPr>
                <w:rFonts w:ascii="Times New Roman" w:hAnsi="Times New Roman"/>
                <w:b w:val="0"/>
                <w:sz w:val="21"/>
              </w:rPr>
              <w:t>0.69–2.96</w:t>
            </w:r>
          </w:p>
        </w:tc>
        <w:tc>
          <w:tcPr>
            <w:tcW w:type="dxa" w:w="1134"/>
          </w:tcPr>
          <w:p>
            <w:pPr>
              <w:spacing w:line="240" w:lineRule="auto" w:after="0"/>
            </w:pPr>
            <w:r/>
            <w:r>
              <w:rPr>
                <w:rFonts w:ascii="Times New Roman" w:hAnsi="Times New Roman"/>
                <w:b w:val="0"/>
                <w:sz w:val="21"/>
              </w:rPr>
              <w:t>0.330</w:t>
            </w:r>
          </w:p>
        </w:tc>
      </w:tr>
      <w:tr>
        <w:trPr>
          <w:cantSplit/>
        </w:trPr>
        <w:tc>
          <w:tcPr>
            <w:tcW w:type="dxa" w:w="4535"/>
          </w:tcPr>
          <w:p>
            <w:pPr>
              <w:spacing w:line="240" w:lineRule="auto" w:after="0"/>
            </w:pPr>
            <w:r/>
            <w:r>
              <w:rPr>
                <w:rFonts w:ascii="Times New Roman" w:hAnsi="Times New Roman"/>
                <w:b w:val="0"/>
                <w:sz w:val="21"/>
              </w:rPr>
              <w:t>Trust in online/AI (per point)</w:t>
            </w:r>
          </w:p>
        </w:tc>
        <w:tc>
          <w:tcPr>
            <w:tcW w:type="dxa" w:w="1134"/>
          </w:tcPr>
          <w:p>
            <w:pPr>
              <w:spacing w:line="240" w:lineRule="auto" w:after="0"/>
            </w:pPr>
            <w:r/>
            <w:r>
              <w:rPr>
                <w:rFonts w:ascii="Times New Roman" w:hAnsi="Times New Roman"/>
                <w:b w:val="0"/>
                <w:sz w:val="21"/>
              </w:rPr>
              <w:t>0.74</w:t>
            </w:r>
          </w:p>
        </w:tc>
        <w:tc>
          <w:tcPr>
            <w:tcW w:type="dxa" w:w="1984"/>
          </w:tcPr>
          <w:p>
            <w:pPr>
              <w:spacing w:line="240" w:lineRule="auto" w:after="0"/>
            </w:pPr>
            <w:r/>
            <w:r>
              <w:rPr>
                <w:rFonts w:ascii="Times New Roman" w:hAnsi="Times New Roman"/>
                <w:b w:val="0"/>
                <w:sz w:val="21"/>
              </w:rPr>
              <w:t>0.46–1.21</w:t>
            </w:r>
          </w:p>
        </w:tc>
        <w:tc>
          <w:tcPr>
            <w:tcW w:type="dxa" w:w="1134"/>
          </w:tcPr>
          <w:p>
            <w:pPr>
              <w:spacing w:line="240" w:lineRule="auto" w:after="0"/>
            </w:pPr>
            <w:r/>
            <w:r>
              <w:rPr>
                <w:rFonts w:ascii="Times New Roman" w:hAnsi="Times New Roman"/>
                <w:b w:val="0"/>
                <w:sz w:val="21"/>
              </w:rPr>
              <w:t>0.232</w:t>
            </w:r>
          </w:p>
        </w:tc>
      </w:tr>
      <w:tr>
        <w:trPr>
          <w:cantSplit/>
        </w:trPr>
        <w:tc>
          <w:tcPr>
            <w:tcW w:type="dxa" w:w="4535"/>
          </w:tcPr>
          <w:p>
            <w:pPr>
              <w:spacing w:line="240" w:lineRule="auto" w:after="0"/>
            </w:pPr>
            <w:r/>
            <w:r>
              <w:rPr>
                <w:rFonts w:ascii="Times New Roman" w:hAnsi="Times New Roman"/>
                <w:b/>
                <w:sz w:val="21"/>
              </w:rPr>
              <w:t>Motive: instant reassurance</w:t>
            </w:r>
          </w:p>
        </w:tc>
        <w:tc>
          <w:tcPr>
            <w:tcW w:type="dxa" w:w="1134"/>
          </w:tcPr>
          <w:p>
            <w:pPr>
              <w:spacing w:line="240" w:lineRule="auto" w:after="0"/>
            </w:pPr>
            <w:r/>
            <w:r>
              <w:rPr>
                <w:rFonts w:ascii="Times New Roman" w:hAnsi="Times New Roman"/>
                <w:b/>
                <w:sz w:val="21"/>
              </w:rPr>
              <w:t>3.83</w:t>
            </w:r>
          </w:p>
        </w:tc>
        <w:tc>
          <w:tcPr>
            <w:tcW w:type="dxa" w:w="1984"/>
          </w:tcPr>
          <w:p>
            <w:pPr>
              <w:spacing w:line="240" w:lineRule="auto" w:after="0"/>
            </w:pPr>
            <w:r/>
            <w:r>
              <w:rPr>
                <w:rFonts w:ascii="Times New Roman" w:hAnsi="Times New Roman"/>
                <w:b/>
                <w:sz w:val="21"/>
              </w:rPr>
              <w:t>1.75–8.42</w:t>
            </w:r>
          </w:p>
        </w:tc>
        <w:tc>
          <w:tcPr>
            <w:tcW w:type="dxa" w:w="1134"/>
          </w:tcPr>
          <w:p>
            <w:pPr>
              <w:spacing w:line="240" w:lineRule="auto" w:after="0"/>
            </w:pPr>
            <w:r/>
            <w:r>
              <w:rPr>
                <w:rFonts w:ascii="Times New Roman" w:hAnsi="Times New Roman"/>
                <w:b/>
                <w:sz w:val="21"/>
              </w:rPr>
              <w:t>&lt;0.001</w:t>
            </w:r>
          </w:p>
        </w:tc>
      </w:tr>
      <w:tr>
        <w:trPr>
          <w:cantSplit/>
        </w:trPr>
        <w:tc>
          <w:tcPr>
            <w:tcW w:type="dxa" w:w="4535"/>
          </w:tcPr>
          <w:p>
            <w:pPr>
              <w:spacing w:line="240" w:lineRule="auto" w:after="0"/>
            </w:pPr>
            <w:r/>
            <w:r>
              <w:rPr>
                <w:rFonts w:ascii="Times New Roman" w:hAnsi="Times New Roman"/>
                <w:b w:val="0"/>
                <w:sz w:val="21"/>
              </w:rPr>
              <w:t>Motive: self-diagnosis</w:t>
            </w:r>
          </w:p>
        </w:tc>
        <w:tc>
          <w:tcPr>
            <w:tcW w:type="dxa" w:w="1134"/>
          </w:tcPr>
          <w:p>
            <w:pPr>
              <w:spacing w:line="240" w:lineRule="auto" w:after="0"/>
            </w:pPr>
            <w:r/>
            <w:r>
              <w:rPr>
                <w:rFonts w:ascii="Times New Roman" w:hAnsi="Times New Roman"/>
                <w:b w:val="0"/>
                <w:sz w:val="21"/>
              </w:rPr>
              <w:t>0.93</w:t>
            </w:r>
          </w:p>
        </w:tc>
        <w:tc>
          <w:tcPr>
            <w:tcW w:type="dxa" w:w="1984"/>
          </w:tcPr>
          <w:p>
            <w:pPr>
              <w:spacing w:line="240" w:lineRule="auto" w:after="0"/>
            </w:pPr>
            <w:r/>
            <w:r>
              <w:rPr>
                <w:rFonts w:ascii="Times New Roman" w:hAnsi="Times New Roman"/>
                <w:b w:val="0"/>
                <w:sz w:val="21"/>
              </w:rPr>
              <w:t>0.42–2.09</w:t>
            </w:r>
          </w:p>
        </w:tc>
        <w:tc>
          <w:tcPr>
            <w:tcW w:type="dxa" w:w="1134"/>
          </w:tcPr>
          <w:p>
            <w:pPr>
              <w:spacing w:line="240" w:lineRule="auto" w:after="0"/>
            </w:pPr>
            <w:r/>
            <w:r>
              <w:rPr>
                <w:rFonts w:ascii="Times New Roman" w:hAnsi="Times New Roman"/>
                <w:b w:val="0"/>
                <w:sz w:val="21"/>
              </w:rPr>
              <w:t>0.867</w:t>
            </w:r>
          </w:p>
        </w:tc>
      </w:tr>
      <w:tr>
        <w:trPr>
          <w:cantSplit/>
        </w:trPr>
        <w:tc>
          <w:tcPr>
            <w:tcW w:type="dxa" w:w="4535"/>
            <w:tcBorders>
              <w:bottom w:val="single" w:sz="8" w:color="000000"/>
            </w:tcBorders>
          </w:tcPr>
          <w:p>
            <w:pPr>
              <w:spacing w:line="240" w:lineRule="auto" w:after="0"/>
            </w:pPr>
            <w:r/>
            <w:r>
              <w:rPr>
                <w:rFonts w:ascii="Times New Roman" w:hAnsi="Times New Roman"/>
                <w:b/>
                <w:sz w:val="21"/>
              </w:rPr>
              <w:t>Cyberchondria (per 1 SD)</w:t>
            </w:r>
          </w:p>
        </w:tc>
        <w:tc>
          <w:tcPr>
            <w:tcW w:type="dxa" w:w="1134"/>
            <w:tcBorders>
              <w:bottom w:val="single" w:sz="8" w:color="000000"/>
            </w:tcBorders>
          </w:tcPr>
          <w:p>
            <w:pPr>
              <w:spacing w:line="240" w:lineRule="auto" w:after="0"/>
            </w:pPr>
            <w:r/>
            <w:r>
              <w:rPr>
                <w:rFonts w:ascii="Times New Roman" w:hAnsi="Times New Roman"/>
                <w:b/>
                <w:sz w:val="21"/>
              </w:rPr>
              <w:t>3.12</w:t>
            </w:r>
          </w:p>
        </w:tc>
        <w:tc>
          <w:tcPr>
            <w:tcW w:type="dxa" w:w="1984"/>
            <w:tcBorders>
              <w:bottom w:val="single" w:sz="8" w:color="000000"/>
            </w:tcBorders>
          </w:tcPr>
          <w:p>
            <w:pPr>
              <w:spacing w:line="240" w:lineRule="auto" w:after="0"/>
            </w:pPr>
            <w:r/>
            <w:r>
              <w:rPr>
                <w:rFonts w:ascii="Times New Roman" w:hAnsi="Times New Roman"/>
                <w:b/>
                <w:sz w:val="21"/>
              </w:rPr>
              <w:t>2.09–4.65</w:t>
            </w:r>
          </w:p>
        </w:tc>
        <w:tc>
          <w:tcPr>
            <w:tcW w:type="dxa" w:w="1134"/>
            <w:tcBorders>
              <w:bottom w:val="single" w:sz="8" w:color="000000"/>
            </w:tcBorders>
          </w:tcPr>
          <w:p>
            <w:pPr>
              <w:spacing w:line="240" w:lineRule="auto" w:after="0"/>
            </w:pPr>
            <w:r/>
            <w:r>
              <w:rPr>
                <w:rFonts w:ascii="Times New Roman" w:hAnsi="Times New Roman"/>
                <w:b/>
                <w:sz w:val="21"/>
              </w:rPr>
              <w:t>&lt;0.001</w:t>
            </w:r>
          </w:p>
        </w:tc>
      </w:tr>
    </w:tbl>
    <w:p>
      <w:pPr>
        <w:spacing w:line="240" w:lineRule="auto" w:after="200"/>
      </w:pPr>
      <w:r>
        <w:rPr>
          <w:rFonts w:ascii="Times New Roman" w:hAnsi="Times New Roman"/>
          <w:sz w:val="19"/>
        </w:rPr>
        <w:t>AUC = 0.83; McFadden pseudo-R² = 0.22; likelihood-ratio p &lt; 0.001; robust (HC1) standard errors.</w:t>
      </w:r>
    </w:p>
    <w:p>
      <w:pPr>
        <w:keepNext/>
        <w:jc w:val="center"/>
      </w:pPr>
      <w:r>
        <w:drawing>
          <wp:inline xmlns:a="http://schemas.openxmlformats.org/drawingml/2006/main" xmlns:pic="http://schemas.openxmlformats.org/drawingml/2006/picture">
            <wp:extent cx="5040000" cy="2850380"/>
            <wp:docPr id="6" name="Picture 6"/>
            <wp:cNvGraphicFramePr>
              <a:graphicFrameLocks noChangeAspect="1"/>
            </wp:cNvGraphicFramePr>
            <a:graphic>
              <a:graphicData uri="http://schemas.openxmlformats.org/drawingml/2006/picture">
                <pic:pic>
                  <pic:nvPicPr>
                    <pic:cNvPr id="0" name="fig7_forest_HA.png"/>
                    <pic:cNvPicPr/>
                  </pic:nvPicPr>
                  <pic:blipFill>
                    <a:blip r:embed="rId14"/>
                    <a:stretch>
                      <a:fillRect/>
                    </a:stretch>
                  </pic:blipFill>
                  <pic:spPr>
                    <a:xfrm>
                      <a:off x="0" y="0"/>
                      <a:ext cx="5040000" cy="2850380"/>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6</w:t>
      </w:r>
      <w:r>
        <w:rPr>
          <w:b/>
          <w:sz w:val="24"/>
        </w:rPr>
        <w:fldChar w:fldCharType="end"/>
      </w:r>
      <w:r>
        <w:rPr>
          <w:b/>
          <w:sz w:val="24"/>
        </w:rPr>
        <w:t xml:space="preserve">. </w:t>
      </w:r>
      <w:r>
        <w:rPr>
          <w:i/>
          <w:sz w:val="24"/>
        </w:rPr>
        <w:t>Adjusted odds ratios for elevated health anxiety (SHAI ≥ 18). Orange: p &lt; 0.05.</w:t>
      </w:r>
    </w:p>
    <w:p>
      <w:pPr>
        <w:pStyle w:val="Heading2"/>
      </w:pPr>
      <w:r>
        <w:t>3.8 Health anxiety, cyberchondria and pre-consultation behaviour</w:t>
      </w:r>
    </w:p>
    <w:p>
      <w:pPr>
        <w:spacing w:after="120"/>
        <w:ind w:firstLine="567"/>
        <w:jc w:val="both"/>
      </w:pPr>
      <w:r>
        <w:rPr>
          <w:rFonts w:ascii="Times New Roman" w:hAnsi="Times New Roman"/>
        </w:rPr>
        <w:t>When health anxiety and cyberchondria were entered together, each with adjustment for trust, AI use and socio-demographics (Table 9), cyberchondria, rather than health anxiety, was associated with behaviours: each SD increase in CSS raised the odds of an urgent visit or ER attendance (AOR = 1.51, 95% CI 1.09–2.10) and of delaying care because of fear (AOR = 1.59, 95% CI 1.09–2.30), and lowered the odds of ignoring the symptom (AOR = 0.65, 95% CI 0.48–0.89). Higher cyberchondria was also associated with a more strained relationship with physicians in the ordinal model (OR = 1.34, 95% CI 1.02–1.77); in the binary model of any negative effect (Table 9) the estimate was similar but borderline (AOR = 1.35, 95% CI 1.00–1.83, p = 0.049). Strikingly, health anxiety and cyberchondria pulled in opposite directions for disclosure: higher health anxiety increased the odds of never telling the physician about online searches (AOR = 1.47, 95% CI 1.08–1.98), whereas higher cyberchondria decreased them (AOR = 0.57, 95% CI 0.43–0.78, q = 0.012). Greater trust in online/AI information was associated with lower odds of consulting multiple doctors (AOR = 0.59, 95% CI 0.41–0.84) and showed a non-significant trend towards delaying care because of reassurance (AOR = 1.33, p = 0.088). Neither score was associated with self-medication or with delaying care because of reassurance. Apart from the disclosure finding, these behavioural associations did not survive FDR correction across the 40 tests (q between 0.08 and 0.28) and should be regarded as exploratory.</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9</w:t>
      </w:r>
      <w:r>
        <w:rPr>
          <w:b/>
          <w:sz w:val="24"/>
        </w:rPr>
        <w:fldChar w:fldCharType="end"/>
      </w:r>
      <w:r>
        <w:rPr>
          <w:b/>
          <w:sz w:val="24"/>
        </w:rPr>
        <w:t xml:space="preserve">. </w:t>
      </w:r>
      <w:r>
        <w:rPr>
          <w:i w:val="0"/>
          <w:sz w:val="24"/>
        </w:rPr>
        <w:t>Adjusted associations of health anxiety and cyberchondria with pre-consultation behaviours and the doctor–patient relationship</w:t>
      </w:r>
    </w:p>
    <w:tbl>
      <w:tblPr>
        <w:tblStyle w:val="TableGrid"/>
        <w:tblW w:type="auto" w:w="0"/>
        <w:jc w:val="center"/>
        <w:tblLayout w:type="fixed"/>
        <w:tblLook w:firstColumn="1" w:firstRow="1" w:lastColumn="0" w:lastRow="0" w:noHBand="0" w:noVBand="1" w:val="04A0"/>
        <w:tblLayout w:type="fixed"/>
      </w:tblPr>
      <w:tblGrid>
        <w:gridCol w:w="2835"/>
        <w:gridCol w:w="794"/>
        <w:gridCol w:w="1928"/>
        <w:gridCol w:w="794"/>
        <w:gridCol w:w="1928"/>
        <w:gridCol w:w="794"/>
      </w:tblGrid>
      <w:tr>
        <w:trPr>
          <w:cantSplit/>
        </w:trPr>
        <w:tc>
          <w:tcPr>
            <w:tcW w:type="dxa" w:w="2835"/>
            <w:tcBorders>
              <w:top w:val="single" w:sz="8" w:color="000000"/>
              <w:bottom w:val="single" w:sz="8" w:color="000000"/>
            </w:tcBorders>
          </w:tcPr>
          <w:p>
            <w:pPr>
              <w:spacing w:line="240" w:lineRule="auto" w:after="0"/>
            </w:pPr>
            <w:r/>
            <w:r>
              <w:rPr>
                <w:rFonts w:ascii="Times New Roman" w:hAnsi="Times New Roman"/>
                <w:b/>
                <w:sz w:val="20"/>
              </w:rPr>
              <w:t>Outcome</w:t>
            </w:r>
          </w:p>
        </w:tc>
        <w:tc>
          <w:tcPr>
            <w:tcW w:type="dxa" w:w="794"/>
            <w:tcBorders>
              <w:top w:val="single" w:sz="8" w:color="000000"/>
              <w:bottom w:val="single" w:sz="8" w:color="000000"/>
            </w:tcBorders>
          </w:tcPr>
          <w:p>
            <w:pPr>
              <w:spacing w:line="240" w:lineRule="auto" w:after="0"/>
            </w:pPr>
            <w:r/>
            <w:r>
              <w:rPr>
                <w:rFonts w:ascii="Times New Roman" w:hAnsi="Times New Roman"/>
                <w:b/>
                <w:sz w:val="20"/>
              </w:rPr>
              <w:t>Events</w:t>
            </w:r>
          </w:p>
        </w:tc>
        <w:tc>
          <w:tcPr>
            <w:tcW w:type="dxa" w:w="1928"/>
            <w:tcBorders>
              <w:top w:val="single" w:sz="8" w:color="000000"/>
              <w:bottom w:val="single" w:sz="8" w:color="000000"/>
            </w:tcBorders>
          </w:tcPr>
          <w:p>
            <w:pPr>
              <w:spacing w:line="240" w:lineRule="auto" w:after="0"/>
            </w:pPr>
            <w:r/>
            <w:r>
              <w:rPr>
                <w:rFonts w:ascii="Times New Roman" w:hAnsi="Times New Roman"/>
                <w:b/>
                <w:sz w:val="20"/>
              </w:rPr>
              <w:t>SHAI AOR (95% CI)</w:t>
            </w:r>
          </w:p>
        </w:tc>
        <w:tc>
          <w:tcPr>
            <w:tcW w:type="dxa" w:w="794"/>
            <w:tcBorders>
              <w:top w:val="single" w:sz="8" w:color="000000"/>
              <w:bottom w:val="single" w:sz="8" w:color="000000"/>
            </w:tcBorders>
          </w:tcPr>
          <w:p>
            <w:pPr>
              <w:spacing w:line="240" w:lineRule="auto" w:after="0"/>
            </w:pPr>
            <w:r/>
            <w:r>
              <w:rPr>
                <w:rFonts w:ascii="Times New Roman" w:hAnsi="Times New Roman"/>
                <w:b/>
                <w:sz w:val="20"/>
              </w:rPr>
              <w:t>p</w:t>
            </w:r>
          </w:p>
        </w:tc>
        <w:tc>
          <w:tcPr>
            <w:tcW w:type="dxa" w:w="1928"/>
            <w:tcBorders>
              <w:top w:val="single" w:sz="8" w:color="000000"/>
              <w:bottom w:val="single" w:sz="8" w:color="000000"/>
            </w:tcBorders>
          </w:tcPr>
          <w:p>
            <w:pPr>
              <w:spacing w:line="240" w:lineRule="auto" w:after="0"/>
            </w:pPr>
            <w:r/>
            <w:r>
              <w:rPr>
                <w:rFonts w:ascii="Times New Roman" w:hAnsi="Times New Roman"/>
                <w:b/>
                <w:sz w:val="20"/>
              </w:rPr>
              <w:t>CSS AOR (95% CI)</w:t>
            </w:r>
          </w:p>
        </w:tc>
        <w:tc>
          <w:tcPr>
            <w:tcW w:type="dxa" w:w="794"/>
            <w:tcBorders>
              <w:top w:val="single" w:sz="8" w:color="000000"/>
              <w:bottom w:val="single" w:sz="8" w:color="000000"/>
            </w:tcBorders>
          </w:tcPr>
          <w:p>
            <w:pPr>
              <w:spacing w:line="240" w:lineRule="auto" w:after="0"/>
            </w:pPr>
            <w:r/>
            <w:r>
              <w:rPr>
                <w:rFonts w:ascii="Times New Roman" w:hAnsi="Times New Roman"/>
                <w:b/>
                <w:sz w:val="20"/>
              </w:rPr>
              <w:t>p</w:t>
            </w:r>
          </w:p>
        </w:tc>
      </w:tr>
      <w:tr>
        <w:trPr>
          <w:cantSplit/>
        </w:trPr>
        <w:tc>
          <w:tcPr>
            <w:tcW w:type="dxa" w:w="2835"/>
          </w:tcPr>
          <w:p>
            <w:pPr>
              <w:spacing w:line="240" w:lineRule="auto" w:after="0"/>
            </w:pPr>
            <w:r/>
            <w:r>
              <w:rPr>
                <w:rFonts w:ascii="Times New Roman" w:hAnsi="Times New Roman"/>
                <w:b w:val="0"/>
                <w:sz w:val="20"/>
              </w:rPr>
              <w:t>Urgent visit/ER</w:t>
            </w:r>
          </w:p>
        </w:tc>
        <w:tc>
          <w:tcPr>
            <w:tcW w:type="dxa" w:w="794"/>
          </w:tcPr>
          <w:p>
            <w:pPr>
              <w:spacing w:line="240" w:lineRule="auto" w:after="0"/>
            </w:pPr>
            <w:r/>
            <w:r>
              <w:rPr>
                <w:rFonts w:ascii="Times New Roman" w:hAnsi="Times New Roman"/>
                <w:b w:val="0"/>
                <w:sz w:val="20"/>
              </w:rPr>
              <w:t>66</w:t>
            </w:r>
          </w:p>
        </w:tc>
        <w:tc>
          <w:tcPr>
            <w:tcW w:type="dxa" w:w="1928"/>
          </w:tcPr>
          <w:p>
            <w:pPr>
              <w:spacing w:line="240" w:lineRule="auto" w:after="0"/>
            </w:pPr>
            <w:r/>
            <w:r>
              <w:rPr>
                <w:rFonts w:ascii="Times New Roman" w:hAnsi="Times New Roman"/>
                <w:b w:val="0"/>
                <w:sz w:val="20"/>
              </w:rPr>
              <w:t>0.91 (0.66–1.25)</w:t>
            </w:r>
          </w:p>
        </w:tc>
        <w:tc>
          <w:tcPr>
            <w:tcW w:type="dxa" w:w="794"/>
          </w:tcPr>
          <w:p>
            <w:pPr>
              <w:spacing w:line="240" w:lineRule="auto" w:after="0"/>
            </w:pPr>
            <w:r/>
            <w:r>
              <w:rPr>
                <w:rFonts w:ascii="Times New Roman" w:hAnsi="Times New Roman"/>
                <w:b w:val="0"/>
                <w:sz w:val="20"/>
              </w:rPr>
              <w:t>0.551</w:t>
            </w:r>
          </w:p>
        </w:tc>
        <w:tc>
          <w:tcPr>
            <w:tcW w:type="dxa" w:w="1928"/>
          </w:tcPr>
          <w:p>
            <w:pPr>
              <w:spacing w:line="240" w:lineRule="auto" w:after="0"/>
            </w:pPr>
            <w:r/>
            <w:r>
              <w:rPr>
                <w:rFonts w:ascii="Times New Roman" w:hAnsi="Times New Roman"/>
                <w:b w:val="0"/>
                <w:sz w:val="20"/>
              </w:rPr>
              <w:t>1.51 (1.09–2.10)</w:t>
            </w:r>
          </w:p>
        </w:tc>
        <w:tc>
          <w:tcPr>
            <w:tcW w:type="dxa" w:w="794"/>
          </w:tcPr>
          <w:p>
            <w:pPr>
              <w:spacing w:line="240" w:lineRule="auto" w:after="0"/>
            </w:pPr>
            <w:r/>
            <w:r>
              <w:rPr>
                <w:rFonts w:ascii="Times New Roman" w:hAnsi="Times New Roman"/>
                <w:b w:val="0"/>
                <w:sz w:val="20"/>
              </w:rPr>
              <w:t>0.014</w:t>
            </w:r>
          </w:p>
        </w:tc>
      </w:tr>
      <w:tr>
        <w:trPr>
          <w:cantSplit/>
        </w:trPr>
        <w:tc>
          <w:tcPr>
            <w:tcW w:type="dxa" w:w="2835"/>
          </w:tcPr>
          <w:p>
            <w:pPr>
              <w:spacing w:line="240" w:lineRule="auto" w:after="0"/>
            </w:pPr>
            <w:r/>
            <w:r>
              <w:rPr>
                <w:rFonts w:ascii="Times New Roman" w:hAnsi="Times New Roman"/>
                <w:b w:val="0"/>
                <w:sz w:val="20"/>
              </w:rPr>
              <w:t>Multiple doctors</w:t>
            </w:r>
          </w:p>
        </w:tc>
        <w:tc>
          <w:tcPr>
            <w:tcW w:type="dxa" w:w="794"/>
          </w:tcPr>
          <w:p>
            <w:pPr>
              <w:spacing w:line="240" w:lineRule="auto" w:after="0"/>
            </w:pPr>
            <w:r/>
            <w:r>
              <w:rPr>
                <w:rFonts w:ascii="Times New Roman" w:hAnsi="Times New Roman"/>
                <w:b w:val="0"/>
                <w:sz w:val="20"/>
              </w:rPr>
              <w:t>76</w:t>
            </w:r>
          </w:p>
        </w:tc>
        <w:tc>
          <w:tcPr>
            <w:tcW w:type="dxa" w:w="1928"/>
          </w:tcPr>
          <w:p>
            <w:pPr>
              <w:spacing w:line="240" w:lineRule="auto" w:after="0"/>
            </w:pPr>
            <w:r/>
            <w:r>
              <w:rPr>
                <w:rFonts w:ascii="Times New Roman" w:hAnsi="Times New Roman"/>
                <w:b w:val="0"/>
                <w:sz w:val="20"/>
              </w:rPr>
              <w:t>1.06 (0.79–1.43)</w:t>
            </w:r>
          </w:p>
        </w:tc>
        <w:tc>
          <w:tcPr>
            <w:tcW w:type="dxa" w:w="794"/>
          </w:tcPr>
          <w:p>
            <w:pPr>
              <w:spacing w:line="240" w:lineRule="auto" w:after="0"/>
            </w:pPr>
            <w:r/>
            <w:r>
              <w:rPr>
                <w:rFonts w:ascii="Times New Roman" w:hAnsi="Times New Roman"/>
                <w:b w:val="0"/>
                <w:sz w:val="20"/>
              </w:rPr>
              <w:t>0.688</w:t>
            </w:r>
          </w:p>
        </w:tc>
        <w:tc>
          <w:tcPr>
            <w:tcW w:type="dxa" w:w="1928"/>
          </w:tcPr>
          <w:p>
            <w:pPr>
              <w:spacing w:line="240" w:lineRule="auto" w:after="0"/>
            </w:pPr>
            <w:r/>
            <w:r>
              <w:rPr>
                <w:rFonts w:ascii="Times New Roman" w:hAnsi="Times New Roman"/>
                <w:b w:val="0"/>
                <w:sz w:val="20"/>
              </w:rPr>
              <w:t>1.20 (0.90–1.60)</w:t>
            </w:r>
          </w:p>
        </w:tc>
        <w:tc>
          <w:tcPr>
            <w:tcW w:type="dxa" w:w="794"/>
          </w:tcPr>
          <w:p>
            <w:pPr>
              <w:spacing w:line="240" w:lineRule="auto" w:after="0"/>
            </w:pPr>
            <w:r/>
            <w:r>
              <w:rPr>
                <w:rFonts w:ascii="Times New Roman" w:hAnsi="Times New Roman"/>
                <w:b w:val="0"/>
                <w:sz w:val="20"/>
              </w:rPr>
              <w:t>0.208</w:t>
            </w:r>
          </w:p>
        </w:tc>
      </w:tr>
      <w:tr>
        <w:trPr>
          <w:cantSplit/>
        </w:trPr>
        <w:tc>
          <w:tcPr>
            <w:tcW w:type="dxa" w:w="2835"/>
          </w:tcPr>
          <w:p>
            <w:pPr>
              <w:spacing w:line="240" w:lineRule="auto" w:after="0"/>
            </w:pPr>
            <w:r/>
            <w:r>
              <w:rPr>
                <w:rFonts w:ascii="Times New Roman" w:hAnsi="Times New Roman"/>
                <w:b w:val="0"/>
                <w:sz w:val="20"/>
              </w:rPr>
              <w:t>Delay/skip care (reassured)</w:t>
            </w:r>
          </w:p>
        </w:tc>
        <w:tc>
          <w:tcPr>
            <w:tcW w:type="dxa" w:w="794"/>
          </w:tcPr>
          <w:p>
            <w:pPr>
              <w:spacing w:line="240" w:lineRule="auto" w:after="0"/>
            </w:pPr>
            <w:r/>
            <w:r>
              <w:rPr>
                <w:rFonts w:ascii="Times New Roman" w:hAnsi="Times New Roman"/>
                <w:b w:val="0"/>
                <w:sz w:val="20"/>
              </w:rPr>
              <w:t>104</w:t>
            </w:r>
          </w:p>
        </w:tc>
        <w:tc>
          <w:tcPr>
            <w:tcW w:type="dxa" w:w="1928"/>
          </w:tcPr>
          <w:p>
            <w:pPr>
              <w:spacing w:line="240" w:lineRule="auto" w:after="0"/>
            </w:pPr>
            <w:r/>
            <w:r>
              <w:rPr>
                <w:rFonts w:ascii="Times New Roman" w:hAnsi="Times New Roman"/>
                <w:b w:val="0"/>
                <w:sz w:val="20"/>
              </w:rPr>
              <w:t>0.89 (0.66–1.19)</w:t>
            </w:r>
          </w:p>
        </w:tc>
        <w:tc>
          <w:tcPr>
            <w:tcW w:type="dxa" w:w="794"/>
          </w:tcPr>
          <w:p>
            <w:pPr>
              <w:spacing w:line="240" w:lineRule="auto" w:after="0"/>
            </w:pPr>
            <w:r/>
            <w:r>
              <w:rPr>
                <w:rFonts w:ascii="Times New Roman" w:hAnsi="Times New Roman"/>
                <w:b w:val="0"/>
                <w:sz w:val="20"/>
              </w:rPr>
              <w:t>0.417</w:t>
            </w:r>
          </w:p>
        </w:tc>
        <w:tc>
          <w:tcPr>
            <w:tcW w:type="dxa" w:w="1928"/>
          </w:tcPr>
          <w:p>
            <w:pPr>
              <w:spacing w:line="240" w:lineRule="auto" w:after="0"/>
            </w:pPr>
            <w:r/>
            <w:r>
              <w:rPr>
                <w:rFonts w:ascii="Times New Roman" w:hAnsi="Times New Roman"/>
                <w:b w:val="0"/>
                <w:sz w:val="20"/>
              </w:rPr>
              <w:t>0.83 (0.63–1.10)</w:t>
            </w:r>
          </w:p>
        </w:tc>
        <w:tc>
          <w:tcPr>
            <w:tcW w:type="dxa" w:w="794"/>
          </w:tcPr>
          <w:p>
            <w:pPr>
              <w:spacing w:line="240" w:lineRule="auto" w:after="0"/>
            </w:pPr>
            <w:r/>
            <w:r>
              <w:rPr>
                <w:rFonts w:ascii="Times New Roman" w:hAnsi="Times New Roman"/>
                <w:b w:val="0"/>
                <w:sz w:val="20"/>
              </w:rPr>
              <w:t>0.190</w:t>
            </w:r>
          </w:p>
        </w:tc>
      </w:tr>
      <w:tr>
        <w:trPr>
          <w:cantSplit/>
        </w:trPr>
        <w:tc>
          <w:tcPr>
            <w:tcW w:type="dxa" w:w="2835"/>
          </w:tcPr>
          <w:p>
            <w:pPr>
              <w:spacing w:line="240" w:lineRule="auto" w:after="0"/>
            </w:pPr>
            <w:r/>
            <w:r>
              <w:rPr>
                <w:rFonts w:ascii="Times New Roman" w:hAnsi="Times New Roman"/>
                <w:b w:val="0"/>
                <w:sz w:val="20"/>
              </w:rPr>
              <w:t>Delay care (terrified)</w:t>
            </w:r>
          </w:p>
        </w:tc>
        <w:tc>
          <w:tcPr>
            <w:tcW w:type="dxa" w:w="794"/>
          </w:tcPr>
          <w:p>
            <w:pPr>
              <w:spacing w:line="240" w:lineRule="auto" w:after="0"/>
            </w:pPr>
            <w:r/>
            <w:r>
              <w:rPr>
                <w:rFonts w:ascii="Times New Roman" w:hAnsi="Times New Roman"/>
                <w:b w:val="0"/>
                <w:sz w:val="20"/>
              </w:rPr>
              <w:t>26</w:t>
            </w:r>
          </w:p>
        </w:tc>
        <w:tc>
          <w:tcPr>
            <w:tcW w:type="dxa" w:w="1928"/>
          </w:tcPr>
          <w:p>
            <w:pPr>
              <w:spacing w:line="240" w:lineRule="auto" w:after="0"/>
            </w:pPr>
            <w:r/>
            <w:r>
              <w:rPr>
                <w:rFonts w:ascii="Times New Roman" w:hAnsi="Times New Roman"/>
                <w:b w:val="0"/>
                <w:sz w:val="20"/>
              </w:rPr>
              <w:t>1.49 (0.94–2.36)</w:t>
            </w:r>
          </w:p>
        </w:tc>
        <w:tc>
          <w:tcPr>
            <w:tcW w:type="dxa" w:w="794"/>
          </w:tcPr>
          <w:p>
            <w:pPr>
              <w:spacing w:line="240" w:lineRule="auto" w:after="0"/>
            </w:pPr>
            <w:r/>
            <w:r>
              <w:rPr>
                <w:rFonts w:ascii="Times New Roman" w:hAnsi="Times New Roman"/>
                <w:b w:val="0"/>
                <w:sz w:val="20"/>
              </w:rPr>
              <w:t>0.087</w:t>
            </w:r>
          </w:p>
        </w:tc>
        <w:tc>
          <w:tcPr>
            <w:tcW w:type="dxa" w:w="1928"/>
          </w:tcPr>
          <w:p>
            <w:pPr>
              <w:spacing w:line="240" w:lineRule="auto" w:after="0"/>
            </w:pPr>
            <w:r/>
            <w:r>
              <w:rPr>
                <w:rFonts w:ascii="Times New Roman" w:hAnsi="Times New Roman"/>
                <w:b w:val="0"/>
                <w:sz w:val="20"/>
              </w:rPr>
              <w:t>1.59 (1.09–2.30)</w:t>
            </w:r>
          </w:p>
        </w:tc>
        <w:tc>
          <w:tcPr>
            <w:tcW w:type="dxa" w:w="794"/>
          </w:tcPr>
          <w:p>
            <w:pPr>
              <w:spacing w:line="240" w:lineRule="auto" w:after="0"/>
            </w:pPr>
            <w:r/>
            <w:r>
              <w:rPr>
                <w:rFonts w:ascii="Times New Roman" w:hAnsi="Times New Roman"/>
                <w:b w:val="0"/>
                <w:sz w:val="20"/>
              </w:rPr>
              <w:t>0.015</w:t>
            </w:r>
          </w:p>
        </w:tc>
      </w:tr>
      <w:tr>
        <w:trPr>
          <w:cantSplit/>
        </w:trPr>
        <w:tc>
          <w:tcPr>
            <w:tcW w:type="dxa" w:w="2835"/>
          </w:tcPr>
          <w:p>
            <w:pPr>
              <w:spacing w:line="240" w:lineRule="auto" w:after="0"/>
            </w:pPr>
            <w:r/>
            <w:r>
              <w:rPr>
                <w:rFonts w:ascii="Times New Roman" w:hAnsi="Times New Roman"/>
                <w:b w:val="0"/>
                <w:sz w:val="20"/>
              </w:rPr>
              <w:t>Self-medication</w:t>
            </w:r>
          </w:p>
        </w:tc>
        <w:tc>
          <w:tcPr>
            <w:tcW w:type="dxa" w:w="794"/>
          </w:tcPr>
          <w:p>
            <w:pPr>
              <w:spacing w:line="240" w:lineRule="auto" w:after="0"/>
            </w:pPr>
            <w:r/>
            <w:r>
              <w:rPr>
                <w:rFonts w:ascii="Times New Roman" w:hAnsi="Times New Roman"/>
                <w:b w:val="0"/>
                <w:sz w:val="20"/>
              </w:rPr>
              <w:t>64</w:t>
            </w:r>
          </w:p>
        </w:tc>
        <w:tc>
          <w:tcPr>
            <w:tcW w:type="dxa" w:w="1928"/>
          </w:tcPr>
          <w:p>
            <w:pPr>
              <w:spacing w:line="240" w:lineRule="auto" w:after="0"/>
            </w:pPr>
            <w:r/>
            <w:r>
              <w:rPr>
                <w:rFonts w:ascii="Times New Roman" w:hAnsi="Times New Roman"/>
                <w:b w:val="0"/>
                <w:sz w:val="20"/>
              </w:rPr>
              <w:t>0.81 (0.56–1.16)</w:t>
            </w:r>
          </w:p>
        </w:tc>
        <w:tc>
          <w:tcPr>
            <w:tcW w:type="dxa" w:w="794"/>
          </w:tcPr>
          <w:p>
            <w:pPr>
              <w:spacing w:line="240" w:lineRule="auto" w:after="0"/>
            </w:pPr>
            <w:r/>
            <w:r>
              <w:rPr>
                <w:rFonts w:ascii="Times New Roman" w:hAnsi="Times New Roman"/>
                <w:b w:val="0"/>
                <w:sz w:val="20"/>
              </w:rPr>
              <w:t>0.245</w:t>
            </w:r>
          </w:p>
        </w:tc>
        <w:tc>
          <w:tcPr>
            <w:tcW w:type="dxa" w:w="1928"/>
          </w:tcPr>
          <w:p>
            <w:pPr>
              <w:spacing w:line="240" w:lineRule="auto" w:after="0"/>
            </w:pPr>
            <w:r/>
            <w:r>
              <w:rPr>
                <w:rFonts w:ascii="Times New Roman" w:hAnsi="Times New Roman"/>
                <w:b w:val="0"/>
                <w:sz w:val="20"/>
              </w:rPr>
              <w:t>1.00 (0.71–1.41)</w:t>
            </w:r>
          </w:p>
        </w:tc>
        <w:tc>
          <w:tcPr>
            <w:tcW w:type="dxa" w:w="794"/>
          </w:tcPr>
          <w:p>
            <w:pPr>
              <w:spacing w:line="240" w:lineRule="auto" w:after="0"/>
            </w:pPr>
            <w:r/>
            <w:r>
              <w:rPr>
                <w:rFonts w:ascii="Times New Roman" w:hAnsi="Times New Roman"/>
                <w:b w:val="0"/>
                <w:sz w:val="20"/>
              </w:rPr>
              <w:t>0.994</w:t>
            </w:r>
          </w:p>
        </w:tc>
      </w:tr>
      <w:tr>
        <w:trPr>
          <w:cantSplit/>
        </w:trPr>
        <w:tc>
          <w:tcPr>
            <w:tcW w:type="dxa" w:w="2835"/>
          </w:tcPr>
          <w:p>
            <w:pPr>
              <w:spacing w:line="240" w:lineRule="auto" w:after="0"/>
            </w:pPr>
            <w:r/>
            <w:r>
              <w:rPr>
                <w:rFonts w:ascii="Times New Roman" w:hAnsi="Times New Roman"/>
                <w:b w:val="0"/>
                <w:sz w:val="20"/>
              </w:rPr>
              <w:t>Ignore symptom</w:t>
            </w:r>
          </w:p>
        </w:tc>
        <w:tc>
          <w:tcPr>
            <w:tcW w:type="dxa" w:w="794"/>
          </w:tcPr>
          <w:p>
            <w:pPr>
              <w:spacing w:line="240" w:lineRule="auto" w:after="0"/>
            </w:pPr>
            <w:r/>
            <w:r>
              <w:rPr>
                <w:rFonts w:ascii="Times New Roman" w:hAnsi="Times New Roman"/>
                <w:b w:val="0"/>
                <w:sz w:val="20"/>
              </w:rPr>
              <w:t>90</w:t>
            </w:r>
          </w:p>
        </w:tc>
        <w:tc>
          <w:tcPr>
            <w:tcW w:type="dxa" w:w="1928"/>
          </w:tcPr>
          <w:p>
            <w:pPr>
              <w:spacing w:line="240" w:lineRule="auto" w:after="0"/>
            </w:pPr>
            <w:r/>
            <w:r>
              <w:rPr>
                <w:rFonts w:ascii="Times New Roman" w:hAnsi="Times New Roman"/>
                <w:b w:val="0"/>
                <w:sz w:val="20"/>
              </w:rPr>
              <w:t>1.16 (0.85–1.58)</w:t>
            </w:r>
          </w:p>
        </w:tc>
        <w:tc>
          <w:tcPr>
            <w:tcW w:type="dxa" w:w="794"/>
          </w:tcPr>
          <w:p>
            <w:pPr>
              <w:spacing w:line="240" w:lineRule="auto" w:after="0"/>
            </w:pPr>
            <w:r/>
            <w:r>
              <w:rPr>
                <w:rFonts w:ascii="Times New Roman" w:hAnsi="Times New Roman"/>
                <w:b w:val="0"/>
                <w:sz w:val="20"/>
              </w:rPr>
              <w:t>0.359</w:t>
            </w:r>
          </w:p>
        </w:tc>
        <w:tc>
          <w:tcPr>
            <w:tcW w:type="dxa" w:w="1928"/>
          </w:tcPr>
          <w:p>
            <w:pPr>
              <w:spacing w:line="240" w:lineRule="auto" w:after="0"/>
            </w:pPr>
            <w:r/>
            <w:r>
              <w:rPr>
                <w:rFonts w:ascii="Times New Roman" w:hAnsi="Times New Roman"/>
                <w:b w:val="0"/>
                <w:sz w:val="20"/>
              </w:rPr>
              <w:t>0.65 (0.48–0.89)</w:t>
            </w:r>
          </w:p>
        </w:tc>
        <w:tc>
          <w:tcPr>
            <w:tcW w:type="dxa" w:w="794"/>
          </w:tcPr>
          <w:p>
            <w:pPr>
              <w:spacing w:line="240" w:lineRule="auto" w:after="0"/>
            </w:pPr>
            <w:r/>
            <w:r>
              <w:rPr>
                <w:rFonts w:ascii="Times New Roman" w:hAnsi="Times New Roman"/>
                <w:b w:val="0"/>
                <w:sz w:val="20"/>
              </w:rPr>
              <w:t>0.007</w:t>
            </w:r>
          </w:p>
        </w:tc>
      </w:tr>
      <w:tr>
        <w:trPr>
          <w:cantSplit/>
        </w:trPr>
        <w:tc>
          <w:tcPr>
            <w:tcW w:type="dxa" w:w="2835"/>
          </w:tcPr>
          <w:p>
            <w:pPr>
              <w:spacing w:line="240" w:lineRule="auto" w:after="0"/>
            </w:pPr>
            <w:r/>
            <w:r>
              <w:rPr>
                <w:rFonts w:ascii="Times New Roman" w:hAnsi="Times New Roman"/>
                <w:b w:val="0"/>
                <w:sz w:val="20"/>
              </w:rPr>
              <w:t>Never disclose to physician</w:t>
            </w:r>
          </w:p>
        </w:tc>
        <w:tc>
          <w:tcPr>
            <w:tcW w:type="dxa" w:w="794"/>
          </w:tcPr>
          <w:p>
            <w:pPr>
              <w:spacing w:line="240" w:lineRule="auto" w:after="0"/>
            </w:pPr>
            <w:r/>
            <w:r>
              <w:rPr>
                <w:rFonts w:ascii="Times New Roman" w:hAnsi="Times New Roman"/>
                <w:b w:val="0"/>
                <w:sz w:val="20"/>
              </w:rPr>
              <w:t>95</w:t>
            </w:r>
          </w:p>
        </w:tc>
        <w:tc>
          <w:tcPr>
            <w:tcW w:type="dxa" w:w="1928"/>
          </w:tcPr>
          <w:p>
            <w:pPr>
              <w:spacing w:line="240" w:lineRule="auto" w:after="0"/>
            </w:pPr>
            <w:r/>
            <w:r>
              <w:rPr>
                <w:rFonts w:ascii="Times New Roman" w:hAnsi="Times New Roman"/>
                <w:b w:val="0"/>
                <w:sz w:val="20"/>
              </w:rPr>
              <w:t>1.47 (1.08–1.98)</w:t>
            </w:r>
          </w:p>
        </w:tc>
        <w:tc>
          <w:tcPr>
            <w:tcW w:type="dxa" w:w="794"/>
          </w:tcPr>
          <w:p>
            <w:pPr>
              <w:spacing w:line="240" w:lineRule="auto" w:after="0"/>
            </w:pPr>
            <w:r/>
            <w:r>
              <w:rPr>
                <w:rFonts w:ascii="Times New Roman" w:hAnsi="Times New Roman"/>
                <w:b w:val="0"/>
                <w:sz w:val="20"/>
              </w:rPr>
              <w:t>0.013</w:t>
            </w:r>
          </w:p>
        </w:tc>
        <w:tc>
          <w:tcPr>
            <w:tcW w:type="dxa" w:w="1928"/>
          </w:tcPr>
          <w:p>
            <w:pPr>
              <w:spacing w:line="240" w:lineRule="auto" w:after="0"/>
            </w:pPr>
            <w:r/>
            <w:r>
              <w:rPr>
                <w:rFonts w:ascii="Times New Roman" w:hAnsi="Times New Roman"/>
                <w:b w:val="0"/>
                <w:sz w:val="20"/>
              </w:rPr>
              <w:t>0.57 (0.43–0.78)</w:t>
            </w:r>
          </w:p>
        </w:tc>
        <w:tc>
          <w:tcPr>
            <w:tcW w:type="dxa" w:w="794"/>
          </w:tcPr>
          <w:p>
            <w:pPr>
              <w:spacing w:line="240" w:lineRule="auto" w:after="0"/>
            </w:pPr>
            <w:r/>
            <w:r>
              <w:rPr>
                <w:rFonts w:ascii="Times New Roman" w:hAnsi="Times New Roman"/>
                <w:b w:val="0"/>
                <w:sz w:val="20"/>
              </w:rPr>
              <w:t>&lt;0.001</w:t>
            </w:r>
          </w:p>
        </w:tc>
      </w:tr>
      <w:tr>
        <w:trPr>
          <w:cantSplit/>
        </w:trPr>
        <w:tc>
          <w:tcPr>
            <w:tcW w:type="dxa" w:w="2835"/>
            <w:tcBorders>
              <w:bottom w:val="single" w:sz="8" w:color="000000"/>
            </w:tcBorders>
          </w:tcPr>
          <w:p>
            <w:pPr>
              <w:spacing w:line="240" w:lineRule="auto" w:after="0"/>
            </w:pPr>
            <w:r/>
            <w:r>
              <w:rPr>
                <w:rFonts w:ascii="Times New Roman" w:hAnsi="Times New Roman"/>
                <w:b w:val="0"/>
                <w:sz w:val="20"/>
              </w:rPr>
              <w:t>Negative effect on doctor relationship</w:t>
            </w:r>
          </w:p>
        </w:tc>
        <w:tc>
          <w:tcPr>
            <w:tcW w:type="dxa" w:w="794"/>
            <w:tcBorders>
              <w:bottom w:val="single" w:sz="8" w:color="000000"/>
            </w:tcBorders>
          </w:tcPr>
          <w:p>
            <w:pPr>
              <w:spacing w:line="240" w:lineRule="auto" w:after="0"/>
            </w:pPr>
            <w:r/>
            <w:r>
              <w:rPr>
                <w:rFonts w:ascii="Times New Roman" w:hAnsi="Times New Roman"/>
                <w:b w:val="0"/>
                <w:sz w:val="20"/>
              </w:rPr>
              <w:t>104</w:t>
            </w:r>
          </w:p>
        </w:tc>
        <w:tc>
          <w:tcPr>
            <w:tcW w:type="dxa" w:w="1928"/>
            <w:tcBorders>
              <w:bottom w:val="single" w:sz="8" w:color="000000"/>
            </w:tcBorders>
          </w:tcPr>
          <w:p>
            <w:pPr>
              <w:spacing w:line="240" w:lineRule="auto" w:after="0"/>
            </w:pPr>
            <w:r/>
            <w:r>
              <w:rPr>
                <w:rFonts w:ascii="Times New Roman" w:hAnsi="Times New Roman"/>
                <w:b w:val="0"/>
                <w:sz w:val="20"/>
              </w:rPr>
              <w:t>1.03 (0.78–1.38)</w:t>
            </w:r>
          </w:p>
        </w:tc>
        <w:tc>
          <w:tcPr>
            <w:tcW w:type="dxa" w:w="794"/>
            <w:tcBorders>
              <w:bottom w:val="single" w:sz="8" w:color="000000"/>
            </w:tcBorders>
          </w:tcPr>
          <w:p>
            <w:pPr>
              <w:spacing w:line="240" w:lineRule="auto" w:after="0"/>
            </w:pPr>
            <w:r/>
            <w:r>
              <w:rPr>
                <w:rFonts w:ascii="Times New Roman" w:hAnsi="Times New Roman"/>
                <w:b w:val="0"/>
                <w:sz w:val="20"/>
              </w:rPr>
              <w:t>0.824</w:t>
            </w:r>
          </w:p>
        </w:tc>
        <w:tc>
          <w:tcPr>
            <w:tcW w:type="dxa" w:w="1928"/>
            <w:tcBorders>
              <w:bottom w:val="single" w:sz="8" w:color="000000"/>
            </w:tcBorders>
          </w:tcPr>
          <w:p>
            <w:pPr>
              <w:spacing w:line="240" w:lineRule="auto" w:after="0"/>
            </w:pPr>
            <w:r/>
            <w:r>
              <w:rPr>
                <w:rFonts w:ascii="Times New Roman" w:hAnsi="Times New Roman"/>
                <w:b w:val="0"/>
                <w:sz w:val="20"/>
              </w:rPr>
              <w:t>1.35 (1.00–1.83)</w:t>
            </w:r>
          </w:p>
        </w:tc>
        <w:tc>
          <w:tcPr>
            <w:tcW w:type="dxa" w:w="794"/>
            <w:tcBorders>
              <w:bottom w:val="single" w:sz="8" w:color="000000"/>
            </w:tcBorders>
          </w:tcPr>
          <w:p>
            <w:pPr>
              <w:spacing w:line="240" w:lineRule="auto" w:after="0"/>
            </w:pPr>
            <w:r/>
            <w:r>
              <w:rPr>
                <w:rFonts w:ascii="Times New Roman" w:hAnsi="Times New Roman"/>
                <w:b w:val="0"/>
                <w:sz w:val="20"/>
              </w:rPr>
              <w:t>0.049</w:t>
            </w:r>
          </w:p>
        </w:tc>
      </w:tr>
    </w:tbl>
    <w:p>
      <w:pPr>
        <w:spacing w:line="240" w:lineRule="auto" w:after="200"/>
      </w:pPr>
      <w:r>
        <w:rPr>
          <w:rFonts w:ascii="Times New Roman" w:hAnsi="Times New Roman"/>
          <w:sz w:val="19"/>
        </w:rPr>
        <w:t>AOR per 1 SD of each score, from logistic models containing both scores plus trust, AI use, age, gender, health background, chronic disease and language. FDR-adjusted q-values are given in the supplementary workbook.</w:t>
      </w:r>
    </w:p>
    <w:p>
      <w:pPr>
        <w:pStyle w:val="Heading2"/>
      </w:pPr>
      <w:r>
        <w:t>3.9 Pathways: mediation and moderation</w:t>
      </w:r>
    </w:p>
    <w:p>
      <w:pPr>
        <w:spacing w:after="120"/>
        <w:ind w:firstLine="567"/>
        <w:jc w:val="both"/>
      </w:pPr>
      <w:r>
        <w:rPr>
          <w:rFonts w:ascii="Times New Roman" w:hAnsi="Times New Roman"/>
        </w:rPr>
        <w:t>Mediation analyses (standardised, adjusted, 5000 bootstrap resamples) supported pathways consistent with a reinforcing cycle (Table 10, Figure 7). First, excessive searching partly mediated the association between health anxiety and post-search distress (indirect effect = 0.16, 95% CI 0.11–0.23; 35% of the total effect), with the direct effect remaining significant (c′ = 0.30). Second, post-search distress almost fully mediated the association between health anxiety and reassurance-seeking consultations (indirect = 0.22, 95% CI 0.16–0.29; direct c′ = 0.01, p = 0.932). A serial model showed a significant chain from health anxiety to excessive searching to distress to reassurance seeking (indirect = 0.07, 95% CI 0.04–0.11). The reverse ordering, from excessive searching through distress to health anxiety, was also significant (indirect = 0.15, 95% CI 0.09–0.22), which is what a bidirectional relationship would produce, but also what cross-sectional data cannot disentangle. Participants with elevated health anxiety scored higher on all four dimensions, most markedly on excessiveness and distress (Figure 8).</w:t>
      </w:r>
    </w:p>
    <w:p>
      <w:pPr>
        <w:spacing w:after="120"/>
        <w:ind w:firstLine="567"/>
        <w:jc w:val="both"/>
      </w:pPr>
      <w:r>
        <w:rPr>
          <w:rFonts w:ascii="Times New Roman" w:hAnsi="Times New Roman"/>
        </w:rPr>
        <w:t>None of the tested moderators significantly altered the strength of the SHAI–CSS association after FDR correction (Table 10): trust in online/AI information (interaction p = 0.34), AI use (p = 0.47), health background (p = 0.66), gender (p = 0.98), chronic disease (p = 0.75) and language (p = 0.29); there was a non-significant trend towards a weaker association with increasing age (p = 0.068). Consistently, the correlation was moderate to strong in every subgroup with adequate size, ranging from r = 0.35 to 0.57; it was somewhat stronger in medical students (r = 0.57) than in other participants (r = 0.40; z-test p = 0.056).</w:t>
      </w:r>
    </w:p>
    <w:p>
      <w:pPr>
        <w:keepNext/>
        <w:spacing w:before="120" w:after="80" w:line="240" w:lineRule="auto"/>
        <w:jc w:val="left"/>
      </w:pPr>
      <w:r>
        <w:rPr>
          <w:b/>
          <w:sz w:val="24"/>
        </w:rPr>
        <w:t xml:space="preserve">Table </w:t>
      </w:r>
      <w:r>
        <w:rPr>
          <w:b/>
          <w:sz w:val="24"/>
        </w:rPr>
        <w:fldChar w:fldCharType="begin"/>
      </w:r>
      <w:r>
        <w:rPr>
          <w:b/>
          <w:sz w:val="24"/>
        </w:rPr>
        <w:instrText xml:space="preserve"> SEQ Table \* ARABIC </w:instrText>
      </w:r>
      <w:r>
        <w:rPr>
          <w:b/>
          <w:sz w:val="24"/>
        </w:rPr>
        <w:fldChar w:fldCharType="separate"/>
      </w:r>
      <w:r>
        <w:rPr>
          <w:b/>
          <w:sz w:val="24"/>
        </w:rPr>
        <w:t>10</w:t>
      </w:r>
      <w:r>
        <w:rPr>
          <w:b/>
          <w:sz w:val="24"/>
        </w:rPr>
        <w:fldChar w:fldCharType="end"/>
      </w:r>
      <w:r>
        <w:rPr>
          <w:b/>
          <w:sz w:val="24"/>
        </w:rPr>
        <w:t xml:space="preserve">. </w:t>
      </w:r>
      <w:r>
        <w:rPr>
          <w:i w:val="0"/>
          <w:sz w:val="24"/>
        </w:rPr>
        <w:t>Mediation models linking health anxiety (HA) and the dimensions of cyberchondria (standardised coefficients, n = 300)</w:t>
      </w:r>
    </w:p>
    <w:tbl>
      <w:tblPr>
        <w:tblStyle w:val="TableGrid"/>
        <w:tblW w:type="auto" w:w="0"/>
        <w:jc w:val="center"/>
        <w:tblLayout w:type="fixed"/>
        <w:tblLook w:firstColumn="1" w:firstRow="1" w:lastColumn="0" w:lastRow="0" w:noHBand="0" w:noVBand="1" w:val="04A0"/>
        <w:tblLayout w:type="fixed"/>
      </w:tblPr>
      <w:tblGrid>
        <w:gridCol w:w="3515"/>
        <w:gridCol w:w="680"/>
        <w:gridCol w:w="680"/>
        <w:gridCol w:w="964"/>
        <w:gridCol w:w="1077"/>
        <w:gridCol w:w="1984"/>
      </w:tblGrid>
      <w:tr>
        <w:trPr>
          <w:cantSplit/>
        </w:trPr>
        <w:tc>
          <w:tcPr>
            <w:tcW w:type="dxa" w:w="3515"/>
            <w:tcBorders>
              <w:top w:val="single" w:sz="8" w:color="000000"/>
              <w:bottom w:val="single" w:sz="8" w:color="000000"/>
            </w:tcBorders>
          </w:tcPr>
          <w:p>
            <w:pPr>
              <w:spacing w:line="240" w:lineRule="auto" w:after="0"/>
            </w:pPr>
            <w:r/>
            <w:r>
              <w:rPr>
                <w:rFonts w:ascii="Times New Roman" w:hAnsi="Times New Roman"/>
                <w:b/>
                <w:sz w:val="20"/>
              </w:rPr>
              <w:t>Model</w:t>
            </w:r>
          </w:p>
        </w:tc>
        <w:tc>
          <w:tcPr>
            <w:tcW w:type="dxa" w:w="680"/>
            <w:tcBorders>
              <w:top w:val="single" w:sz="8" w:color="000000"/>
              <w:bottom w:val="single" w:sz="8" w:color="000000"/>
            </w:tcBorders>
          </w:tcPr>
          <w:p>
            <w:pPr>
              <w:spacing w:line="240" w:lineRule="auto" w:after="0"/>
            </w:pPr>
            <w:r/>
            <w:r>
              <w:rPr>
                <w:rFonts w:ascii="Times New Roman" w:hAnsi="Times New Roman"/>
                <w:b/>
                <w:sz w:val="20"/>
              </w:rPr>
              <w:t>a</w:t>
            </w:r>
          </w:p>
        </w:tc>
        <w:tc>
          <w:tcPr>
            <w:tcW w:type="dxa" w:w="680"/>
            <w:tcBorders>
              <w:top w:val="single" w:sz="8" w:color="000000"/>
              <w:bottom w:val="single" w:sz="8" w:color="000000"/>
            </w:tcBorders>
          </w:tcPr>
          <w:p>
            <w:pPr>
              <w:spacing w:line="240" w:lineRule="auto" w:after="0"/>
            </w:pPr>
            <w:r/>
            <w:r>
              <w:rPr>
                <w:rFonts w:ascii="Times New Roman" w:hAnsi="Times New Roman"/>
                <w:b/>
                <w:sz w:val="20"/>
              </w:rPr>
              <w:t>b</w:t>
            </w:r>
          </w:p>
        </w:tc>
        <w:tc>
          <w:tcPr>
            <w:tcW w:type="dxa" w:w="964"/>
            <w:tcBorders>
              <w:top w:val="single" w:sz="8" w:color="000000"/>
              <w:bottom w:val="single" w:sz="8" w:color="000000"/>
            </w:tcBorders>
          </w:tcPr>
          <w:p>
            <w:pPr>
              <w:spacing w:line="240" w:lineRule="auto" w:after="0"/>
            </w:pPr>
            <w:r/>
            <w:r>
              <w:rPr>
                <w:rFonts w:ascii="Times New Roman" w:hAnsi="Times New Roman"/>
                <w:b/>
                <w:sz w:val="20"/>
              </w:rPr>
              <w:t>Total (c)</w:t>
            </w:r>
          </w:p>
        </w:tc>
        <w:tc>
          <w:tcPr>
            <w:tcW w:type="dxa" w:w="1077"/>
            <w:tcBorders>
              <w:top w:val="single" w:sz="8" w:color="000000"/>
              <w:bottom w:val="single" w:sz="8" w:color="000000"/>
            </w:tcBorders>
          </w:tcPr>
          <w:p>
            <w:pPr>
              <w:spacing w:line="240" w:lineRule="auto" w:after="0"/>
            </w:pPr>
            <w:r/>
            <w:r>
              <w:rPr>
                <w:rFonts w:ascii="Times New Roman" w:hAnsi="Times New Roman"/>
                <w:b/>
                <w:sz w:val="20"/>
              </w:rPr>
              <w:t>Direct (c′)</w:t>
            </w:r>
          </w:p>
        </w:tc>
        <w:tc>
          <w:tcPr>
            <w:tcW w:type="dxa" w:w="1984"/>
            <w:tcBorders>
              <w:top w:val="single" w:sz="8" w:color="000000"/>
              <w:bottom w:val="single" w:sz="8" w:color="000000"/>
            </w:tcBorders>
          </w:tcPr>
          <w:p>
            <w:pPr>
              <w:spacing w:line="240" w:lineRule="auto" w:after="0"/>
            </w:pPr>
            <w:r/>
            <w:r>
              <w:rPr>
                <w:rFonts w:ascii="Times New Roman" w:hAnsi="Times New Roman"/>
                <w:b/>
                <w:sz w:val="20"/>
              </w:rPr>
              <w:t>Indirect (95% boot CI)</w:t>
            </w:r>
          </w:p>
        </w:tc>
      </w:tr>
      <w:tr>
        <w:trPr>
          <w:cantSplit/>
        </w:trPr>
        <w:tc>
          <w:tcPr>
            <w:tcW w:type="dxa" w:w="3515"/>
          </w:tcPr>
          <w:p>
            <w:pPr>
              <w:spacing w:line="240" w:lineRule="auto" w:after="0"/>
            </w:pPr>
            <w:r/>
            <w:r>
              <w:rPr>
                <w:rFonts w:ascii="Times New Roman" w:hAnsi="Times New Roman"/>
                <w:b w:val="0"/>
                <w:sz w:val="20"/>
              </w:rPr>
              <w:t>A. HA → excessive searching → post-search distress</w:t>
            </w:r>
          </w:p>
        </w:tc>
        <w:tc>
          <w:tcPr>
            <w:tcW w:type="dxa" w:w="680"/>
          </w:tcPr>
          <w:p>
            <w:pPr>
              <w:spacing w:line="240" w:lineRule="auto" w:after="0"/>
            </w:pPr>
            <w:r/>
            <w:r>
              <w:rPr>
                <w:rFonts w:ascii="Times New Roman" w:hAnsi="Times New Roman"/>
                <w:b w:val="0"/>
                <w:sz w:val="20"/>
              </w:rPr>
              <w:t>0.46</w:t>
            </w:r>
          </w:p>
        </w:tc>
        <w:tc>
          <w:tcPr>
            <w:tcW w:type="dxa" w:w="680"/>
          </w:tcPr>
          <w:p>
            <w:pPr>
              <w:spacing w:line="240" w:lineRule="auto" w:after="0"/>
            </w:pPr>
            <w:r/>
            <w:r>
              <w:rPr>
                <w:rFonts w:ascii="Times New Roman" w:hAnsi="Times New Roman"/>
                <w:b w:val="0"/>
                <w:sz w:val="20"/>
              </w:rPr>
              <w:t>0.35</w:t>
            </w:r>
          </w:p>
        </w:tc>
        <w:tc>
          <w:tcPr>
            <w:tcW w:type="dxa" w:w="964"/>
          </w:tcPr>
          <w:p>
            <w:pPr>
              <w:spacing w:line="240" w:lineRule="auto" w:after="0"/>
            </w:pPr>
            <w:r/>
            <w:r>
              <w:rPr>
                <w:rFonts w:ascii="Times New Roman" w:hAnsi="Times New Roman"/>
                <w:b w:val="0"/>
                <w:sz w:val="20"/>
              </w:rPr>
              <w:t>0.46</w:t>
            </w:r>
          </w:p>
        </w:tc>
        <w:tc>
          <w:tcPr>
            <w:tcW w:type="dxa" w:w="1077"/>
          </w:tcPr>
          <w:p>
            <w:pPr>
              <w:spacing w:line="240" w:lineRule="auto" w:after="0"/>
            </w:pPr>
            <w:r/>
            <w:r>
              <w:rPr>
                <w:rFonts w:ascii="Times New Roman" w:hAnsi="Times New Roman"/>
                <w:b w:val="0"/>
                <w:sz w:val="20"/>
              </w:rPr>
              <w:t>0.30</w:t>
            </w:r>
          </w:p>
        </w:tc>
        <w:tc>
          <w:tcPr>
            <w:tcW w:type="dxa" w:w="1984"/>
          </w:tcPr>
          <w:p>
            <w:pPr>
              <w:spacing w:line="240" w:lineRule="auto" w:after="0"/>
            </w:pPr>
            <w:r/>
            <w:r>
              <w:rPr>
                <w:rFonts w:ascii="Times New Roman" w:hAnsi="Times New Roman"/>
                <w:b w:val="0"/>
                <w:sz w:val="20"/>
              </w:rPr>
              <w:t>0.16 (0.11–0.23)</w:t>
            </w:r>
          </w:p>
        </w:tc>
      </w:tr>
      <w:tr>
        <w:trPr>
          <w:cantSplit/>
        </w:trPr>
        <w:tc>
          <w:tcPr>
            <w:tcW w:type="dxa" w:w="3515"/>
          </w:tcPr>
          <w:p>
            <w:pPr>
              <w:spacing w:line="240" w:lineRule="auto" w:after="0"/>
            </w:pPr>
            <w:r/>
            <w:r>
              <w:rPr>
                <w:rFonts w:ascii="Times New Roman" w:hAnsi="Times New Roman"/>
                <w:b w:val="0"/>
                <w:sz w:val="20"/>
              </w:rPr>
              <w:t>B. HA → excessive searching → compulsion</w:t>
            </w:r>
          </w:p>
        </w:tc>
        <w:tc>
          <w:tcPr>
            <w:tcW w:type="dxa" w:w="680"/>
          </w:tcPr>
          <w:p>
            <w:pPr>
              <w:spacing w:line="240" w:lineRule="auto" w:after="0"/>
            </w:pPr>
            <w:r/>
            <w:r>
              <w:rPr>
                <w:rFonts w:ascii="Times New Roman" w:hAnsi="Times New Roman"/>
                <w:b w:val="0"/>
                <w:sz w:val="20"/>
              </w:rPr>
              <w:t>0.46</w:t>
            </w:r>
          </w:p>
        </w:tc>
        <w:tc>
          <w:tcPr>
            <w:tcW w:type="dxa" w:w="680"/>
          </w:tcPr>
          <w:p>
            <w:pPr>
              <w:spacing w:line="240" w:lineRule="auto" w:after="0"/>
            </w:pPr>
            <w:r/>
            <w:r>
              <w:rPr>
                <w:rFonts w:ascii="Times New Roman" w:hAnsi="Times New Roman"/>
                <w:b w:val="0"/>
                <w:sz w:val="20"/>
              </w:rPr>
              <w:t>0.27</w:t>
            </w:r>
          </w:p>
        </w:tc>
        <w:tc>
          <w:tcPr>
            <w:tcW w:type="dxa" w:w="964"/>
          </w:tcPr>
          <w:p>
            <w:pPr>
              <w:spacing w:line="240" w:lineRule="auto" w:after="0"/>
            </w:pPr>
            <w:r/>
            <w:r>
              <w:rPr>
                <w:rFonts w:ascii="Times New Roman" w:hAnsi="Times New Roman"/>
                <w:b w:val="0"/>
                <w:sz w:val="20"/>
              </w:rPr>
              <w:t>0.28</w:t>
            </w:r>
          </w:p>
        </w:tc>
        <w:tc>
          <w:tcPr>
            <w:tcW w:type="dxa" w:w="1077"/>
          </w:tcPr>
          <w:p>
            <w:pPr>
              <w:spacing w:line="240" w:lineRule="auto" w:after="0"/>
            </w:pPr>
            <w:r/>
            <w:r>
              <w:rPr>
                <w:rFonts w:ascii="Times New Roman" w:hAnsi="Times New Roman"/>
                <w:b w:val="0"/>
                <w:sz w:val="20"/>
              </w:rPr>
              <w:t>0.15</w:t>
            </w:r>
          </w:p>
        </w:tc>
        <w:tc>
          <w:tcPr>
            <w:tcW w:type="dxa" w:w="1984"/>
          </w:tcPr>
          <w:p>
            <w:pPr>
              <w:spacing w:line="240" w:lineRule="auto" w:after="0"/>
            </w:pPr>
            <w:r/>
            <w:r>
              <w:rPr>
                <w:rFonts w:ascii="Times New Roman" w:hAnsi="Times New Roman"/>
                <w:b w:val="0"/>
                <w:sz w:val="20"/>
              </w:rPr>
              <w:t>0.13 (0.07–0.20)</w:t>
            </w:r>
          </w:p>
        </w:tc>
      </w:tr>
      <w:tr>
        <w:trPr>
          <w:cantSplit/>
        </w:trPr>
        <w:tc>
          <w:tcPr>
            <w:tcW w:type="dxa" w:w="3515"/>
          </w:tcPr>
          <w:p>
            <w:pPr>
              <w:spacing w:line="240" w:lineRule="auto" w:after="0"/>
            </w:pPr>
            <w:r/>
            <w:r>
              <w:rPr>
                <w:rFonts w:ascii="Times New Roman" w:hAnsi="Times New Roman"/>
                <w:b w:val="0"/>
                <w:sz w:val="20"/>
              </w:rPr>
              <w:t>C. HA → post-search distress → reassurance seeking</w:t>
            </w:r>
          </w:p>
        </w:tc>
        <w:tc>
          <w:tcPr>
            <w:tcW w:type="dxa" w:w="680"/>
          </w:tcPr>
          <w:p>
            <w:pPr>
              <w:spacing w:line="240" w:lineRule="auto" w:after="0"/>
            </w:pPr>
            <w:r/>
            <w:r>
              <w:rPr>
                <w:rFonts w:ascii="Times New Roman" w:hAnsi="Times New Roman"/>
                <w:b w:val="0"/>
                <w:sz w:val="20"/>
              </w:rPr>
              <w:t>0.46</w:t>
            </w:r>
          </w:p>
        </w:tc>
        <w:tc>
          <w:tcPr>
            <w:tcW w:type="dxa" w:w="680"/>
          </w:tcPr>
          <w:p>
            <w:pPr>
              <w:spacing w:line="240" w:lineRule="auto" w:after="0"/>
            </w:pPr>
            <w:r/>
            <w:r>
              <w:rPr>
                <w:rFonts w:ascii="Times New Roman" w:hAnsi="Times New Roman"/>
                <w:b w:val="0"/>
                <w:sz w:val="20"/>
              </w:rPr>
              <w:t>0.48</w:t>
            </w:r>
          </w:p>
        </w:tc>
        <w:tc>
          <w:tcPr>
            <w:tcW w:type="dxa" w:w="964"/>
          </w:tcPr>
          <w:p>
            <w:pPr>
              <w:spacing w:line="240" w:lineRule="auto" w:after="0"/>
            </w:pPr>
            <w:r/>
            <w:r>
              <w:rPr>
                <w:rFonts w:ascii="Times New Roman" w:hAnsi="Times New Roman"/>
                <w:b w:val="0"/>
                <w:sz w:val="20"/>
              </w:rPr>
              <w:t>0.22</w:t>
            </w:r>
          </w:p>
        </w:tc>
        <w:tc>
          <w:tcPr>
            <w:tcW w:type="dxa" w:w="1077"/>
          </w:tcPr>
          <w:p>
            <w:pPr>
              <w:spacing w:line="240" w:lineRule="auto" w:after="0"/>
            </w:pPr>
            <w:r/>
            <w:r>
              <w:rPr>
                <w:rFonts w:ascii="Times New Roman" w:hAnsi="Times New Roman"/>
                <w:b w:val="0"/>
                <w:sz w:val="20"/>
              </w:rPr>
              <w:t>0.01 (ns)</w:t>
            </w:r>
          </w:p>
        </w:tc>
        <w:tc>
          <w:tcPr>
            <w:tcW w:type="dxa" w:w="1984"/>
          </w:tcPr>
          <w:p>
            <w:pPr>
              <w:spacing w:line="240" w:lineRule="auto" w:after="0"/>
            </w:pPr>
            <w:r/>
            <w:r>
              <w:rPr>
                <w:rFonts w:ascii="Times New Roman" w:hAnsi="Times New Roman"/>
                <w:b w:val="0"/>
                <w:sz w:val="20"/>
              </w:rPr>
              <w:t>0.22 (0.16–0.29)</w:t>
            </w:r>
          </w:p>
        </w:tc>
      </w:tr>
      <w:tr>
        <w:trPr>
          <w:cantSplit/>
        </w:trPr>
        <w:tc>
          <w:tcPr>
            <w:tcW w:type="dxa" w:w="3515"/>
          </w:tcPr>
          <w:p>
            <w:pPr>
              <w:spacing w:line="240" w:lineRule="auto" w:after="0"/>
            </w:pPr>
            <w:r/>
            <w:r>
              <w:rPr>
                <w:rFonts w:ascii="Times New Roman" w:hAnsi="Times New Roman"/>
                <w:b w:val="0"/>
                <w:sz w:val="20"/>
              </w:rPr>
              <w:t>D. Excessive searching → distress → HA (reverse)</w:t>
            </w:r>
          </w:p>
        </w:tc>
        <w:tc>
          <w:tcPr>
            <w:tcW w:type="dxa" w:w="680"/>
          </w:tcPr>
          <w:p>
            <w:pPr>
              <w:spacing w:line="240" w:lineRule="auto" w:after="0"/>
            </w:pPr>
            <w:r/>
            <w:r>
              <w:rPr>
                <w:rFonts w:ascii="Times New Roman" w:hAnsi="Times New Roman"/>
                <w:b w:val="0"/>
                <w:sz w:val="20"/>
              </w:rPr>
              <w:t>0.49</w:t>
            </w:r>
          </w:p>
        </w:tc>
        <w:tc>
          <w:tcPr>
            <w:tcW w:type="dxa" w:w="680"/>
          </w:tcPr>
          <w:p>
            <w:pPr>
              <w:spacing w:line="240" w:lineRule="auto" w:after="0"/>
            </w:pPr>
            <w:r/>
            <w:r>
              <w:rPr>
                <w:rFonts w:ascii="Times New Roman" w:hAnsi="Times New Roman"/>
                <w:b w:val="0"/>
                <w:sz w:val="20"/>
              </w:rPr>
              <w:t>0.30</w:t>
            </w:r>
          </w:p>
        </w:tc>
        <w:tc>
          <w:tcPr>
            <w:tcW w:type="dxa" w:w="964"/>
          </w:tcPr>
          <w:p>
            <w:pPr>
              <w:spacing w:line="240" w:lineRule="auto" w:after="0"/>
            </w:pPr>
            <w:r/>
            <w:r>
              <w:rPr>
                <w:rFonts w:ascii="Times New Roman" w:hAnsi="Times New Roman"/>
                <w:b w:val="0"/>
                <w:sz w:val="20"/>
              </w:rPr>
              <w:t>0.47</w:t>
            </w:r>
          </w:p>
        </w:tc>
        <w:tc>
          <w:tcPr>
            <w:tcW w:type="dxa" w:w="1077"/>
          </w:tcPr>
          <w:p>
            <w:pPr>
              <w:spacing w:line="240" w:lineRule="auto" w:after="0"/>
            </w:pPr>
            <w:r/>
            <w:r>
              <w:rPr>
                <w:rFonts w:ascii="Times New Roman" w:hAnsi="Times New Roman"/>
                <w:b w:val="0"/>
                <w:sz w:val="20"/>
              </w:rPr>
              <w:t>0.32</w:t>
            </w:r>
          </w:p>
        </w:tc>
        <w:tc>
          <w:tcPr>
            <w:tcW w:type="dxa" w:w="1984"/>
          </w:tcPr>
          <w:p>
            <w:pPr>
              <w:spacing w:line="240" w:lineRule="auto" w:after="0"/>
            </w:pPr>
            <w:r/>
            <w:r>
              <w:rPr>
                <w:rFonts w:ascii="Times New Roman" w:hAnsi="Times New Roman"/>
                <w:b w:val="0"/>
                <w:sz w:val="20"/>
              </w:rPr>
              <w:t>0.15 (0.09–0.22)</w:t>
            </w:r>
          </w:p>
        </w:tc>
      </w:tr>
      <w:tr>
        <w:trPr>
          <w:cantSplit/>
        </w:trPr>
        <w:tc>
          <w:tcPr>
            <w:tcW w:type="dxa" w:w="3515"/>
            <w:tcBorders>
              <w:bottom w:val="single" w:sz="8" w:color="000000"/>
            </w:tcBorders>
          </w:tcPr>
          <w:p>
            <w:pPr>
              <w:spacing w:line="240" w:lineRule="auto" w:after="0"/>
            </w:pPr>
            <w:r/>
            <w:r>
              <w:rPr>
                <w:rFonts w:ascii="Times New Roman" w:hAnsi="Times New Roman"/>
                <w:b w:val="0"/>
                <w:sz w:val="20"/>
              </w:rPr>
              <w:t>E. Serial: HA → excess → distress → reassurance</w:t>
            </w:r>
          </w:p>
        </w:tc>
        <w:tc>
          <w:tcPr>
            <w:tcW w:type="dxa" w:w="680"/>
            <w:tcBorders>
              <w:bottom w:val="single" w:sz="8" w:color="000000"/>
            </w:tcBorders>
          </w:tcPr>
          <w:p>
            <w:pPr>
              <w:spacing w:line="240" w:lineRule="auto" w:after="0"/>
            </w:pPr>
            <w:r/>
            <w:r>
              <w:rPr>
                <w:rFonts w:ascii="Times New Roman" w:hAnsi="Times New Roman"/>
                <w:b w:val="0"/>
                <w:sz w:val="20"/>
              </w:rPr>
            </w:r>
          </w:p>
        </w:tc>
        <w:tc>
          <w:tcPr>
            <w:tcW w:type="dxa" w:w="680"/>
            <w:tcBorders>
              <w:bottom w:val="single" w:sz="8" w:color="000000"/>
            </w:tcBorders>
          </w:tcPr>
          <w:p>
            <w:pPr>
              <w:spacing w:line="240" w:lineRule="auto" w:after="0"/>
            </w:pPr>
            <w:r/>
            <w:r>
              <w:rPr>
                <w:rFonts w:ascii="Times New Roman" w:hAnsi="Times New Roman"/>
                <w:b w:val="0"/>
                <w:sz w:val="20"/>
              </w:rPr>
            </w:r>
          </w:p>
        </w:tc>
        <w:tc>
          <w:tcPr>
            <w:tcW w:type="dxa" w:w="964"/>
            <w:tcBorders>
              <w:bottom w:val="single" w:sz="8" w:color="000000"/>
            </w:tcBorders>
          </w:tcPr>
          <w:p>
            <w:pPr>
              <w:spacing w:line="240" w:lineRule="auto" w:after="0"/>
            </w:pPr>
            <w:r/>
            <w:r>
              <w:rPr>
                <w:rFonts w:ascii="Times New Roman" w:hAnsi="Times New Roman"/>
                <w:b w:val="0"/>
                <w:sz w:val="20"/>
              </w:rPr>
            </w:r>
          </w:p>
        </w:tc>
        <w:tc>
          <w:tcPr>
            <w:tcW w:type="dxa" w:w="1077"/>
            <w:tcBorders>
              <w:bottom w:val="single" w:sz="8" w:color="000000"/>
            </w:tcBorders>
          </w:tcPr>
          <w:p>
            <w:pPr>
              <w:spacing w:line="240" w:lineRule="auto" w:after="0"/>
            </w:pPr>
            <w:r/>
            <w:r>
              <w:rPr>
                <w:rFonts w:ascii="Times New Roman" w:hAnsi="Times New Roman"/>
                <w:b w:val="0"/>
                <w:sz w:val="20"/>
              </w:rPr>
              <w:t>-0.04 (ns)</w:t>
            </w:r>
          </w:p>
        </w:tc>
        <w:tc>
          <w:tcPr>
            <w:tcW w:type="dxa" w:w="1984"/>
            <w:tcBorders>
              <w:bottom w:val="single" w:sz="8" w:color="000000"/>
            </w:tcBorders>
          </w:tcPr>
          <w:p>
            <w:pPr>
              <w:spacing w:line="240" w:lineRule="auto" w:after="0"/>
            </w:pPr>
            <w:r/>
            <w:r>
              <w:rPr>
                <w:rFonts w:ascii="Times New Roman" w:hAnsi="Times New Roman"/>
                <w:b w:val="0"/>
                <w:sz w:val="20"/>
              </w:rPr>
              <w:t>0.07 (0.04–0.11)</w:t>
            </w:r>
          </w:p>
        </w:tc>
      </w:tr>
    </w:tbl>
    <w:p>
      <w:pPr>
        <w:spacing w:line="240" w:lineRule="auto" w:after="200"/>
      </w:pPr>
      <w:r>
        <w:rPr>
          <w:rFonts w:ascii="Times New Roman" w:hAnsi="Times New Roman"/>
          <w:sz w:val="19"/>
        </w:rPr>
        <w:t>a: predictor → mediator; b: mediator → outcome adjusted for the predictor; indirect effect = a × b = c − c′. All models adjusted for age, gender, health background, chronic disease, trust and AI use; 5000 bootstrap resamples. All a, b and total paths p &lt; 0.001. Moderation of the SHAI–CSS association (interaction terms): trust in online/ai data p = 0.34; ai chatbot use p = 0.47; health-related background p = 0.66; female gender p = 0.98; chronic condition p = 0.75; english-language responder p = 0.29; age group (ordinal) p = 0.07 (all q &gt; 0.40).</w:t>
      </w:r>
    </w:p>
    <w:p>
      <w:pPr>
        <w:keepNext/>
        <w:jc w:val="center"/>
      </w:pPr>
      <w:r>
        <w:drawing>
          <wp:inline xmlns:a="http://schemas.openxmlformats.org/drawingml/2006/main" xmlns:pic="http://schemas.openxmlformats.org/drawingml/2006/picture">
            <wp:extent cx="5760000" cy="2151176"/>
            <wp:docPr id="7" name="Picture 7"/>
            <wp:cNvGraphicFramePr>
              <a:graphicFrameLocks noChangeAspect="1"/>
            </wp:cNvGraphicFramePr>
            <a:graphic>
              <a:graphicData uri="http://schemas.openxmlformats.org/drawingml/2006/picture">
                <pic:pic>
                  <pic:nvPicPr>
                    <pic:cNvPr id="0" name="fig8_mediation.png"/>
                    <pic:cNvPicPr/>
                  </pic:nvPicPr>
                  <pic:blipFill>
                    <a:blip r:embed="rId15"/>
                    <a:stretch>
                      <a:fillRect/>
                    </a:stretch>
                  </pic:blipFill>
                  <pic:spPr>
                    <a:xfrm>
                      <a:off x="0" y="0"/>
                      <a:ext cx="5760000" cy="2151176"/>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7</w:t>
      </w:r>
      <w:r>
        <w:rPr>
          <w:b/>
          <w:sz w:val="24"/>
        </w:rPr>
        <w:fldChar w:fldCharType="end"/>
      </w:r>
      <w:r>
        <w:rPr>
          <w:b/>
          <w:sz w:val="24"/>
        </w:rPr>
        <w:t xml:space="preserve">. </w:t>
      </w:r>
      <w:r>
        <w:rPr>
          <w:i/>
          <w:sz w:val="24"/>
        </w:rPr>
        <w:t>Mediation models: (A) excessive searching as a pathway from health anxiety to post-search distress; (B) post-search distress as a pathway from health anxiety to reassurance seeking.</w:t>
      </w:r>
    </w:p>
    <w:p>
      <w:pPr>
        <w:keepNext/>
        <w:jc w:val="center"/>
      </w:pPr>
      <w:r>
        <w:drawing>
          <wp:inline xmlns:a="http://schemas.openxmlformats.org/drawingml/2006/main" xmlns:pic="http://schemas.openxmlformats.org/drawingml/2006/picture">
            <wp:extent cx="4680000" cy="2698425"/>
            <wp:docPr id="8" name="Picture 8"/>
            <wp:cNvGraphicFramePr>
              <a:graphicFrameLocks noChangeAspect="1"/>
            </wp:cNvGraphicFramePr>
            <a:graphic>
              <a:graphicData uri="http://schemas.openxmlformats.org/drawingml/2006/picture">
                <pic:pic>
                  <pic:nvPicPr>
                    <pic:cNvPr id="0" name="fig5_subscales_by_HA.png"/>
                    <pic:cNvPicPr/>
                  </pic:nvPicPr>
                  <pic:blipFill>
                    <a:blip r:embed="rId16"/>
                    <a:stretch>
                      <a:fillRect/>
                    </a:stretch>
                  </pic:blipFill>
                  <pic:spPr>
                    <a:xfrm>
                      <a:off x="0" y="0"/>
                      <a:ext cx="4680000" cy="2698425"/>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8</w:t>
      </w:r>
      <w:r>
        <w:rPr>
          <w:b/>
          <w:sz w:val="24"/>
        </w:rPr>
        <w:fldChar w:fldCharType="end"/>
      </w:r>
      <w:r>
        <w:rPr>
          <w:b/>
          <w:sz w:val="24"/>
        </w:rPr>
        <w:t xml:space="preserve">. </w:t>
      </w:r>
      <w:r>
        <w:rPr>
          <w:i/>
          <w:sz w:val="24"/>
        </w:rPr>
        <w:t>Cyberchondria dimensions by health-anxiety status (mean ± 95% CI).</w:t>
      </w:r>
    </w:p>
    <w:p>
      <w:pPr>
        <w:pStyle w:val="Heading2"/>
      </w:pPr>
      <w:r>
        <w:t>3.10 Sensitivity analyses</w:t>
      </w:r>
    </w:p>
    <w:p>
      <w:pPr>
        <w:spacing w:after="120"/>
        <w:ind w:firstLine="567"/>
        <w:jc w:val="both"/>
      </w:pPr>
      <w:r>
        <w:rPr>
          <w:rFonts w:ascii="Times New Roman" w:hAnsi="Times New Roman"/>
        </w:rPr>
        <w:t>Results were robust. Excluding the three annotated responses (r = 0.46) or the 9 straight-line responders (n = 291, r = 0.47) left the main correlation unchanged. Early and late responders did not differ in cyberchondria (p = 0.46) or health anxiety (p = 0.07). The regression residuals showed mild non-normality and heteroskedasticity (Shapiro–Wilk p = 0.020; Breusch–Pagan p = 0.004), which is why robust standard errors and bootstrap intervals were used; conclusions did not change.</w:t>
      </w:r>
    </w:p>
    <w:p>
      <w:pPr>
        <w:pStyle w:val="Heading1"/>
      </w:pPr>
      <w:r>
        <w:t>4. Discussion</w:t>
      </w:r>
    </w:p>
    <w:p>
      <w:pPr>
        <w:pStyle w:val="Heading2"/>
      </w:pPr>
      <w:r>
        <w:t>4.1 Principal findings</w:t>
      </w:r>
    </w:p>
    <w:p>
      <w:pPr>
        <w:spacing w:after="120"/>
        <w:ind w:firstLine="567"/>
        <w:jc w:val="both"/>
      </w:pPr>
      <w:r>
        <w:rPr>
          <w:rFonts w:ascii="Times New Roman" w:hAnsi="Times New Roman"/>
        </w:rPr>
        <w:t>This study is, to our knowledge, the first from Iraq to examine health anxiety and cyberchondria together, and among the first anywhere to place AI chatbots alongside search engines as a source of pre-consultation health information. Four findings stand out. First, AI chatbots have already overtaken search engines as the main tool used to look up symptoms in this sample, and about two in five participants used AI without search engines at all. Second, health anxiety and cyberchondria were moderately and robustly associated (r ≈ 0.47), independently of all other measured factors, and health anxiety was the dominant predictor of cyberchondria. Third, the association was concentrated in the excessiveness and distress dimensions, and mediation analyses traced a statistical sequence in which health anxiety is linked with excessive searching, excessive searching with post-search distress, and distress with reassurance-seeking consultations. Fourth, these psychological processes were reflected in pre-consultation behaviour, from urgent visits to non-disclosure of searches to physicians.</w:t>
      </w:r>
    </w:p>
    <w:p>
      <w:pPr>
        <w:pStyle w:val="Heading2"/>
      </w:pPr>
      <w:r>
        <w:t>4.2 Health anxiety and cyberchondria</w:t>
      </w:r>
    </w:p>
    <w:p>
      <w:pPr>
        <w:spacing w:after="120"/>
        <w:ind w:firstLine="567"/>
        <w:jc w:val="both"/>
      </w:pPr>
      <w:r>
        <w:rPr>
          <w:rFonts w:ascii="Times New Roman" w:hAnsi="Times New Roman"/>
        </w:rPr>
        <w:t xml:space="preserve">The observed correlation (r = 0.47) confirms H1 and H2 but is weaker than the pooled estimates of about 0.62–0.63 from meta-analyses [18,19]. Several explanations are plausible. Our sample had relatively low health anxiety (mean SHAI 12.3) and a narrow range in which correlations are attenuated; recruitment through online channels may have favoured confident, habitual Internet users for whom searching is routine rather than alarming; and most previous studies used the full 33-item CSS, whose distress and reassurance items overlap more with health anxiety. The pattern across dimensions is also informative. Distress and excessiveness, the dimensions closest to the cognitive model of health anxiety, were most strongly related to SHAI, while compulsion (interference with work and social life) was rare and only weakly related, consistent with the subscale range reported previously [19]. At item level, it was the </w:t>
      </w:r>
      <w:r>
        <w:rPr>
          <w:rFonts w:ascii="Times New Roman" w:hAnsi="Times New Roman"/>
          <w:i/>
        </w:rPr>
        <w:t>interpretation</w:t>
      </w:r>
      <w:r>
        <w:rPr>
          <w:rFonts w:ascii="Times New Roman" w:hAnsi="Times New Roman"/>
        </w:rPr>
        <w:t xml:space="preserve"> of sensations and the </w:t>
      </w:r>
      <w:r>
        <w:rPr>
          <w:rFonts w:ascii="Times New Roman" w:hAnsi="Times New Roman"/>
          <w:i/>
        </w:rPr>
        <w:t>fear</w:t>
      </w:r>
      <w:r>
        <w:rPr>
          <w:rFonts w:ascii="Times New Roman" w:hAnsi="Times New Roman"/>
        </w:rPr>
        <w:t xml:space="preserve"> of serious illness, not mere awareness of bodily sensations, that tracked cyberchondria. This supports the view that cyberchondria is driven by catastrophic appraisal rather than by bodily vigilance itself [5,20].</w:t>
      </w:r>
    </w:p>
    <w:p>
      <w:pPr>
        <w:spacing w:after="120"/>
        <w:ind w:firstLine="567"/>
        <w:jc w:val="both"/>
      </w:pPr>
      <w:r>
        <w:rPr>
          <w:rFonts w:ascii="Times New Roman" w:hAnsi="Times New Roman"/>
        </w:rPr>
        <w:t>The prevalence of elevated health anxiety (19% at SHAI ≥ 18) should be interpreted cautiously. The cut-off was derived against healthy controls in Sweden [42]; it is not a diagnosis, and prevalence ranged from 7% to 33% across plausible cut-offs. Nevertheless, it indicates that a substantial minority of digitally active adults in Baghdad experience health worry at a level that would warrant clinical attention, consistent with high rates of health anxiety reported in Iraq during the pandemic [8].</w:t>
      </w:r>
    </w:p>
    <w:p>
      <w:pPr>
        <w:pStyle w:val="Heading2"/>
      </w:pPr>
      <w:r>
        <w:t>4.3 Do health anxiety and cyberchondria fuel each other?</w:t>
      </w:r>
    </w:p>
    <w:p>
      <w:pPr>
        <w:spacing w:after="120"/>
        <w:ind w:firstLine="567"/>
        <w:jc w:val="both"/>
      </w:pPr>
      <w:r>
        <w:rPr>
          <w:rFonts w:ascii="Times New Roman" w:hAnsi="Times New Roman"/>
        </w:rPr>
        <w:t xml:space="preserve">The mediation results are consistent with the reinforcing cycle proposed by cognitive-behavioural models and by the longitudinal Dutch study [5,21]: people with higher health anxiety search more, more searching goes with more distress, and distress goes with more reassurance seeking from doctors. That the direct effect of health anxiety on reassurance seeking disappeared once post-search distress was accounted for suggests that online searching may be one route by which health anxiety is turned into healthcare use. However, these results must not be over-interpreted. In cross-sectional data, mediation tests are tests of a hypothesised ordering, not of causation, and they can be seriously biased estimates of longitudinal processes [50]. Our reverse-direction model (searching → distress → health anxiety) was equally significant, which is exactly what one would expect if the relationship is bidirectional, but also what one would expect if both constructs simply share variance. In addition, the mediators and outcomes in models A–C are subscales of the same instrument, so part of their association reflects shared method variance. The appropriate conclusion is that our data are </w:t>
      </w:r>
      <w:r>
        <w:rPr>
          <w:rFonts w:ascii="Times New Roman" w:hAnsi="Times New Roman"/>
          <w:i/>
        </w:rPr>
        <w:t>compatible with</w:t>
      </w:r>
      <w:r>
        <w:rPr>
          <w:rFonts w:ascii="Times New Roman" w:hAnsi="Times New Roman"/>
        </w:rPr>
        <w:t xml:space="preserve">, but cannot </w:t>
      </w:r>
      <w:r>
        <w:rPr>
          <w:rFonts w:ascii="Times New Roman" w:hAnsi="Times New Roman"/>
          <w:i/>
        </w:rPr>
        <w:t>demonstrate</w:t>
      </w:r>
      <w:r>
        <w:rPr>
          <w:rFonts w:ascii="Times New Roman" w:hAnsi="Times New Roman"/>
        </w:rPr>
        <w:t>, a cycle in which health anxiety and cyberchondria fuel each other.</w:t>
      </w:r>
    </w:p>
    <w:p>
      <w:pPr>
        <w:spacing w:after="120"/>
        <w:ind w:firstLine="567"/>
        <w:jc w:val="both"/>
      </w:pPr>
      <w:r>
        <w:rPr>
          <w:rFonts w:ascii="Times New Roman" w:hAnsi="Times New Roman"/>
        </w:rPr>
        <w:t>H3 is therefore supported statistically, but not causally.</w:t>
      </w:r>
    </w:p>
    <w:p>
      <w:pPr>
        <w:pStyle w:val="Heading2"/>
      </w:pPr>
      <w:r>
        <w:t>4.4 The role of AI chatbots</w:t>
      </w:r>
    </w:p>
    <w:p>
      <w:pPr>
        <w:spacing w:after="120"/>
        <w:ind w:firstLine="567"/>
        <w:jc w:val="both"/>
      </w:pPr>
      <w:r>
        <w:rPr>
          <w:rFonts w:ascii="Times New Roman" w:hAnsi="Times New Roman"/>
        </w:rPr>
        <w:t>The dominance of AI chatbots (88.7%) is a new finding and contrasts with a 2024 US survey in which about one in five respondents reported using ChatGPT for health information [27]. Our sample was young and highly educated, which partly explains the difference: AI use fell from 96% in those aged 18–19 to 72% in those aged 40 and over. AI users had higher cyberchondria, and AI use remained an independent predictor after adjustment for health anxiety, age, occupation and other tools. The effect was concentrated in excessiveness and reassurance seeking. Two interpretations are possible. Because LLM chatbots answer in fluent, personalised and empathetic language [25,26], they may invite repeated, conversational querying (asking "one more question"), which is the behavioural core of the excessiveness dimension. Alternatively, people who already search more heavily may simply have adopted every available tool, so that AI use marks intensity rather than causes it. The comparison group of non-users was small (n = 34) and older, the association disappeared when the 32 respondents with inconsistent answers about AI use were classed as non-users, and AI use did not modify the strength of the health anxiety–cyberchondria link. The level of AI use in our sample resembles that of young Turkish dermatology outpatients (61%), in whom pre-visit AI consultation mainly confirmed an existing decision to seek care and was not associated with increased anxiety [30]; in a large Czech sample, health anxiety was linked to AI use only through trust [29], whereas in our data trust was unrelated to health anxiety. On current evidence, AI chatbots appear to be a new channel for, rather than a qualitatively different driver of, cyberchondria, which is consistent with observations that health-anxious people are over-represented among users of digital symptom checkers [28].</w:t>
      </w:r>
    </w:p>
    <w:p>
      <w:pPr>
        <w:spacing w:after="120"/>
        <w:ind w:firstLine="567"/>
        <w:jc w:val="both"/>
      </w:pPr>
      <w:r>
        <w:rPr>
          <w:rFonts w:ascii="Times New Roman" w:hAnsi="Times New Roman"/>
        </w:rPr>
        <w:t>Trust in online and AI information was mostly moderate and was associated with excessive searching but not with distress. Higher trust was also associated with lower odds of consulting several doctors, suggesting that trusted AI answers may substitute for some "doctor shopping". This is potentially beneficial for health services, but it is also where false reassurance becomes a risk: higher trust showed a non-significant trend towards delaying care because of reassurance (AOR = 1.33, p = 0.088), echoing a multinational study from the Middle East and North Africa in which trust in online information strongly predicted delayed consultation [34].</w:t>
      </w:r>
    </w:p>
    <w:p>
      <w:pPr>
        <w:pStyle w:val="Heading2"/>
      </w:pPr>
      <w:r>
        <w:t>4.5 Pre-consultation behaviour and the doctor–patient relationship</w:t>
      </w:r>
    </w:p>
    <w:p>
      <w:pPr>
        <w:spacing w:after="120"/>
        <w:ind w:firstLine="567"/>
        <w:jc w:val="both"/>
      </w:pPr>
      <w:r>
        <w:rPr>
          <w:rFonts w:ascii="Times New Roman" w:hAnsi="Times New Roman"/>
        </w:rPr>
        <w:t>The most common response after searching, delaying or skipping care because the information was reassuring (35%), is a double-edged finding. For self-limiting symptoms it may save unnecessary visits; for serious ones it represents a risk of delayed diagnosis. Notably, this behaviour was not related to health anxiety or cyberchondria, meaning it occurs across the spectrum and cannot be dismissed as a feature of anxious users. Conversely, cyberchondria was associated with urgent visits and emergency attendance and with fear-driven delay, although these associations did not survive FDR correction and are exploratory, mirroring evidence that health anxiety increases healthcare utilisation [7]. Thus online searching appears to push different people in opposite directions: towards complacency in some and towards over-use of services in others.</w:t>
      </w:r>
    </w:p>
    <w:p>
      <w:pPr>
        <w:spacing w:after="120"/>
        <w:ind w:firstLine="567"/>
        <w:jc w:val="both"/>
      </w:pPr>
      <w:r>
        <w:rPr>
          <w:rFonts w:ascii="Times New Roman" w:hAnsi="Times New Roman"/>
        </w:rPr>
        <w:t>The disclosure findings are clinically important. Almost a third of participants never told their doctor about their searches, for fear of being judged or dismissed, and those with higher health anxiety were more likely to conceal searching, whereas those with higher cyberchondria were more likely to disclose it. One interpretation is that health-anxious patients anticipate being labelled as "worried well" and hide their searching, while patients for whom searching is a dominant behaviour bring their findings to the consultation as part of reassurance seeking. Concealment matters because online information discussed openly can strengthen the doctor–patient relationship, whereas undisclosed information is more likely to undermine it [31]. One in three participants reported that searching had complicated their relationship with or reduced their trust in physicians, and this tended to be more likely at higher levels of cyberchondria (a borderline association).</w:t>
      </w:r>
    </w:p>
    <w:p>
      <w:pPr>
        <w:spacing w:after="120"/>
        <w:ind w:firstLine="567"/>
        <w:jc w:val="both"/>
      </w:pPr>
      <w:r>
        <w:rPr>
          <w:rFonts w:ascii="Times New Roman" w:hAnsi="Times New Roman"/>
        </w:rPr>
        <w:t>H4 is therefore only partially supported, and on exploratory evidence: the clearest behavioural finding is the opposite direction of health anxiety and cyberchondria for disclosure, which survived correction for multiple testing.</w:t>
      </w:r>
    </w:p>
    <w:p>
      <w:pPr>
        <w:pStyle w:val="Heading2"/>
      </w:pPr>
      <w:r>
        <w:t>4.6 Medical and health-science students</w:t>
      </w:r>
    </w:p>
    <w:p>
      <w:pPr>
        <w:spacing w:after="120"/>
        <w:ind w:firstLine="567"/>
        <w:jc w:val="both"/>
      </w:pPr>
      <w:r>
        <w:rPr>
          <w:rFonts w:ascii="Times New Roman" w:hAnsi="Times New Roman"/>
        </w:rPr>
        <w:t>Medical students had higher unadjusted health anxiety than non-health employees, but this difference disappeared after adjustment, largely reflecting their younger age; age was an independent predictor of elevated health anxiety. The SHAI–CSS correlation tended to be stronger among medical students. This is compatible with the idea of "medical student syndrome", but evidence for that concept is weak [51], and our data suggest that medical knowledge does not protect against cyberchondria (medical students' CSS scores were identical to those of other participants).</w:t>
      </w:r>
    </w:p>
    <w:p>
      <w:pPr>
        <w:pStyle w:val="Heading2"/>
      </w:pPr>
      <w:r>
        <w:t>4.7 Comparison with regional studies</w:t>
      </w:r>
    </w:p>
    <w:p>
      <w:pPr>
        <w:spacing w:after="120"/>
        <w:ind w:firstLine="567"/>
        <w:jc w:val="both"/>
      </w:pPr>
      <w:r>
        <w:rPr>
          <w:rFonts w:ascii="Times New Roman" w:hAnsi="Times New Roman"/>
        </w:rPr>
        <w:t>Our findings are in line with emerging Arab-region data. In Jeddah, cyberchondria was common and associated with smartphone addiction [32]; among Saudi primary-care patients, cyberchondria had a positive effect on health anxiety in structural models [33]; and the Arabic CSS-12 showed a structure similar to ours in Lebanon [15]. The good fit of the four-factor CSS-12 and the comparable reliability across Arabic and English responders add to the evidence that the instrument functions well in Arabic-speaking populations.</w:t>
      </w:r>
    </w:p>
    <w:p>
      <w:pPr>
        <w:pStyle w:val="Heading2"/>
      </w:pPr>
      <w:r>
        <w:t>4.8 Strengths and limitations</w:t>
      </w:r>
    </w:p>
    <w:p>
      <w:pPr>
        <w:spacing w:after="120"/>
        <w:ind w:firstLine="567"/>
        <w:jc w:val="both"/>
      </w:pPr>
      <w:r>
        <w:rPr>
          <w:rFonts w:ascii="Times New Roman" w:hAnsi="Times New Roman"/>
        </w:rPr>
        <w:t>Strengths of this study include the use of two established instruments with good reliability and confirmed structure; a bilingual questionnaire with empirical checks of language equivalence; the separate assessment of AI chatbots; complete data; correction for multiple testing; robust regression, bootstrap inference and several sensitivity analyses; and the linking of psychological measures to concrete behaviours relevant to clinical practice.</w:t>
      </w:r>
    </w:p>
    <w:p>
      <w:pPr>
        <w:spacing w:after="120"/>
        <w:ind w:firstLine="567"/>
        <w:jc w:val="both"/>
      </w:pPr>
      <w:r>
        <w:rPr>
          <w:rFonts w:ascii="Times New Roman" w:hAnsi="Times New Roman"/>
        </w:rPr>
        <w:t>The limitations are substantial and should be weighed carefully:</w:t>
      </w:r>
    </w:p>
    <w:p>
      <w:pPr>
        <w:pStyle w:val="ListBullet"/>
        <w:spacing w:after="60"/>
        <w:jc w:val="both"/>
      </w:pPr>
      <w:r>
        <w:rPr>
          <w:rFonts w:ascii="Times New Roman" w:hAnsi="Times New Roman"/>
          <w:b/>
        </w:rPr>
        <w:t>Design and causality:</w:t>
      </w:r>
      <w:r>
        <w:rPr>
          <w:rFonts w:ascii="Times New Roman" w:hAnsi="Times New Roman"/>
        </w:rPr>
        <w:t xml:space="preserve"> the cross-sectional design cannot establish temporal order; mediation results describe statistical pathways, not causal mechanisms, and may be biased relative to longitudinal effects.</w:t>
      </w:r>
    </w:p>
    <w:p>
      <w:pPr>
        <w:pStyle w:val="ListBullet"/>
        <w:spacing w:after="60"/>
        <w:jc w:val="both"/>
      </w:pPr>
      <w:r>
        <w:rPr>
          <w:rFonts w:ascii="Times New Roman" w:hAnsi="Times New Roman"/>
          <w:b/>
        </w:rPr>
        <w:t>Sampling and generalisability:</w:t>
      </w:r>
      <w:r>
        <w:rPr>
          <w:rFonts w:ascii="Times New Roman" w:hAnsi="Times New Roman"/>
        </w:rPr>
        <w:t xml:space="preserve"> an online convenience/snowball sample is subject to self-selection. The sample was young, highly educated and over-represented medical students (44.0%) and people with health backgrounds (63.3%), so prevalence estimates and the frequency of AI use cannot be generalised to the adult population of Baghdad. Residence in Baghdad was assured by the distribution channels rather than verified by a question, and non-Internet users, older adults and less-educated people are under-represented by design.</w:t>
      </w:r>
    </w:p>
    <w:p>
      <w:pPr>
        <w:pStyle w:val="ListBullet"/>
        <w:spacing w:after="60"/>
        <w:jc w:val="both"/>
      </w:pPr>
      <w:r>
        <w:rPr>
          <w:rFonts w:ascii="Times New Roman" w:hAnsi="Times New Roman"/>
          <w:b/>
        </w:rPr>
        <w:t>Measurement:</w:t>
      </w:r>
      <w:r>
        <w:rPr>
          <w:rFonts w:ascii="Times New Roman" w:hAnsi="Times New Roman"/>
        </w:rPr>
        <w:t xml:space="preserve"> the Arabic wording was produced by the research team without a formal forward–backward translation and cognitive pre-testing; equivalence was supported empirically (similar reliability, congruent loadings and equal means across language groups) but not established by formal measurement-invariance testing. Published Arabic versions of both scales exist [15,41] but were not used, so comparability with Arabic studies that used them is uncertain. On the form, the response options of some SHAI items were displayed in an order that differed from the original scale; although scoring followed the original key, the changed order may have influenced how people answered. "Language relied on" was self-selected, not randomised. The SHAI-14 showed only moderate fit under maximum-likelihood estimation. The SHAI cut-off was derived in Sweden, and the CSS-12 has no validated clinical cut-off, so the "high cyberchondria" group is sample-relative.</w:t>
      </w:r>
    </w:p>
    <w:p>
      <w:pPr>
        <w:pStyle w:val="ListBullet"/>
        <w:spacing w:after="60"/>
        <w:jc w:val="both"/>
      </w:pPr>
      <w:r>
        <w:rPr>
          <w:rFonts w:ascii="Times New Roman" w:hAnsi="Times New Roman"/>
          <w:b/>
        </w:rPr>
        <w:t>Single-item and self-designed measures:</w:t>
      </w:r>
      <w:r>
        <w:rPr>
          <w:rFonts w:ascii="Times New Roman" w:hAnsi="Times New Roman"/>
        </w:rPr>
        <w:t xml:space="preserve"> trust, motivations, behaviours, disclosure and relationship were assessed with single, non-validated items, some allowing multiple answers; the questionnaire asked for "most frequent" behaviours rather than their frequency.</w:t>
      </w:r>
    </w:p>
    <w:p>
      <w:pPr>
        <w:pStyle w:val="ListBullet"/>
        <w:spacing w:after="60"/>
        <w:jc w:val="both"/>
      </w:pPr>
      <w:r>
        <w:rPr>
          <w:rFonts w:ascii="Times New Roman" w:hAnsi="Times New Roman"/>
          <w:b/>
        </w:rPr>
        <w:t>Self-report bias:</w:t>
      </w:r>
      <w:r>
        <w:rPr>
          <w:rFonts w:ascii="Times New Roman" w:hAnsi="Times New Roman"/>
        </w:rPr>
        <w:t xml:space="preserve"> all measures were self-reported and may be affected by recall and social desirability bias; no clinical data or diagnoses were available, and chronic disease was self-reported.</w:t>
      </w:r>
    </w:p>
    <w:p>
      <w:pPr>
        <w:pStyle w:val="ListBullet"/>
        <w:spacing w:after="60"/>
        <w:jc w:val="both"/>
      </w:pPr>
      <w:r>
        <w:rPr>
          <w:rFonts w:ascii="Times New Roman" w:hAnsi="Times New Roman"/>
          <w:b/>
        </w:rPr>
        <w:t>Multiple testing and power:</w:t>
      </w:r>
      <w:r>
        <w:rPr>
          <w:rFonts w:ascii="Times New Roman" w:hAnsi="Times New Roman"/>
        </w:rPr>
        <w:t xml:space="preserve"> despite FDR correction, the large number of exploratory tests means that some isolated associations may be false positives; several behavioural associations were nominally significant only. Some subgroups (non-AI users, n = 34; healthcare workers, n = 15; older age groups) were small, and the logistic model for clinical health anxiety had about five events per predictor.</w:t>
      </w:r>
    </w:p>
    <w:p>
      <w:pPr>
        <w:pStyle w:val="ListBullet"/>
        <w:spacing w:after="60"/>
        <w:jc w:val="both"/>
      </w:pPr>
      <w:r>
        <w:rPr>
          <w:rFonts w:ascii="Times New Roman" w:hAnsi="Times New Roman"/>
          <w:b/>
        </w:rPr>
        <w:t>Classification of AI use:</w:t>
      </w:r>
      <w:r>
        <w:rPr>
          <w:rFonts w:ascii="Times New Roman" w:hAnsi="Times New Roman"/>
        </w:rPr>
        <w:t xml:space="preserve"> 32 respondents named an AI chatbot without ticking the AI option. They were classed as users, and the independent association between AI use and cyberchondria depended on this decision, so it should be regarded as tentative.</w:t>
      </w:r>
    </w:p>
    <w:p>
      <w:pPr>
        <w:pStyle w:val="ListBullet"/>
        <w:spacing w:after="60"/>
        <w:jc w:val="both"/>
      </w:pPr>
      <w:r>
        <w:rPr>
          <w:rFonts w:ascii="Times New Roman" w:hAnsi="Times New Roman"/>
          <w:b/>
        </w:rPr>
        <w:t>Data quality:</w:t>
      </w:r>
      <w:r>
        <w:rPr>
          <w:rFonts w:ascii="Times New Roman" w:hAnsi="Times New Roman"/>
        </w:rPr>
        <w:t xml:space="preserve"> an online survey cannot exclude careless responding entirely; nine straight-line responders were identified, although their exclusion did not change the results.</w:t>
      </w:r>
    </w:p>
    <w:p>
      <w:pPr>
        <w:pStyle w:val="Heading1"/>
      </w:pPr>
      <w:r>
        <w:t>5. Conclusions and Recommendations</w:t>
      </w:r>
    </w:p>
    <w:p>
      <w:pPr>
        <w:pStyle w:val="Heading2"/>
      </w:pPr>
      <w:r>
        <w:t>5.1 Conclusions</w:t>
      </w:r>
    </w:p>
    <w:p>
      <w:pPr>
        <w:tabs>
          <w:tab w:pos="510" w:val="left"/>
        </w:tabs>
        <w:spacing w:after="60"/>
        <w:ind w:left="510" w:hanging="510"/>
        <w:jc w:val="both"/>
      </w:pPr>
      <w:r>
        <w:rPr>
          <w:rFonts w:ascii="Times New Roman" w:hAnsi="Times New Roman"/>
        </w:rPr>
        <w:t>1.</w:t>
        <w:tab/>
        <w:t>AI chatbots, mainly ChatGPT, have become the leading source of pre-consultation health information among digitally active adults in Baghdad, used by 88.7% of participants, ahead of search engines.</w:t>
      </w:r>
    </w:p>
    <w:p>
      <w:pPr>
        <w:tabs>
          <w:tab w:pos="510" w:val="left"/>
        </w:tabs>
        <w:spacing w:after="60"/>
        <w:ind w:left="510" w:hanging="510"/>
        <w:jc w:val="both"/>
      </w:pPr>
      <w:r>
        <w:rPr>
          <w:rFonts w:ascii="Times New Roman" w:hAnsi="Times New Roman"/>
        </w:rPr>
        <w:t>2.</w:t>
        <w:tab/>
        <w:t>About one in five participants (19%) had elevated health anxiety (SHAI ≥ 18, a screening threshold rather than a diagnosis; 0.7% at the stricter cut-off of 29), and younger people and those searching for instant reassurance were most affected.</w:t>
      </w:r>
    </w:p>
    <w:p>
      <w:pPr>
        <w:tabs>
          <w:tab w:pos="510" w:val="left"/>
        </w:tabs>
        <w:spacing w:after="60"/>
        <w:ind w:left="510" w:hanging="510"/>
        <w:jc w:val="both"/>
      </w:pPr>
      <w:r>
        <w:rPr>
          <w:rFonts w:ascii="Times New Roman" w:hAnsi="Times New Roman"/>
        </w:rPr>
        <w:t>3.</w:t>
        <w:tab/>
        <w:t>Health anxiety and cyberchondria are moderately and robustly associated (r = 0.47); health anxiety is the strongest independent predictor of cyberchondria, especially of excessive searching and post-search distress.</w:t>
      </w:r>
    </w:p>
    <w:p>
      <w:pPr>
        <w:tabs>
          <w:tab w:pos="510" w:val="left"/>
        </w:tabs>
        <w:spacing w:after="60"/>
        <w:ind w:left="510" w:hanging="510"/>
        <w:jc w:val="both"/>
      </w:pPr>
      <w:r>
        <w:rPr>
          <w:rFonts w:ascii="Times New Roman" w:hAnsi="Times New Roman"/>
        </w:rPr>
        <w:t>4.</w:t>
        <w:tab/>
        <w:t>The pattern of associations is consistent with a reinforcing cycle (health anxiety → excessive searching → distress → reassurance-seeking consultations), although the cross-sectional design cannot prove its direction.</w:t>
      </w:r>
    </w:p>
    <w:p>
      <w:pPr>
        <w:tabs>
          <w:tab w:pos="510" w:val="left"/>
        </w:tabs>
        <w:spacing w:after="60"/>
        <w:ind w:left="510" w:hanging="510"/>
        <w:jc w:val="both"/>
      </w:pPr>
      <w:r>
        <w:rPr>
          <w:rFonts w:ascii="Times New Roman" w:hAnsi="Times New Roman"/>
        </w:rPr>
        <w:t>5.</w:t>
        <w:tab/>
        <w:t>AI-chatbot use is associated with higher cyberchondria, mainly excessive searching and reassurance seeking, although this depends on how inconsistent answers are classified; AI use does not change the strength of the health anxiety–cyberchondria link.</w:t>
      </w:r>
    </w:p>
    <w:p>
      <w:pPr>
        <w:tabs>
          <w:tab w:pos="510" w:val="left"/>
        </w:tabs>
        <w:spacing w:after="60"/>
        <w:ind w:left="510" w:hanging="510"/>
        <w:jc w:val="both"/>
      </w:pPr>
      <w:r>
        <w:rPr>
          <w:rFonts w:ascii="Times New Roman" w:hAnsi="Times New Roman"/>
        </w:rPr>
        <w:t>6.</w:t>
        <w:tab/>
        <w:t>Online searching shapes the consultation: one-third of participants delay care because they feel reassured, one-third never disclose their searches to their doctor, and one-third report a negative effect on their relationship with or trust in physicians. Higher cyberchondria may be linked with urgent care-seeking and a more strained relationship, although these associations were exploratory.</w:t>
      </w:r>
    </w:p>
    <w:p>
      <w:pPr>
        <w:pStyle w:val="Heading2"/>
      </w:pPr>
      <w:r>
        <w:t>5.2 Recommendations</w:t>
      </w:r>
    </w:p>
    <w:p>
      <w:pPr>
        <w:spacing w:after="120"/>
        <w:jc w:val="both"/>
      </w:pPr>
      <w:r>
        <w:rPr>
          <w:rFonts w:ascii="Times New Roman" w:hAnsi="Times New Roman"/>
          <w:b/>
        </w:rPr>
        <w:t>For clinicians and medical education:</w:t>
      </w:r>
    </w:p>
    <w:p>
      <w:pPr>
        <w:pStyle w:val="ListBullet"/>
        <w:spacing w:after="60"/>
        <w:jc w:val="both"/>
      </w:pPr>
      <w:r>
        <w:rPr>
          <w:rFonts w:ascii="Times New Roman" w:hAnsi="Times New Roman"/>
        </w:rPr>
        <w:t>Routinely and non-judgementally ask patients what they have searched for or asked an AI chatbot, to bring hidden information into the consultation and reduce concealment.</w:t>
      </w:r>
    </w:p>
    <w:p>
      <w:pPr>
        <w:pStyle w:val="ListBullet"/>
        <w:spacing w:after="60"/>
        <w:jc w:val="both"/>
      </w:pPr>
      <w:r>
        <w:rPr>
          <w:rFonts w:ascii="Times New Roman" w:hAnsi="Times New Roman"/>
        </w:rPr>
        <w:t>Recognise repeated searching, post-search distress and repeated reassurance seeking as possible markers of health anxiety, and screen with a brief tool such as the SHAI where appropriate; offer cognitive-behavioural strategies rather than repeated reassurance or investigations.</w:t>
      </w:r>
    </w:p>
    <w:p>
      <w:pPr>
        <w:pStyle w:val="ListBullet"/>
        <w:spacing w:after="60"/>
        <w:jc w:val="both"/>
      </w:pPr>
      <w:r>
        <w:rPr>
          <w:rFonts w:ascii="Times New Roman" w:hAnsi="Times New Roman"/>
        </w:rPr>
        <w:t>Include digital health communication, AI literacy and the management of health anxiety in undergraduate medical curricula, and support medical students who may themselves be vulnerable.</w:t>
      </w:r>
    </w:p>
    <w:p>
      <w:pPr>
        <w:spacing w:after="120"/>
        <w:jc w:val="both"/>
      </w:pPr>
      <w:r>
        <w:rPr>
          <w:rFonts w:ascii="Times New Roman" w:hAnsi="Times New Roman"/>
          <w:b/>
        </w:rPr>
        <w:t>For the Ministry of Health and public-health bodies:</w:t>
      </w:r>
    </w:p>
    <w:p>
      <w:pPr>
        <w:pStyle w:val="ListBullet"/>
        <w:spacing w:after="60"/>
        <w:jc w:val="both"/>
      </w:pPr>
      <w:r>
        <w:rPr>
          <w:rFonts w:ascii="Times New Roman" w:hAnsi="Times New Roman"/>
        </w:rPr>
        <w:t>Develop campaigns on digital and AI health literacy that explain both the uses and the limits of online information, especially false reassurance that leads to delayed care.</w:t>
      </w:r>
    </w:p>
    <w:p>
      <w:pPr>
        <w:pStyle w:val="ListBullet"/>
        <w:spacing w:after="60"/>
        <w:jc w:val="both"/>
      </w:pPr>
      <w:r>
        <w:rPr>
          <w:rFonts w:ascii="Times New Roman" w:hAnsi="Times New Roman"/>
        </w:rPr>
        <w:t>Provide or endorse reliable Arabic-language health information sources and triage services so that people searching for "whether I need a doctor" are directed to safe advice.</w:t>
      </w:r>
    </w:p>
    <w:p>
      <w:pPr>
        <w:spacing w:after="120"/>
        <w:jc w:val="both"/>
      </w:pPr>
      <w:r>
        <w:rPr>
          <w:rFonts w:ascii="Times New Roman" w:hAnsi="Times New Roman"/>
          <w:b/>
        </w:rPr>
        <w:t>For developers of AI tools:</w:t>
      </w:r>
    </w:p>
    <w:p>
      <w:pPr>
        <w:pStyle w:val="ListBullet"/>
        <w:spacing w:after="60"/>
        <w:jc w:val="both"/>
      </w:pPr>
      <w:r>
        <w:rPr>
          <w:rFonts w:ascii="Times New Roman" w:hAnsi="Times New Roman"/>
        </w:rPr>
        <w:t>Design health responses that recognise signs of health anxiety (e.g. repeated questions about the same symptom), avoid escalating rare diagnoses without context, and encourage appropriate professional consultation, in Arabic as well as English.</w:t>
      </w:r>
    </w:p>
    <w:p>
      <w:pPr>
        <w:spacing w:after="120"/>
        <w:jc w:val="both"/>
      </w:pPr>
      <w:r>
        <w:rPr>
          <w:rFonts w:ascii="Times New Roman" w:hAnsi="Times New Roman"/>
          <w:b/>
        </w:rPr>
        <w:t>For future research:</w:t>
      </w:r>
    </w:p>
    <w:p>
      <w:pPr>
        <w:pStyle w:val="ListBullet"/>
        <w:spacing w:after="60"/>
        <w:jc w:val="both"/>
      </w:pPr>
      <w:r>
        <w:rPr>
          <w:rFonts w:ascii="Times New Roman" w:hAnsi="Times New Roman"/>
        </w:rPr>
        <w:t>Develop and test interventions: ClinicalTrials.gov lists only nine registered studies on cyberchondria (October 2026), none in Iraq and six of them observational and three interventional [52], so trials of brief digital health-literacy or cognitive-behavioural interventions in Arabic are a clear gap.</w:t>
      </w:r>
    </w:p>
    <w:p>
      <w:pPr>
        <w:pStyle w:val="ListBullet"/>
        <w:spacing w:after="60"/>
        <w:jc w:val="both"/>
      </w:pPr>
      <w:r>
        <w:rPr>
          <w:rFonts w:ascii="Times New Roman" w:hAnsi="Times New Roman"/>
        </w:rPr>
        <w:t>Conduct longitudinal or experience-sampling studies to test whether health anxiety and cyberchondria reinforce each other over time, and experimental studies comparing AI chatbot and search-engine answers on post-search anxiety.</w:t>
      </w:r>
    </w:p>
    <w:p>
      <w:pPr>
        <w:pStyle w:val="ListBullet"/>
        <w:spacing w:after="60"/>
        <w:jc w:val="both"/>
      </w:pPr>
      <w:r>
        <w:rPr>
          <w:rFonts w:ascii="Times New Roman" w:hAnsi="Times New Roman"/>
        </w:rPr>
        <w:t>Use probability sampling of the general Baghdad population, including older and less-educated adults, and validate the Arabic SHAI-14 and CSS-12 formally (forward–backward translation, measurement invariance and clinical cut-offs).</w:t>
      </w:r>
    </w:p>
    <w:p>
      <w:pPr>
        <w:pStyle w:val="ListBullet"/>
        <w:spacing w:after="60"/>
        <w:jc w:val="both"/>
      </w:pPr>
      <w:r>
        <w:rPr>
          <w:rFonts w:ascii="Times New Roman" w:hAnsi="Times New Roman"/>
        </w:rPr>
        <w:t>Link self-reported behaviours to objective healthcare utilisation and clinical outcomes, especially delayed diagnosis following false reassurance.</w:t>
      </w:r>
    </w:p>
    <w:p>
      <w:pPr>
        <w:pStyle w:val="Heading1"/>
      </w:pPr>
      <w:r>
        <w:t>6. References</w:t>
      </w:r>
    </w:p>
    <w:p>
      <w:pPr>
        <w:spacing w:line="276" w:lineRule="auto" w:after="80"/>
        <w:ind w:left="454" w:hanging="454"/>
        <w:jc w:val="left"/>
      </w:pPr>
      <w:r>
        <w:rPr>
          <w:sz w:val="24"/>
        </w:rPr>
        <w:t>1.</w:t>
        <w:tab/>
        <w:t>White RW, Horvitz E. Cyberchondria: studies of the escalation of medical concerns in Web search. ACM Trans Inf Syst. 2009;27(4):1-37. doi:10.1145/1629096.1629101</w:t>
      </w:r>
    </w:p>
    <w:p>
      <w:pPr>
        <w:spacing w:line="276" w:lineRule="auto" w:after="80"/>
        <w:ind w:left="454" w:hanging="454"/>
        <w:jc w:val="left"/>
      </w:pPr>
      <w:r>
        <w:rPr>
          <w:sz w:val="24"/>
        </w:rPr>
        <w:t>2.</w:t>
        <w:tab/>
        <w:t>Starcevic V, Berle D. Cyberchondria: towards a better understanding of excessive health-related Internet use. Expert Rev Neurother. 2013;13(2):205-13. doi:10.1586/ern.12.162</w:t>
      </w:r>
    </w:p>
    <w:p>
      <w:pPr>
        <w:spacing w:line="276" w:lineRule="auto" w:after="80"/>
        <w:ind w:left="454" w:hanging="454"/>
        <w:jc w:val="left"/>
      </w:pPr>
      <w:r>
        <w:rPr>
          <w:sz w:val="24"/>
        </w:rPr>
        <w:t>3.</w:t>
        <w:tab/>
        <w:t>Kemp S. Digital 2025: Iraq [Internet]. DataReportal; 2025 [cited 2026 Oct 15]. Available from: https://datareportal.com/reports/digital-2025-iraq</w:t>
      </w:r>
    </w:p>
    <w:p>
      <w:pPr>
        <w:spacing w:line="276" w:lineRule="auto" w:after="80"/>
        <w:ind w:left="454" w:hanging="454"/>
        <w:jc w:val="left"/>
      </w:pPr>
      <w:r>
        <w:rPr>
          <w:sz w:val="24"/>
        </w:rPr>
        <w:t>4.</w:t>
        <w:tab/>
        <w:t>American Psychiatric Association. Diagnostic and statistical manual of mental disorders. 5th ed. Arlington (VA): American Psychiatric Publishing; 2013.</w:t>
      </w:r>
    </w:p>
    <w:p>
      <w:pPr>
        <w:spacing w:line="276" w:lineRule="auto" w:after="80"/>
        <w:ind w:left="454" w:hanging="454"/>
        <w:jc w:val="left"/>
      </w:pPr>
      <w:r>
        <w:rPr>
          <w:sz w:val="24"/>
        </w:rPr>
        <w:t>5.</w:t>
        <w:tab/>
        <w:t>Salkovskis PM, Warwick HMC. Morbid preoccupations, health anxiety and reassurance: a cognitive-behavioural approach to hypochondriasis. Behav Res Ther. 1986;24(5):597-602. doi:10.1016/0005-7967(86)90041-0</w:t>
      </w:r>
    </w:p>
    <w:p>
      <w:pPr>
        <w:spacing w:line="276" w:lineRule="auto" w:after="80"/>
        <w:ind w:left="454" w:hanging="454"/>
        <w:jc w:val="left"/>
      </w:pPr>
      <w:r>
        <w:rPr>
          <w:sz w:val="24"/>
        </w:rPr>
        <w:t>6.</w:t>
        <w:tab/>
        <w:t>Sunderland M, Newby JM, Andrews G. Health anxiety in Australia: prevalence, comorbidity, disability and service use. Br J Psychiatry. 2013;202(1):56-61. doi:10.1192/bjp.bp.111.103960</w:t>
      </w:r>
    </w:p>
    <w:p>
      <w:pPr>
        <w:spacing w:line="276" w:lineRule="auto" w:after="80"/>
        <w:ind w:left="454" w:hanging="454"/>
        <w:jc w:val="left"/>
      </w:pPr>
      <w:r>
        <w:rPr>
          <w:sz w:val="24"/>
        </w:rPr>
        <w:t>7.</w:t>
        <w:tab/>
        <w:t>Barsky AJ, Ettner SL, Horsky J, Bates DW. Resource utilization of patients with hypochondriacal health anxiety and somatization. Med Care. 2001;39(7):705-15. doi:10.1097/00005650-200107000-00007</w:t>
      </w:r>
    </w:p>
    <w:p>
      <w:pPr>
        <w:spacing w:line="276" w:lineRule="auto" w:after="80"/>
        <w:ind w:left="454" w:hanging="454"/>
        <w:jc w:val="left"/>
      </w:pPr>
      <w:r>
        <w:rPr>
          <w:sz w:val="24"/>
        </w:rPr>
        <w:t>8.</w:t>
        <w:tab/>
        <w:t>Karim SK, Taha PH, Amin NMM, Ahmed HS, Yousif MK, Hallumy AM. COVID-19-related anxiety disorder in Iraq during the pandemic: an online cross-sectional study. Middle East Curr Psychiatry. 2020;27(1):55. doi:10.1186/s43045-020-00067-4</w:t>
      </w:r>
    </w:p>
    <w:p>
      <w:pPr>
        <w:spacing w:line="276" w:lineRule="auto" w:after="80"/>
        <w:ind w:left="454" w:hanging="454"/>
        <w:jc w:val="left"/>
      </w:pPr>
      <w:r>
        <w:rPr>
          <w:sz w:val="24"/>
        </w:rPr>
        <w:t>9.</w:t>
        <w:tab/>
        <w:t>Taha PH. Home quarantine induced health anxiety during the beginning of the COVID-19 pandemic: evidence from Iraq. Disaster Med Public Health Prep. 2023;17:e26. Epub 2021 Jul 26. doi:10.1017/dmp.2021.242</w:t>
      </w:r>
    </w:p>
    <w:p>
      <w:pPr>
        <w:spacing w:line="276" w:lineRule="auto" w:after="80"/>
        <w:ind w:left="454" w:hanging="454"/>
        <w:jc w:val="left"/>
      </w:pPr>
      <w:r>
        <w:rPr>
          <w:sz w:val="24"/>
        </w:rPr>
        <w:t>10.</w:t>
        <w:tab/>
        <w:t>Starcevic V. Cyberchondria: challenges of problematic online searches for health-related information. Psychother Psychosom. 2017;86(3):129-33. doi:10.1159/000465525</w:t>
      </w:r>
    </w:p>
    <w:p>
      <w:pPr>
        <w:spacing w:line="276" w:lineRule="auto" w:after="80"/>
        <w:ind w:left="454" w:hanging="454"/>
        <w:jc w:val="left"/>
      </w:pPr>
      <w:r>
        <w:rPr>
          <w:sz w:val="24"/>
        </w:rPr>
        <w:t>11.</w:t>
        <w:tab/>
        <w:t>Starcevic V, Berle D, Arnáez S. Recent insights into cyberchondria. Curr Psychiatry Rep. 2020;22(11):56. doi:10.1007/s11920-020-01179-8</w:t>
      </w:r>
    </w:p>
    <w:p>
      <w:pPr>
        <w:spacing w:line="276" w:lineRule="auto" w:after="80"/>
        <w:ind w:left="454" w:hanging="454"/>
        <w:jc w:val="left"/>
      </w:pPr>
      <w:r>
        <w:rPr>
          <w:sz w:val="24"/>
        </w:rPr>
        <w:t>12.</w:t>
        <w:tab/>
        <w:t>Vismara M, Caricasole V, Starcevic V, Cinosi E, Dell'Osso B, Martinotti G, et al. Is cyberchondria a new transdiagnostic digital compulsive syndrome? A systematic review of the evidence. Compr Psychiatry. 2020;99:152167. doi:10.1016/j.comppsych.2020.152167</w:t>
      </w:r>
    </w:p>
    <w:p>
      <w:pPr>
        <w:spacing w:line="276" w:lineRule="auto" w:after="80"/>
        <w:ind w:left="454" w:hanging="454"/>
        <w:jc w:val="left"/>
      </w:pPr>
      <w:r>
        <w:rPr>
          <w:sz w:val="24"/>
        </w:rPr>
        <w:t>13.</w:t>
        <w:tab/>
        <w:t>McElroy E, Shevlin M. The development and initial validation of the cyberchondria severity scale (CSS). J Anxiety Disord. 2014;28(2):259-65. doi:10.1016/j.janxdis.2013.12.007</w:t>
      </w:r>
    </w:p>
    <w:p>
      <w:pPr>
        <w:spacing w:line="276" w:lineRule="auto" w:after="80"/>
        <w:ind w:left="454" w:hanging="454"/>
        <w:jc w:val="left"/>
      </w:pPr>
      <w:r>
        <w:rPr>
          <w:sz w:val="24"/>
        </w:rPr>
        <w:t>14.</w:t>
        <w:tab/>
        <w:t>McElroy E, Kearney M, Touhey J, Evans J, Cooke Y, Shevlin M. The CSS-12: development and validation of a short-form version of the cyberchondria severity scale. Cyberpsychol Behav Soc Netw. 2019;22(5):330-5. doi:10.1089/cyber.2018.0624</w:t>
      </w:r>
    </w:p>
    <w:p>
      <w:pPr>
        <w:spacing w:line="276" w:lineRule="auto" w:after="80"/>
        <w:ind w:left="454" w:hanging="454"/>
        <w:jc w:val="left"/>
      </w:pPr>
      <w:r>
        <w:rPr>
          <w:sz w:val="24"/>
        </w:rPr>
        <w:t>15.</w:t>
        <w:tab/>
        <w:t>Hallit S, Rogoza R, Abi Semaan C, Azzi V, Sawma T, Obeid S. Validation of the Arabic version of the cyberchondria severity scale 12 items (CSS-12-Ar) among a sample of Lebanese adults. BMC Psychiatry. 2023;23(1):618. doi:10.1186/s12888-023-05123-x</w:t>
      </w:r>
    </w:p>
    <w:p>
      <w:pPr>
        <w:spacing w:line="276" w:lineRule="auto" w:after="80"/>
        <w:ind w:left="454" w:hanging="454"/>
        <w:jc w:val="left"/>
      </w:pPr>
      <w:r>
        <w:rPr>
          <w:sz w:val="24"/>
        </w:rPr>
        <w:t>16.</w:t>
        <w:tab/>
        <w:t>Muse K, McManus F, Leung C, Meghreblian B, Williams JMG. Cyberchondriasis: fact or fiction? A preliminary examination of the relationship between health anxiety and searching for health information on the Internet. J Anxiety Disord. 2012;26(1):189-96. doi:10.1016/j.janxdis.2011.11.005</w:t>
      </w:r>
    </w:p>
    <w:p>
      <w:pPr>
        <w:spacing w:line="276" w:lineRule="auto" w:after="80"/>
        <w:ind w:left="454" w:hanging="454"/>
        <w:jc w:val="left"/>
      </w:pPr>
      <w:r>
        <w:rPr>
          <w:sz w:val="24"/>
        </w:rPr>
        <w:t>17.</w:t>
        <w:tab/>
        <w:t>Doherty-Torstrick ER, Walton KE, Fallon BA. Cyberchondria: parsing health anxiety from online behavior. Psychosomatics. 2016;57(4):390-400. doi:10.1016/j.psym.2016.02.002</w:t>
      </w:r>
    </w:p>
    <w:p>
      <w:pPr>
        <w:spacing w:line="276" w:lineRule="auto" w:after="80"/>
        <w:ind w:left="454" w:hanging="454"/>
        <w:jc w:val="left"/>
      </w:pPr>
      <w:r>
        <w:rPr>
          <w:sz w:val="24"/>
        </w:rPr>
        <w:t>18.</w:t>
        <w:tab/>
        <w:t>McMullan RD, Berle D, Arnáez S, Starcevic V. The relationships between health anxiety, online health information seeking, and cyberchondria: systematic review and meta-analysis. J Affect Disord. 2019;245:270-8. doi:10.1016/j.jad.2018.11.037</w:t>
      </w:r>
    </w:p>
    <w:p>
      <w:pPr>
        <w:spacing w:line="276" w:lineRule="auto" w:after="80"/>
        <w:ind w:left="454" w:hanging="454"/>
        <w:jc w:val="left"/>
      </w:pPr>
      <w:r>
        <w:rPr>
          <w:sz w:val="24"/>
        </w:rPr>
        <w:t>19.</w:t>
        <w:tab/>
        <w:t>Schenkel SK, Jungmann SM, Gropalis M, Witthöft M. Conceptualizations of cyberchondria and relations to the anxiety spectrum: systematic review and meta-analysis. J Med Internet Res. 2021;23(11):e27835. doi:10.2196/27835</w:t>
      </w:r>
    </w:p>
    <w:p>
      <w:pPr>
        <w:spacing w:line="276" w:lineRule="auto" w:after="80"/>
        <w:ind w:left="454" w:hanging="454"/>
        <w:jc w:val="left"/>
      </w:pPr>
      <w:r>
        <w:rPr>
          <w:sz w:val="24"/>
        </w:rPr>
        <w:t>20.</w:t>
        <w:tab/>
        <w:t>Fergus TA. Cyberchondria and intolerance of uncertainty: examining when individuals experience health anxiety in response to Internet searches for medical information. Cyberpsychol Behav Soc Netw. 2013;16(10):735-9. doi:10.1089/cyber.2012.0671</w:t>
      </w:r>
    </w:p>
    <w:p>
      <w:pPr>
        <w:spacing w:line="276" w:lineRule="auto" w:after="80"/>
        <w:ind w:left="454" w:hanging="454"/>
        <w:jc w:val="left"/>
      </w:pPr>
      <w:r>
        <w:rPr>
          <w:sz w:val="24"/>
        </w:rPr>
        <w:t>21.</w:t>
        <w:tab/>
        <w:t>te Poel F, Baumgartner SE, Hartmann T, Tanis M. The curious case of cyberchondria: a longitudinal study on the reciprocal relationship between health anxiety and online health information seeking. J Anxiety Disord. 2016;43:32-40. doi:10.1016/j.janxdis.2016.07.009</w:t>
      </w:r>
    </w:p>
    <w:p>
      <w:pPr>
        <w:spacing w:line="276" w:lineRule="auto" w:after="80"/>
        <w:ind w:left="454" w:hanging="454"/>
        <w:jc w:val="left"/>
      </w:pPr>
      <w:r>
        <w:rPr>
          <w:sz w:val="24"/>
        </w:rPr>
        <w:t>22.</w:t>
        <w:tab/>
        <w:t>Jokic-Begic N, Lauri Korajlija A, Mikac U. Cyberchondria in the age of COVID-19. PLoS One. 2020;15(12):e0243704. doi:10.1371/journal.pone.0243704</w:t>
      </w:r>
    </w:p>
    <w:p>
      <w:pPr>
        <w:spacing w:line="276" w:lineRule="auto" w:after="80"/>
        <w:ind w:left="454" w:hanging="454"/>
        <w:jc w:val="left"/>
      </w:pPr>
      <w:r>
        <w:rPr>
          <w:sz w:val="24"/>
        </w:rPr>
        <w:t>23.</w:t>
        <w:tab/>
        <w:t>Kurcer MA, Erdogan Z, Cakir Kardes V. The effect of the COVID-19 pandemic on health anxiety and cyberchondria levels of university students. Perspect Psychiatr Care. 2022;58(1):132-40. doi:10.1111/ppc.12850</w:t>
      </w:r>
    </w:p>
    <w:p>
      <w:pPr>
        <w:spacing w:line="276" w:lineRule="auto" w:after="80"/>
        <w:ind w:left="454" w:hanging="454"/>
        <w:jc w:val="left"/>
      </w:pPr>
      <w:r>
        <w:rPr>
          <w:sz w:val="24"/>
        </w:rPr>
        <w:t>24.</w:t>
        <w:tab/>
        <w:t>Miezah D, Adzakpa R, Bani EMA, Obeng P. Prevalence and associated factors of cyberchondria: a scoping review. ScientificWorldJournal. 2026;2026:9950027. doi:10.1155/tswj/9950027</w:t>
      </w:r>
    </w:p>
    <w:p>
      <w:pPr>
        <w:spacing w:line="276" w:lineRule="auto" w:after="80"/>
        <w:ind w:left="454" w:hanging="454"/>
        <w:jc w:val="left"/>
      </w:pPr>
      <w:r>
        <w:rPr>
          <w:sz w:val="24"/>
        </w:rPr>
        <w:t>25.</w:t>
        <w:tab/>
        <w:t>Thirunavukarasu AJ, Ting DSJ, Elangovan K, Gutierrez L, Tan TF, Ting DSW. Large language models in medicine. Nat Med. 2023;29(8):1930-40. doi:10.1038/s41591-023-02448-8</w:t>
      </w:r>
    </w:p>
    <w:p>
      <w:pPr>
        <w:spacing w:line="276" w:lineRule="auto" w:after="80"/>
        <w:ind w:left="454" w:hanging="454"/>
        <w:jc w:val="left"/>
      </w:pPr>
      <w:r>
        <w:rPr>
          <w:sz w:val="24"/>
        </w:rPr>
        <w:t>26.</w:t>
        <w:tab/>
        <w:t>Ayers JW, Poliak A, Dredze M, Leas EC, Zhu Z, Kelley JB, et al. Comparing physician and artificial intelligence chatbot responses to patient questions posted to a public social media forum. JAMA Intern Med. 2023;183(6):589-96. doi:10.1001/jamainternmed.2023.1838</w:t>
      </w:r>
    </w:p>
    <w:p>
      <w:pPr>
        <w:spacing w:line="276" w:lineRule="auto" w:after="80"/>
        <w:ind w:left="454" w:hanging="454"/>
        <w:jc w:val="left"/>
      </w:pPr>
      <w:r>
        <w:rPr>
          <w:sz w:val="24"/>
        </w:rPr>
        <w:t>27.</w:t>
        <w:tab/>
        <w:t>Ayo-Ajibola O, Davis RJ, Lin ME, Riddell J, Kravitz RL. Characterizing the adoption and experiences of users of artificial intelligence-generated health information in the United States: cross-sectional questionnaire study. J Med Internet Res. 2024;26:e55138. doi:10.2196/55138</w:t>
      </w:r>
    </w:p>
    <w:p>
      <w:pPr>
        <w:spacing w:line="276" w:lineRule="auto" w:after="80"/>
        <w:ind w:left="454" w:hanging="454"/>
        <w:jc w:val="left"/>
      </w:pPr>
      <w:r>
        <w:rPr>
          <w:sz w:val="24"/>
        </w:rPr>
        <w:t>28.</w:t>
        <w:tab/>
        <w:t>Wetzel AJ, Klemmt M, Müller R, Rieger MA, Joos S, Koch R. Only the anxious ones? Identifying characteristics of symptom checker app users: a cross-sectional survey. BMC Med Inform Decis Mak. 2024;24(1):21. doi:10.1186/s12911-024-02430-5</w:t>
      </w:r>
    </w:p>
    <w:p>
      <w:pPr>
        <w:spacing w:line="276" w:lineRule="auto" w:after="80"/>
        <w:ind w:left="454" w:hanging="454"/>
        <w:jc w:val="left"/>
      </w:pPr>
      <w:r>
        <w:rPr>
          <w:sz w:val="24"/>
        </w:rPr>
        <w:t>29.</w:t>
        <w:tab/>
        <w:t>Svestkova A, Huang Y, Smahel D. Factors that influence trust and willingness to use generative AI for health information: a cross-sectional study. Digit Health. 2025;11:20552076251360973. doi:10.1177/20552076251360973</w:t>
      </w:r>
    </w:p>
    <w:p>
      <w:pPr>
        <w:spacing w:line="276" w:lineRule="auto" w:after="80"/>
        <w:ind w:left="454" w:hanging="454"/>
        <w:jc w:val="left"/>
      </w:pPr>
      <w:r>
        <w:rPr>
          <w:sz w:val="24"/>
        </w:rPr>
        <w:t>30.</w:t>
        <w:tab/>
        <w:t>Dığış M, Kaya K, Demir B, Çiçek İN, Akdağ D, Akdağ Ş. Frequency of use and attitudes toward AI-based health counseling among patients attending the dermatology outpatient clinic: a cross-sectional study. Cutan Ocul Toxicol. 2026 Aug 6:1-11. Epub ahead of print. doi:10.1080/15569527.2026.2711643</w:t>
      </w:r>
    </w:p>
    <w:p>
      <w:pPr>
        <w:spacing w:line="276" w:lineRule="auto" w:after="80"/>
        <w:ind w:left="454" w:hanging="454"/>
        <w:jc w:val="left"/>
      </w:pPr>
      <w:r>
        <w:rPr>
          <w:sz w:val="24"/>
        </w:rPr>
        <w:t>31.</w:t>
        <w:tab/>
        <w:t>Tan SS, Goonawardene N. Internet health information seeking and the patient-physician relationship: a systematic review. J Med Internet Res. 2017;19(1):e9. doi:10.2196/jmir.5729</w:t>
      </w:r>
    </w:p>
    <w:p>
      <w:pPr>
        <w:spacing w:line="276" w:lineRule="auto" w:after="80"/>
        <w:ind w:left="454" w:hanging="454"/>
        <w:jc w:val="left"/>
      </w:pPr>
      <w:r>
        <w:rPr>
          <w:sz w:val="24"/>
        </w:rPr>
        <w:t>32.</w:t>
        <w:tab/>
        <w:t>El-Zayat A, Namnkani SA, Alshareef NA, Mustfa MM, Eminaga NS, Algarni GA. Cyberchondria and its association with smartphone addiction and electronic health literacy among a Saudi population. Saudi J Med Med Sci. 2023;11(2):162-8. doi:10.4103/sjmms.sjmms_491_22</w:t>
      </w:r>
    </w:p>
    <w:p>
      <w:pPr>
        <w:spacing w:line="276" w:lineRule="auto" w:after="80"/>
        <w:ind w:left="454" w:hanging="454"/>
        <w:jc w:val="left"/>
      </w:pPr>
      <w:r>
        <w:rPr>
          <w:sz w:val="24"/>
        </w:rPr>
        <w:t>33.</w:t>
        <w:tab/>
        <w:t>Pasay-An E, Alalawi RH, Shanmugam SR, Alshammari SA, Alreshidi MS, Alkubati S, et al. "Dr. Google" consultation and health anxiety among primary healthcare patients: the mediation effect of health literacy. PLoS One. 2025;20(10):e0325791. doi:10.1371/journal.pone.0325791</w:t>
      </w:r>
    </w:p>
    <w:p>
      <w:pPr>
        <w:spacing w:line="276" w:lineRule="auto" w:after="80"/>
        <w:ind w:left="454" w:hanging="454"/>
        <w:jc w:val="left"/>
      </w:pPr>
      <w:r>
        <w:rPr>
          <w:sz w:val="24"/>
        </w:rPr>
        <w:t>34.</w:t>
        <w:tab/>
        <w:t>Dahshan A, Mahfouz Khalil MI, Abdelfatah D, Abu Ejheisheh M, Alshammari MSH, Mekdad AK, et al. Influence of online health information and artificial intelligence on decision-making among migraine patients: a multinational cross-sectional study from the MENA region. Cephalalgia. 2026;46(4):3331024261435594. doi:10.1177/03331024261435594</w:t>
      </w:r>
    </w:p>
    <w:p>
      <w:pPr>
        <w:spacing w:line="276" w:lineRule="auto" w:after="80"/>
        <w:ind w:left="454" w:hanging="454"/>
        <w:jc w:val="left"/>
      </w:pPr>
      <w:r>
        <w:rPr>
          <w:sz w:val="24"/>
        </w:rPr>
        <w:t>35.</w:t>
        <w:tab/>
        <w:t>von Elm E, Altman DG, Egger M, Pocock SJ, Gøtzsche PC, Vandenbroucke JP. The Strengthening the Reporting of Observational Studies in Epidemiology (STROBE) statement: guidelines for reporting observational studies. Lancet. 2007;370(9596):1453-7. doi:10.1016/S0140-6736(07)61602-X</w:t>
      </w:r>
    </w:p>
    <w:p>
      <w:pPr>
        <w:spacing w:line="276" w:lineRule="auto" w:after="80"/>
        <w:ind w:left="454" w:hanging="454"/>
        <w:jc w:val="left"/>
      </w:pPr>
      <w:r>
        <w:rPr>
          <w:sz w:val="24"/>
        </w:rPr>
        <w:t>36.</w:t>
        <w:tab/>
        <w:t>Eysenbach G. Improving the quality of Web surveys: the Checklist for Reporting Results of Internet E-Surveys (CHERRIES). J Med Internet Res. 2004;6(3):e34. doi:10.2196/jmir.6.3.e34</w:t>
      </w:r>
    </w:p>
    <w:p>
      <w:pPr>
        <w:spacing w:line="276" w:lineRule="auto" w:after="80"/>
        <w:ind w:left="454" w:hanging="454"/>
        <w:jc w:val="left"/>
      </w:pPr>
      <w:r>
        <w:rPr>
          <w:sz w:val="24"/>
        </w:rPr>
        <w:t>37.</w:t>
        <w:tab/>
        <w:t>Cohen J. Statistical power analysis for the behavioral sciences. 2nd ed. Hillsdale (NJ): Lawrence Erlbaum Associates; 1988.</w:t>
      </w:r>
    </w:p>
    <w:p>
      <w:pPr>
        <w:spacing w:line="276" w:lineRule="auto" w:after="80"/>
        <w:ind w:left="454" w:hanging="454"/>
        <w:jc w:val="left"/>
      </w:pPr>
      <w:r>
        <w:rPr>
          <w:sz w:val="24"/>
        </w:rPr>
        <w:t>38.</w:t>
        <w:tab/>
        <w:t>Salkovskis PM, Rimes KA, Warwick HMC, Clark DM. The Health Anxiety Inventory: development and validation of scales for the measurement of health anxiety and hypochondriasis. Psychol Med. 2002;32(5):843-53. doi:10.1017/S0033291702005822</w:t>
      </w:r>
    </w:p>
    <w:p>
      <w:pPr>
        <w:spacing w:line="276" w:lineRule="auto" w:after="80"/>
        <w:ind w:left="454" w:hanging="454"/>
        <w:jc w:val="left"/>
      </w:pPr>
      <w:r>
        <w:rPr>
          <w:sz w:val="24"/>
        </w:rPr>
        <w:t>39.</w:t>
        <w:tab/>
        <w:t>Abramowitz JS, Deacon BJ, Valentiner DP. The Short Health Anxiety Inventory: psychometric properties and construct validity in a non-clinical sample. Cognit Ther Res. 2007;31(6):871-83. doi:10.1007/s10608-006-9058-1</w:t>
      </w:r>
    </w:p>
    <w:p>
      <w:pPr>
        <w:spacing w:line="276" w:lineRule="auto" w:after="80"/>
        <w:ind w:left="454" w:hanging="454"/>
        <w:jc w:val="left"/>
      </w:pPr>
      <w:r>
        <w:rPr>
          <w:sz w:val="24"/>
        </w:rPr>
        <w:t>40.</w:t>
        <w:tab/>
        <w:t>Alberts NM, Hadjistavropoulos HD, Jones SL, Sharpe D. The Short Health Anxiety Inventory: a systematic review and meta-analysis. J Anxiety Disord. 2013;27(1):68-78. doi:10.1016/j.janxdis.2012.10.009</w:t>
      </w:r>
    </w:p>
    <w:p>
      <w:pPr>
        <w:spacing w:line="276" w:lineRule="auto" w:after="80"/>
        <w:ind w:left="454" w:hanging="454"/>
        <w:jc w:val="left"/>
      </w:pPr>
      <w:r>
        <w:rPr>
          <w:sz w:val="24"/>
        </w:rPr>
        <w:t>41.</w:t>
        <w:tab/>
        <w:t>Alshayea AK. Latent structure, measurement invariance, and reliability of an Arabic version of the Short Health Anxiety Inventory. J Exp Psychopathol. 2020;11(2). doi:10.1177/2043808720912629</w:t>
      </w:r>
    </w:p>
    <w:p>
      <w:pPr>
        <w:spacing w:line="276" w:lineRule="auto" w:after="80"/>
        <w:ind w:left="454" w:hanging="454"/>
        <w:jc w:val="left"/>
      </w:pPr>
      <w:r>
        <w:rPr>
          <w:sz w:val="24"/>
        </w:rPr>
        <w:t>42.</w:t>
        <w:tab/>
        <w:t>Österman S, Axelsson E, Lindefors N, Hedman-Lagerlöf E, Hedman-Lagerlöf M, Kern D, et al. The 14-item short health anxiety inventory (SHAI-14) used as a screening tool: appropriate interpretation and diagnostic accuracy of the Swedish version. BMC Psychiatry. 2022;22:701. doi:10.1186/s12888-022-04367-3</w:t>
      </w:r>
    </w:p>
    <w:p>
      <w:pPr>
        <w:spacing w:line="276" w:lineRule="auto" w:after="80"/>
        <w:ind w:left="454" w:hanging="454"/>
        <w:jc w:val="left"/>
      </w:pPr>
      <w:r>
        <w:rPr>
          <w:sz w:val="24"/>
        </w:rPr>
        <w:t>43.</w:t>
        <w:tab/>
        <w:t>Hayes AF, Coutts JJ. Use omega rather than Cronbach's alpha for estimating reliability. But… Commun Methods Meas. 2020;14(1):1-24. doi:10.1080/19312458.2020.1718629</w:t>
      </w:r>
    </w:p>
    <w:p>
      <w:pPr>
        <w:spacing w:line="276" w:lineRule="auto" w:after="80"/>
        <w:ind w:left="454" w:hanging="454"/>
        <w:jc w:val="left"/>
      </w:pPr>
      <w:r>
        <w:rPr>
          <w:sz w:val="24"/>
        </w:rPr>
        <w:t>44.</w:t>
        <w:tab/>
        <w:t>Hu L, Bentler PM. Cutoff criteria for fit indexes in covariance structure analysis: conventional criteria versus new alternatives. Struct Equ Modeling. 1999;6(1):1-55. doi:10.1080/10705519909540118</w:t>
      </w:r>
    </w:p>
    <w:p>
      <w:pPr>
        <w:spacing w:line="276" w:lineRule="auto" w:after="80"/>
        <w:ind w:left="454" w:hanging="454"/>
        <w:jc w:val="left"/>
      </w:pPr>
      <w:r>
        <w:rPr>
          <w:sz w:val="24"/>
        </w:rPr>
        <w:t>45.</w:t>
        <w:tab/>
        <w:t>Feldt LS, Woodruff DJ, Salih FA. Statistical inference for coefficient alpha. Appl Psychol Meas. 1987;11(1):93-103. doi:10.1177/014662168701100107</w:t>
      </w:r>
    </w:p>
    <w:p>
      <w:pPr>
        <w:spacing w:line="276" w:lineRule="auto" w:after="80"/>
        <w:ind w:left="454" w:hanging="454"/>
        <w:jc w:val="left"/>
      </w:pPr>
      <w:r>
        <w:rPr>
          <w:sz w:val="24"/>
        </w:rPr>
        <w:t>46.</w:t>
        <w:tab/>
        <w:t>Lorenzo-Seva U, ten Berge JMF. Tucker's congruence coefficient as a meaningful index of factor similarity. Methodology. 2006;2(2):57-64. doi:10.1027/1614-2241.2.2.57</w:t>
      </w:r>
    </w:p>
    <w:p>
      <w:pPr>
        <w:spacing w:line="276" w:lineRule="auto" w:after="80"/>
        <w:ind w:left="454" w:hanging="454"/>
        <w:jc w:val="left"/>
      </w:pPr>
      <w:r>
        <w:rPr>
          <w:sz w:val="24"/>
        </w:rPr>
        <w:t>47.</w:t>
        <w:tab/>
        <w:t>Steiger JH. Tests for comparing elements of a correlation matrix. Psychol Bull. 1980;87(2):245-51. doi:10.1037/0033-2909.87.2.245</w:t>
      </w:r>
    </w:p>
    <w:p>
      <w:pPr>
        <w:spacing w:line="276" w:lineRule="auto" w:after="80"/>
        <w:ind w:left="454" w:hanging="454"/>
        <w:jc w:val="left"/>
      </w:pPr>
      <w:r>
        <w:rPr>
          <w:sz w:val="24"/>
        </w:rPr>
        <w:t>48.</w:t>
        <w:tab/>
        <w:t>Benjamini Y, Hochberg Y. Controlling the false discovery rate: a practical and powerful approach to multiple testing. J R Stat Soc Series B Methodol. 1995;57(1):289-300. doi:10.1111/j.2517-6161.1995.tb02031.x</w:t>
      </w:r>
    </w:p>
    <w:p>
      <w:pPr>
        <w:spacing w:line="276" w:lineRule="auto" w:after="80"/>
        <w:ind w:left="454" w:hanging="454"/>
        <w:jc w:val="left"/>
      </w:pPr>
      <w:r>
        <w:rPr>
          <w:sz w:val="24"/>
        </w:rPr>
        <w:t>49.</w:t>
        <w:tab/>
        <w:t>Hayes AF. Introduction to mediation, moderation, and conditional process analysis: a regression-based approach. 3rd ed. New York: Guilford Press; 2022.</w:t>
      </w:r>
    </w:p>
    <w:p>
      <w:pPr>
        <w:spacing w:line="276" w:lineRule="auto" w:after="80"/>
        <w:ind w:left="454" w:hanging="454"/>
        <w:jc w:val="left"/>
      </w:pPr>
      <w:r>
        <w:rPr>
          <w:sz w:val="24"/>
        </w:rPr>
        <w:t>50.</w:t>
        <w:tab/>
        <w:t>Maxwell SE, Cole DA. Bias in cross-sectional analyses of longitudinal mediation. Psychol Methods. 2007;12(1):23-44. doi:10.1037/1082-989X.12.1.23</w:t>
      </w:r>
    </w:p>
    <w:p>
      <w:pPr>
        <w:spacing w:line="276" w:lineRule="auto" w:after="80"/>
        <w:ind w:left="454" w:hanging="454"/>
        <w:jc w:val="left"/>
      </w:pPr>
      <w:r>
        <w:rPr>
          <w:sz w:val="24"/>
        </w:rPr>
        <w:t>51.</w:t>
        <w:tab/>
        <w:t>Waterman LZ, Weinman JA. Medical student syndrome: fact or fiction? A cross-sectional study. JRSM Open. 2014;5(2). doi:10.1177/2042533313512480</w:t>
      </w:r>
    </w:p>
    <w:p>
      <w:pPr>
        <w:spacing w:line="276" w:lineRule="auto" w:after="80"/>
        <w:ind w:left="454" w:hanging="454"/>
        <w:jc w:val="left"/>
      </w:pPr>
      <w:r>
        <w:rPr>
          <w:sz w:val="24"/>
        </w:rPr>
        <w:t>52.</w:t>
        <w:tab/>
        <w:t>ClinicalTrials.gov [Internet]. Bethesda (MD): National Library of Medicine (US). Search results for "cyberchondria"; [cited 2026 Oct 16]. Available from: https://clinicaltrials.gov/search?cond=cyberchondria</w:t>
      </w:r>
    </w:p>
    <w:p>
      <w:r>
        <w:br w:type="page"/>
      </w:r>
    </w:p>
    <w:p>
      <w:pPr>
        <w:pStyle w:val="Heading1"/>
      </w:pPr>
      <w:r>
        <w:t>Appendices</w:t>
      </w:r>
    </w:p>
    <w:p>
      <w:pPr>
        <w:pStyle w:val="Heading2"/>
      </w:pPr>
      <w:r>
        <w:t>Appendix A. Item-by-item correlations between the SHAI-14 and CSS-12</w:t>
      </w:r>
    </w:p>
    <w:p>
      <w:pPr>
        <w:spacing w:after="120"/>
        <w:jc w:val="both"/>
      </w:pPr>
      <w:r>
        <w:rPr>
          <w:rFonts w:ascii="Times New Roman" w:hAnsi="Times New Roman"/>
        </w:rPr>
        <w:t>Item-by-item Spearman correlations between all 14 SHAI-14 items and all 12 CSS-12 items (168 pairs). Correction for multiple testing was applied within this family of 168 tests: 111 pairs were significant after Benjamini–Hochberg FDR correction and 58 after Holm–Bonferroni correction. Full values are given in the supplementary workbook (sheet T28_item_by_item).</w:t>
      </w:r>
    </w:p>
    <w:p>
      <w:pPr>
        <w:keepNext/>
        <w:jc w:val="center"/>
      </w:pPr>
      <w:r>
        <w:drawing>
          <wp:inline xmlns:a="http://schemas.openxmlformats.org/drawingml/2006/main" xmlns:pic="http://schemas.openxmlformats.org/drawingml/2006/picture">
            <wp:extent cx="5760000" cy="4917116"/>
            <wp:docPr id="9" name="Picture 9"/>
            <wp:cNvGraphicFramePr>
              <a:graphicFrameLocks noChangeAspect="1"/>
            </wp:cNvGraphicFramePr>
            <a:graphic>
              <a:graphicData uri="http://schemas.openxmlformats.org/drawingml/2006/picture">
                <pic:pic>
                  <pic:nvPicPr>
                    <pic:cNvPr id="0" name="fig9_item_by_item.png"/>
                    <pic:cNvPicPr/>
                  </pic:nvPicPr>
                  <pic:blipFill>
                    <a:blip r:embed="rId17"/>
                    <a:stretch>
                      <a:fillRect/>
                    </a:stretch>
                  </pic:blipFill>
                  <pic:spPr>
                    <a:xfrm>
                      <a:off x="0" y="0"/>
                      <a:ext cx="5760000" cy="4917116"/>
                    </a:xfrm>
                    <a:prstGeom prst="rect"/>
                  </pic:spPr>
                </pic:pic>
              </a:graphicData>
            </a:graphic>
          </wp:inline>
        </w:drawing>
      </w:r>
    </w:p>
    <w:p>
      <w:pPr>
        <w:keepNext w:val="0"/>
        <w:spacing w:before="120" w:after="80" w:line="240" w:lineRule="auto"/>
        <w:jc w:val="left"/>
      </w:pPr>
      <w:r>
        <w:rPr>
          <w:b/>
          <w:sz w:val="24"/>
        </w:rPr>
        <w:t xml:space="preserve">Figure </w:t>
      </w:r>
      <w:r>
        <w:rPr>
          <w:b/>
          <w:sz w:val="24"/>
        </w:rPr>
        <w:fldChar w:fldCharType="begin"/>
      </w:r>
      <w:r>
        <w:rPr>
          <w:b/>
          <w:sz w:val="24"/>
        </w:rPr>
        <w:instrText xml:space="preserve"> SEQ Figure \* ARABIC </w:instrText>
      </w:r>
      <w:r>
        <w:rPr>
          <w:b/>
          <w:sz w:val="24"/>
        </w:rPr>
        <w:fldChar w:fldCharType="separate"/>
      </w:r>
      <w:r>
        <w:rPr>
          <w:b/>
          <w:sz w:val="24"/>
        </w:rPr>
        <w:t>9</w:t>
      </w:r>
      <w:r>
        <w:rPr>
          <w:b/>
          <w:sz w:val="24"/>
        </w:rPr>
        <w:fldChar w:fldCharType="end"/>
      </w:r>
      <w:r>
        <w:rPr>
          <w:b/>
          <w:sz w:val="24"/>
        </w:rPr>
        <w:t xml:space="preserve">. </w:t>
      </w:r>
      <w:r>
        <w:rPr>
          <w:i/>
          <w:sz w:val="24"/>
        </w:rPr>
        <w:t>Item-by-item correlations between SHAI-14 and CSS-12 items (Spearman ρ). * significant after FDR correction across the 168 pairs; ** also significant after Holm–Bonferroni correction.</w:t>
      </w:r>
    </w:p>
    <w:p>
      <w:r>
        <w:br w:type="page"/>
      </w:r>
    </w:p>
    <w:p>
      <w:pPr>
        <w:pStyle w:val="Heading2"/>
      </w:pPr>
      <w:r>
        <w:t>Appendix B. Study questionnaire</w:t>
      </w:r>
    </w:p>
    <w:p>
      <w:pPr>
        <w:spacing w:after="120"/>
        <w:jc w:val="both"/>
      </w:pPr>
      <w:r>
        <w:rPr>
          <w:rFonts w:ascii="Times New Roman" w:hAnsi="Times New Roman"/>
        </w:rPr>
        <w:t>The bilingual (English–Arabic) questionnaire as administered through Google Forms is reproduced below (41 questions).</w:t>
      </w:r>
    </w:p>
    <w:p>
      <w:pPr>
        <w:spacing w:after="80" w:line="240" w:lineRule="auto"/>
        <w:jc w:val="center"/>
      </w:pPr>
      <w:r>
        <w:drawing>
          <wp:inline xmlns:a="http://schemas.openxmlformats.org/drawingml/2006/main" xmlns:pic="http://schemas.openxmlformats.org/drawingml/2006/picture">
            <wp:extent cx="4500000" cy="5746506"/>
            <wp:docPr id="10" name="Picture 10"/>
            <wp:cNvGraphicFramePr>
              <a:graphicFrameLocks noChangeAspect="1"/>
            </wp:cNvGraphicFramePr>
            <a:graphic>
              <a:graphicData uri="http://schemas.openxmlformats.org/drawingml/2006/picture">
                <pic:pic>
                  <pic:nvPicPr>
                    <pic:cNvPr id="0" name="c-01.png"/>
                    <pic:cNvPicPr/>
                  </pic:nvPicPr>
                  <pic:blipFill>
                    <a:blip r:embed="rId18"/>
                    <a:stretch>
                      <a:fillRect/>
                    </a:stretch>
                  </pic:blipFill>
                  <pic:spPr>
                    <a:xfrm>
                      <a:off x="0" y="0"/>
                      <a:ext cx="4500000" cy="5746506"/>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1575000" cy="3611842"/>
            <wp:docPr id="11" name="Picture 11"/>
            <wp:cNvGraphicFramePr>
              <a:graphicFrameLocks noChangeAspect="1"/>
            </wp:cNvGraphicFramePr>
            <a:graphic>
              <a:graphicData uri="http://schemas.openxmlformats.org/drawingml/2006/picture">
                <pic:pic>
                  <pic:nvPicPr>
                    <pic:cNvPr id="0" name="c-02.png"/>
                    <pic:cNvPicPr/>
                  </pic:nvPicPr>
                  <pic:blipFill>
                    <a:blip r:embed="rId19"/>
                    <a:stretch>
                      <a:fillRect/>
                    </a:stretch>
                  </pic:blipFill>
                  <pic:spPr>
                    <a:xfrm>
                      <a:off x="0" y="0"/>
                      <a:ext cx="1575000" cy="3611842"/>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63815" cy="5873683"/>
            <wp:docPr id="12" name="Picture 12"/>
            <wp:cNvGraphicFramePr>
              <a:graphicFrameLocks noChangeAspect="1"/>
            </wp:cNvGraphicFramePr>
            <a:graphic>
              <a:graphicData uri="http://schemas.openxmlformats.org/drawingml/2006/picture">
                <pic:pic>
                  <pic:nvPicPr>
                    <pic:cNvPr id="0" name="c-03.png"/>
                    <pic:cNvPicPr/>
                  </pic:nvPicPr>
                  <pic:blipFill>
                    <a:blip r:embed="rId20"/>
                    <a:stretch>
                      <a:fillRect/>
                    </a:stretch>
                  </pic:blipFill>
                  <pic:spPr>
                    <a:xfrm>
                      <a:off x="0" y="0"/>
                      <a:ext cx="4363815" cy="5873683"/>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40789" cy="4588815"/>
            <wp:docPr id="13" name="Picture 13"/>
            <wp:cNvGraphicFramePr>
              <a:graphicFrameLocks noChangeAspect="1"/>
            </wp:cNvGraphicFramePr>
            <a:graphic>
              <a:graphicData uri="http://schemas.openxmlformats.org/drawingml/2006/picture">
                <pic:pic>
                  <pic:nvPicPr>
                    <pic:cNvPr id="0" name="c-04.png"/>
                    <pic:cNvPicPr/>
                  </pic:nvPicPr>
                  <pic:blipFill>
                    <a:blip r:embed="rId21"/>
                    <a:stretch>
                      <a:fillRect/>
                    </a:stretch>
                  </pic:blipFill>
                  <pic:spPr>
                    <a:xfrm>
                      <a:off x="0" y="0"/>
                      <a:ext cx="4440789" cy="4588815"/>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40789" cy="5198684"/>
            <wp:docPr id="14" name="Picture 14"/>
            <wp:cNvGraphicFramePr>
              <a:graphicFrameLocks noChangeAspect="1"/>
            </wp:cNvGraphicFramePr>
            <a:graphic>
              <a:graphicData uri="http://schemas.openxmlformats.org/drawingml/2006/picture">
                <pic:pic>
                  <pic:nvPicPr>
                    <pic:cNvPr id="0" name="c-05.png"/>
                    <pic:cNvPicPr/>
                  </pic:nvPicPr>
                  <pic:blipFill>
                    <a:blip r:embed="rId22"/>
                    <a:stretch>
                      <a:fillRect/>
                    </a:stretch>
                  </pic:blipFill>
                  <pic:spPr>
                    <a:xfrm>
                      <a:off x="0" y="0"/>
                      <a:ext cx="4440789" cy="5198684"/>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34868" cy="4440789"/>
            <wp:docPr id="15" name="Picture 15"/>
            <wp:cNvGraphicFramePr>
              <a:graphicFrameLocks noChangeAspect="1"/>
            </wp:cNvGraphicFramePr>
            <a:graphic>
              <a:graphicData uri="http://schemas.openxmlformats.org/drawingml/2006/picture">
                <pic:pic>
                  <pic:nvPicPr>
                    <pic:cNvPr id="0" name="c-06.png"/>
                    <pic:cNvPicPr/>
                  </pic:nvPicPr>
                  <pic:blipFill>
                    <a:blip r:embed="rId23"/>
                    <a:stretch>
                      <a:fillRect/>
                    </a:stretch>
                  </pic:blipFill>
                  <pic:spPr>
                    <a:xfrm>
                      <a:off x="0" y="0"/>
                      <a:ext cx="4434868" cy="4440789"/>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63815" cy="4280920"/>
            <wp:docPr id="16" name="Picture 16"/>
            <wp:cNvGraphicFramePr>
              <a:graphicFrameLocks noChangeAspect="1"/>
            </wp:cNvGraphicFramePr>
            <a:graphic>
              <a:graphicData uri="http://schemas.openxmlformats.org/drawingml/2006/picture">
                <pic:pic>
                  <pic:nvPicPr>
                    <pic:cNvPr id="0" name="c-07.png"/>
                    <pic:cNvPicPr/>
                  </pic:nvPicPr>
                  <pic:blipFill>
                    <a:blip r:embed="rId24"/>
                    <a:stretch>
                      <a:fillRect/>
                    </a:stretch>
                  </pic:blipFill>
                  <pic:spPr>
                    <a:xfrm>
                      <a:off x="0" y="0"/>
                      <a:ext cx="4363815" cy="4280920"/>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46052" cy="5962499"/>
            <wp:docPr id="17" name="Picture 17"/>
            <wp:cNvGraphicFramePr>
              <a:graphicFrameLocks noChangeAspect="1"/>
            </wp:cNvGraphicFramePr>
            <a:graphic>
              <a:graphicData uri="http://schemas.openxmlformats.org/drawingml/2006/picture">
                <pic:pic>
                  <pic:nvPicPr>
                    <pic:cNvPr id="0" name="c-08.png"/>
                    <pic:cNvPicPr/>
                  </pic:nvPicPr>
                  <pic:blipFill>
                    <a:blip r:embed="rId25"/>
                    <a:stretch>
                      <a:fillRect/>
                    </a:stretch>
                  </pic:blipFill>
                  <pic:spPr>
                    <a:xfrm>
                      <a:off x="0" y="0"/>
                      <a:ext cx="4346052" cy="5962499"/>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57894" cy="4411183"/>
            <wp:docPr id="18" name="Picture 18"/>
            <wp:cNvGraphicFramePr>
              <a:graphicFrameLocks noChangeAspect="1"/>
            </wp:cNvGraphicFramePr>
            <a:graphic>
              <a:graphicData uri="http://schemas.openxmlformats.org/drawingml/2006/picture">
                <pic:pic>
                  <pic:nvPicPr>
                    <pic:cNvPr id="0" name="c-09.png"/>
                    <pic:cNvPicPr/>
                  </pic:nvPicPr>
                  <pic:blipFill>
                    <a:blip r:embed="rId26"/>
                    <a:stretch>
                      <a:fillRect/>
                    </a:stretch>
                  </pic:blipFill>
                  <pic:spPr>
                    <a:xfrm>
                      <a:off x="0" y="0"/>
                      <a:ext cx="4357894" cy="4411183"/>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69736" cy="4417104"/>
            <wp:docPr id="19" name="Picture 19"/>
            <wp:cNvGraphicFramePr>
              <a:graphicFrameLocks noChangeAspect="1"/>
            </wp:cNvGraphicFramePr>
            <a:graphic>
              <a:graphicData uri="http://schemas.openxmlformats.org/drawingml/2006/picture">
                <pic:pic>
                  <pic:nvPicPr>
                    <pic:cNvPr id="0" name="c-10.png"/>
                    <pic:cNvPicPr/>
                  </pic:nvPicPr>
                  <pic:blipFill>
                    <a:blip r:embed="rId27"/>
                    <a:stretch>
                      <a:fillRect/>
                    </a:stretch>
                  </pic:blipFill>
                  <pic:spPr>
                    <a:xfrm>
                      <a:off x="0" y="0"/>
                      <a:ext cx="4369736" cy="4417104"/>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69736" cy="6424341"/>
            <wp:docPr id="20" name="Picture 20"/>
            <wp:cNvGraphicFramePr>
              <a:graphicFrameLocks noChangeAspect="1"/>
            </wp:cNvGraphicFramePr>
            <a:graphic>
              <a:graphicData uri="http://schemas.openxmlformats.org/drawingml/2006/picture">
                <pic:pic>
                  <pic:nvPicPr>
                    <pic:cNvPr id="0" name="c-11.png"/>
                    <pic:cNvPicPr/>
                  </pic:nvPicPr>
                  <pic:blipFill>
                    <a:blip r:embed="rId28"/>
                    <a:stretch>
                      <a:fillRect/>
                    </a:stretch>
                  </pic:blipFill>
                  <pic:spPr>
                    <a:xfrm>
                      <a:off x="0" y="0"/>
                      <a:ext cx="4369736" cy="6424341"/>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357894" cy="4393420"/>
            <wp:docPr id="21" name="Picture 21"/>
            <wp:cNvGraphicFramePr>
              <a:graphicFrameLocks noChangeAspect="1"/>
            </wp:cNvGraphicFramePr>
            <a:graphic>
              <a:graphicData uri="http://schemas.openxmlformats.org/drawingml/2006/picture">
                <pic:pic>
                  <pic:nvPicPr>
                    <pic:cNvPr id="0" name="c-12.png"/>
                    <pic:cNvPicPr/>
                  </pic:nvPicPr>
                  <pic:blipFill>
                    <a:blip r:embed="rId29"/>
                    <a:stretch>
                      <a:fillRect/>
                    </a:stretch>
                  </pic:blipFill>
                  <pic:spPr>
                    <a:xfrm>
                      <a:off x="0" y="0"/>
                      <a:ext cx="4357894" cy="4393420"/>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245394" cy="4505920"/>
            <wp:docPr id="22" name="Picture 22"/>
            <wp:cNvGraphicFramePr>
              <a:graphicFrameLocks noChangeAspect="1"/>
            </wp:cNvGraphicFramePr>
            <a:graphic>
              <a:graphicData uri="http://schemas.openxmlformats.org/drawingml/2006/picture">
                <pic:pic>
                  <pic:nvPicPr>
                    <pic:cNvPr id="0" name="c-13.png"/>
                    <pic:cNvPicPr/>
                  </pic:nvPicPr>
                  <pic:blipFill>
                    <a:blip r:embed="rId30"/>
                    <a:stretch>
                      <a:fillRect/>
                    </a:stretch>
                  </pic:blipFill>
                  <pic:spPr>
                    <a:xfrm>
                      <a:off x="0" y="0"/>
                      <a:ext cx="4245394" cy="4505920"/>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40789" cy="5157236"/>
            <wp:docPr id="23" name="Picture 23"/>
            <wp:cNvGraphicFramePr>
              <a:graphicFrameLocks noChangeAspect="1"/>
            </wp:cNvGraphicFramePr>
            <a:graphic>
              <a:graphicData uri="http://schemas.openxmlformats.org/drawingml/2006/picture">
                <pic:pic>
                  <pic:nvPicPr>
                    <pic:cNvPr id="0" name="c-14.png"/>
                    <pic:cNvPicPr/>
                  </pic:nvPicPr>
                  <pic:blipFill>
                    <a:blip r:embed="rId31"/>
                    <a:stretch>
                      <a:fillRect/>
                    </a:stretch>
                  </pic:blipFill>
                  <pic:spPr>
                    <a:xfrm>
                      <a:off x="0" y="0"/>
                      <a:ext cx="4440789" cy="5157236"/>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34868" cy="5157236"/>
            <wp:docPr id="24" name="Picture 24"/>
            <wp:cNvGraphicFramePr>
              <a:graphicFrameLocks noChangeAspect="1"/>
            </wp:cNvGraphicFramePr>
            <a:graphic>
              <a:graphicData uri="http://schemas.openxmlformats.org/drawingml/2006/picture">
                <pic:pic>
                  <pic:nvPicPr>
                    <pic:cNvPr id="0" name="c-15.png"/>
                    <pic:cNvPicPr/>
                  </pic:nvPicPr>
                  <pic:blipFill>
                    <a:blip r:embed="rId32"/>
                    <a:stretch>
                      <a:fillRect/>
                    </a:stretch>
                  </pic:blipFill>
                  <pic:spPr>
                    <a:xfrm>
                      <a:off x="0" y="0"/>
                      <a:ext cx="4434868" cy="5157236"/>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34868" cy="4671710"/>
            <wp:docPr id="25" name="Picture 25"/>
            <wp:cNvGraphicFramePr>
              <a:graphicFrameLocks noChangeAspect="1"/>
            </wp:cNvGraphicFramePr>
            <a:graphic>
              <a:graphicData uri="http://schemas.openxmlformats.org/drawingml/2006/picture">
                <pic:pic>
                  <pic:nvPicPr>
                    <pic:cNvPr id="0" name="c-16.png"/>
                    <pic:cNvPicPr/>
                  </pic:nvPicPr>
                  <pic:blipFill>
                    <a:blip r:embed="rId33"/>
                    <a:stretch>
                      <a:fillRect/>
                    </a:stretch>
                  </pic:blipFill>
                  <pic:spPr>
                    <a:xfrm>
                      <a:off x="0" y="0"/>
                      <a:ext cx="4434868" cy="4671710"/>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34868" cy="5157236"/>
            <wp:docPr id="26" name="Picture 26"/>
            <wp:cNvGraphicFramePr>
              <a:graphicFrameLocks noChangeAspect="1"/>
            </wp:cNvGraphicFramePr>
            <a:graphic>
              <a:graphicData uri="http://schemas.openxmlformats.org/drawingml/2006/picture">
                <pic:pic>
                  <pic:nvPicPr>
                    <pic:cNvPr id="0" name="c-17.png"/>
                    <pic:cNvPicPr/>
                  </pic:nvPicPr>
                  <pic:blipFill>
                    <a:blip r:embed="rId34"/>
                    <a:stretch>
                      <a:fillRect/>
                    </a:stretch>
                  </pic:blipFill>
                  <pic:spPr>
                    <a:xfrm>
                      <a:off x="0" y="0"/>
                      <a:ext cx="4434868" cy="5157236"/>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34868" cy="5370394"/>
            <wp:docPr id="27" name="Picture 27"/>
            <wp:cNvGraphicFramePr>
              <a:graphicFrameLocks noChangeAspect="1"/>
            </wp:cNvGraphicFramePr>
            <a:graphic>
              <a:graphicData uri="http://schemas.openxmlformats.org/drawingml/2006/picture">
                <pic:pic>
                  <pic:nvPicPr>
                    <pic:cNvPr id="0" name="c-18.png"/>
                    <pic:cNvPicPr/>
                  </pic:nvPicPr>
                  <pic:blipFill>
                    <a:blip r:embed="rId35"/>
                    <a:stretch>
                      <a:fillRect/>
                    </a:stretch>
                  </pic:blipFill>
                  <pic:spPr>
                    <a:xfrm>
                      <a:off x="0" y="0"/>
                      <a:ext cx="4434868" cy="5370394"/>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440789" cy="4967763"/>
            <wp:docPr id="28" name="Picture 28"/>
            <wp:cNvGraphicFramePr>
              <a:graphicFrameLocks noChangeAspect="1"/>
            </wp:cNvGraphicFramePr>
            <a:graphic>
              <a:graphicData uri="http://schemas.openxmlformats.org/drawingml/2006/picture">
                <pic:pic>
                  <pic:nvPicPr>
                    <pic:cNvPr id="0" name="c-19.png"/>
                    <pic:cNvPicPr/>
                  </pic:nvPicPr>
                  <pic:blipFill>
                    <a:blip r:embed="rId36"/>
                    <a:stretch>
                      <a:fillRect/>
                    </a:stretch>
                  </pic:blipFill>
                  <pic:spPr>
                    <a:xfrm>
                      <a:off x="0" y="0"/>
                      <a:ext cx="4440789" cy="4967763"/>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4500000" cy="2350064"/>
            <wp:docPr id="29" name="Picture 29"/>
            <wp:cNvGraphicFramePr>
              <a:graphicFrameLocks noChangeAspect="1"/>
            </wp:cNvGraphicFramePr>
            <a:graphic>
              <a:graphicData uri="http://schemas.openxmlformats.org/drawingml/2006/picture">
                <pic:pic>
                  <pic:nvPicPr>
                    <pic:cNvPr id="0" name="c-20.png"/>
                    <pic:cNvPicPr/>
                  </pic:nvPicPr>
                  <pic:blipFill>
                    <a:blip r:embed="rId37"/>
                    <a:stretch>
                      <a:fillRect/>
                    </a:stretch>
                  </pic:blipFill>
                  <pic:spPr>
                    <a:xfrm>
                      <a:off x="0" y="0"/>
                      <a:ext cx="4500000" cy="2350064"/>
                    </a:xfrm>
                    <a:prstGeom prst="rect"/>
                  </pic:spPr>
                </pic:pic>
              </a:graphicData>
            </a:graphic>
          </wp:inline>
        </w:drawing>
      </w:r>
    </w:p>
    <w:sectPr w:rsidR="00FC693F" w:rsidRPr="0006063C" w:rsidSect="00034616">
      <w:footerReference w:type="default" r:id="rId39"/>
      <w:pgSz w:w="11906" w:h="16838"/>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cstheme="majorBidi" w:ascii="Times New Roman" w:hAnsi="Times New Roman" w:eastAsia="Times New Roman" w:cs="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