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120"/>
        <w:jc w:val="center"/>
      </w:pPr>
      <w:r>
        <w:rPr>
          <w:b/>
          <w:bCs/>
          <w:color w:val="1a2740"/>
          <w:sz w:val="48"/>
          <w:szCs w:val="48"/>
        </w:rPr>
        <w:t xml:space="preserve">دليل التشغيل الشامل</w:t>
      </w:r>
    </w:p>
    <w:p>
      <w:pPr>
        <w:spacing w:after="80"/>
        <w:jc w:val="center"/>
      </w:pPr>
      <w:r>
        <w:rPr>
          <w:b/>
          <w:bCs/>
          <w:color w:val="2c5f8a"/>
          <w:sz w:val="36"/>
          <w:szCs w:val="36"/>
        </w:rPr>
        <w:t xml:space="preserve">تحليل ديناميكيا جزيئية GROMACS</w:t>
      </w:r>
    </w:p>
    <w:p>
      <w:pPr>
        <w:spacing w:after="200"/>
        <w:jc w:val="center"/>
      </w:pPr>
      <w:r>
        <w:rPr>
          <w:b/>
          <w:bCs/>
          <w:i/>
          <w:iCs/>
          <w:color w:val="3a9c73"/>
          <w:sz w:val="26"/>
          <w:szCs w:val="26"/>
        </w:rPr>
        <w:t xml:space="preserve">Protein-Ligand MD Simulation Full Report</w:t>
      </w:r>
    </w:p>
    <w:p>
      <w:pPr>
        <w:pBdr>
          <w:bottom w:val="double" w:color="2c5f8a" w:sz="6"/>
        </w:pBdr>
        <w:spacing w:after="200"/>
      </w:pPr>
    </w:p>
    <w:p>
      <w:pPr>
        <w:spacing w:after="40"/>
        <w:jc w:val="center"/>
      </w:pPr>
      <w:r>
        <w:rPr>
          <w:color w:val="2c3e50"/>
          <w:sz w:val="20"/>
          <w:szCs w:val="20"/>
        </w:rPr>
        <w:t xml:space="preserve">الإصدار: v15  |  1 يوليو 2026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البرنامج: gmx_2d_interaction_diagram.py</w:t>
      </w:r>
    </w:p>
    <w:p>
      <w:pPr>
        <w:spacing w:after="40"/>
        <w:jc w:val="center"/>
      </w:pPr>
      <w:r>
        <w:rPr>
          <w:color w:val="2c3e50"/>
          <w:sz w:val="20"/>
          <w:szCs w:val="20"/>
        </w:rPr>
        <w:t xml:space="preserve">د. ياسين سليم حمدون — جامعة الكتاب</w:t>
      </w:r>
    </w:p>
    <w:p/>
    <w:p/>
    <w:p>
      <w:r>
        <w:br w:type="page"/>
      </w:r>
    </w:p>
    <w:p>
      <w:pPr>
        <w:pStyle w:val="Heading1"/>
        <w:pBdr>
          <w:bottom w:val="thick" w:color="2c5f8a" w:sz="6" w:space="2"/>
        </w:pBdr>
        <w:shd w:fill="eaf4fb" w:color="eaf4fb" w:val="clear"/>
        <w:spacing w:after="100" w:before="300"/>
        <w:rPr>
          <w:b/>
          <w:bCs/>
          <w:color w:val="1a2740"/>
          <w:sz w:val="28"/>
          <w:szCs w:val="28"/>
        </w:rPr>
      </w:pPr>
      <w:r>
        <w:t xml:space="preserve">أولاً: إعداد البيئة الحسابية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1.1  البيئة المطلوبة (Conda Environment)</w:t>
      </w:r>
    </w:p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هذا السكربت يعمل داخل بيئة Conda خاصة تحتوي على MDAnalysis و ProLIF و RDKit.</w:t>
      </w:r>
    </w:p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إذا كانت البيئة موجودة مسبقاً، فعّلها مباشرة:</w:t>
      </w:r>
    </w:p>
    <w:p/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conda activate mdanalysis_env</w:t>
      </w:r>
    </w:p>
    <w:p/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إذا لم تكن موجودة، أنشئها بالأوامر التالية: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conda create -n mdanalysis_env python=3.10 -y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conda activate mdanalysis_env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conda install -c conda-forge mdanalysis rdkit matplotlib numpy scipy -y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pip install "prolif&gt;=2.0" mdanalysis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1.2  التحقق من صحة البيئة</w:t>
      </w:r>
    </w:p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بعد التفعيل، نفّذ هذا الأمر للتأكد من وجود كل المكتبات: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python3 -c "import MDAnalysis, prolif, rdkit, matplotlib, scipy; print('كل المكتبات سليمة')"</w:t>
      </w:r>
    </w:p>
    <w:p/>
    <w:p>
      <w:pPr>
        <w:pBdr>
          <w:left w:val="thick" w:color="3a9c73" w:sz="12" w:space="6"/>
        </w:pBdr>
        <w:shd w:fill="eafaf1" w:val="clear"/>
        <w:bidi/>
        <w:spacing w:after="60" w:before="60"/>
        <w:ind w:left="200"/>
        <w:jc w:val="right"/>
      </w:pPr>
      <w:r>
        <w:rPr>
          <w:b/>
          <w:bCs/>
          <w:color w:val="3a9c73"/>
        </w:rPr>
        <w:t xml:space="preserve">✔  </w:t>
      </w:r>
      <w:r>
        <w:rPr>
          <w:color w:val="2c3e50"/>
          <w:sz w:val="19"/>
          <w:szCs w:val="19"/>
        </w:rPr>
        <w:t xml:space="preserve">GROMACS يجب أن يكون متاحاً في نفس البيئة أو في PATH. تحقق بـ: gmx --version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1.3  البرامج المطلوبة على النظام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shd w:fill="eaf4fb" w:val="clear"/>
          </w:tcPr>
          <w:p>
            <w:pPr>
              <w:jc w:val="center"/>
            </w:pPr>
            <w:r>
              <w:rPr>
                <w:b/>
                <w:bCs/>
                <w:color w:val="1a2740"/>
                <w:sz w:val="18"/>
                <w:szCs w:val="18"/>
              </w:rPr>
              <w:t xml:space="preserve">البرنامج</w:t>
            </w:r>
          </w:p>
        </w:tc>
        <w:tc>
          <w:tcPr>
            <w:tcW w:type="dxa" w:w="5800"/>
            <w:shd w:fill="eaf4fb" w:val="clear"/>
          </w:tcPr>
          <w:p>
            <w:pPr>
              <w:jc w:val="center"/>
            </w:pPr>
            <w:r>
              <w:rPr>
                <w:color w:val="2c3e50"/>
                <w:sz w:val="18"/>
                <w:szCs w:val="18"/>
              </w:rPr>
              <w:t xml:space="preserve">الغرض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GROMACS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حسابات RMSD / RMSF / H-bond / Rg / SASA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Python ≥ 3.9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تشغيل السكربت الرئيسي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MDAnalysis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قراءة التوبولوجي والمسار الزمني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ProLIF ≥ 2.0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كشف التفاعلات البروتين-ليجند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RDKit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رسم الجزيء ثنائي الأبعاد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scipy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حسابات المسافات (Water Bridge / Ionic)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matplotlib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توليد كل الرسوم البيانية</w:t>
            </w:r>
          </w:p>
        </w:tc>
      </w:tr>
    </w:tbl>
    <w:p/>
    <w:p>
      <w:r>
        <w:br w:type="page"/>
      </w:r>
    </w:p>
    <w:p>
      <w:pPr>
        <w:pStyle w:val="Heading1"/>
        <w:pBdr>
          <w:bottom w:val="thick" w:color="2c5f8a" w:sz="6" w:space="2"/>
        </w:pBdr>
        <w:shd w:fill="eaf4fb" w:color="eaf4fb" w:val="clear"/>
        <w:spacing w:after="100" w:before="300"/>
        <w:rPr>
          <w:b/>
          <w:bCs/>
          <w:color w:val="1a2740"/>
          <w:sz w:val="28"/>
          <w:szCs w:val="28"/>
        </w:rPr>
      </w:pPr>
      <w:r>
        <w:t xml:space="preserve">ثانياً: الملفات المطلوبة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2.1  الملفات الأساسية (إلزامية)</w:t>
      </w:r>
    </w:p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يجب وضع الملفات الثلاثة التالية في نفس مجلد العمل: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shd w:fill="eaf4fb" w:val="clear"/>
          </w:tcPr>
          <w:p>
            <w:pPr>
              <w:jc w:val="center"/>
            </w:pPr>
            <w:r>
              <w:rPr>
                <w:b/>
                <w:bCs/>
                <w:color w:val="1a2740"/>
                <w:sz w:val="18"/>
                <w:szCs w:val="18"/>
              </w:rPr>
              <w:t xml:space="preserve">اسم الملف</w:t>
            </w:r>
          </w:p>
        </w:tc>
        <w:tc>
          <w:tcPr>
            <w:tcW w:type="dxa" w:w="5800"/>
            <w:shd w:fill="eaf4fb" w:val="clear"/>
          </w:tcPr>
          <w:p>
            <w:pPr>
              <w:jc w:val="center"/>
            </w:pPr>
            <w:r>
              <w:rPr>
                <w:color w:val="2c3e50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MD.tpr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ملف التوبولوجي الكامل (GROMACS binary topology)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MD_center.xtc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المسار الزمني بعد التوسيط والضبط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LIG.mol2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الليجند بصيغة MOL2 (لرسم الهيكل ثنائي الأبعاد)</w:t>
            </w:r>
          </w:p>
        </w:tc>
      </w:tr>
    </w:tbl>
    <w:p/>
    <w:p>
      <w:pPr>
        <w:pBdr>
          <w:left w:val="thick" w:color="c0392b" w:sz="12" w:space="6"/>
        </w:pBdr>
        <w:shd w:fill="fff3cd" w:val="clear"/>
        <w:bidi/>
        <w:spacing w:after="80" w:before="80"/>
        <w:ind w:left="200"/>
        <w:jc w:val="right"/>
      </w:pPr>
      <w:r>
        <w:rPr>
          <w:b/>
          <w:bCs/>
          <w:color w:val="c0392b"/>
        </w:rPr>
        <w:t xml:space="preserve">⚠  </w:t>
      </w:r>
      <w:r>
        <w:rPr>
          <w:i/>
          <w:iCs/>
          <w:color w:val="2c3e50"/>
          <w:sz w:val="19"/>
          <w:szCs w:val="19"/>
        </w:rPr>
        <w:t xml:space="preserve">لا تستخدم MD.xtc الخام — استخدم دائماً MD_center.xtc الذي تمت إزالة PBC منه ومحاذاة البروتين فيه.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2.2  ملف السكربت الرئيسي</w:t>
      </w:r>
    </w:p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ملف Python الواحد الذي يحتوي على كل الوظائف: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gmx_2d_interaction_diagram.py   (الإصدار v15)</w:t>
      </w:r>
    </w:p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ضعه في نفس مجلد MD.tpr و MD_center.xtc</w:t>
      </w:r>
    </w:p>
    <w:p/>
    <w:p>
      <w:pPr>
        <w:pBdr>
          <w:left w:val="thick" w:color="3a9c73" w:sz="12" w:space="6"/>
        </w:pBdr>
        <w:shd w:fill="eafaf1" w:val="clear"/>
        <w:bidi/>
        <w:spacing w:after="60" w:before="60"/>
        <w:ind w:left="200"/>
        <w:jc w:val="right"/>
      </w:pPr>
      <w:r>
        <w:rPr>
          <w:b/>
          <w:bCs/>
          <w:color w:val="3a9c73"/>
        </w:rPr>
        <w:t xml:space="preserve">✔  </w:t>
      </w:r>
      <w:r>
        <w:rPr>
          <w:color w:val="2c3e50"/>
          <w:sz w:val="19"/>
          <w:szCs w:val="19"/>
        </w:rPr>
        <w:t xml:space="preserve">للتحقق من الإصدار الصحيح قبل التشغيل: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grep "SCRIPT_VERSION =" gmx_2d_interaction_diagram.py</w:t>
      </w:r>
    </w:p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يجب أن تظهر: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SCRIPT_VERSION = "2026-07-01-v15-RMSF-REINDEX-HEAVY-FILTER-STEMS"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2.3  ملفات اختيارية (تُحسّن الرسوم)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shd w:fill="eaf4fb" w:val="clear"/>
          </w:tcPr>
          <w:p>
            <w:pPr>
              <w:jc w:val="center"/>
            </w:pPr>
            <w:r>
              <w:rPr>
                <w:b/>
                <w:bCs/>
                <w:color w:val="1a2740"/>
                <w:sz w:val="18"/>
                <w:szCs w:val="18"/>
              </w:rPr>
              <w:t xml:space="preserve">اسم الملف</w:t>
            </w:r>
          </w:p>
        </w:tc>
        <w:tc>
          <w:tcPr>
            <w:tcW w:type="dxa" w:w="5800"/>
            <w:shd w:fill="eaf4fb" w:val="clear"/>
          </w:tcPr>
          <w:p>
            <w:pPr>
              <w:jc w:val="center"/>
            </w:pPr>
            <w:r>
              <w:rPr>
                <w:color w:val="2c3e50"/>
                <w:sz w:val="18"/>
                <w:szCs w:val="18"/>
              </w:rPr>
              <w:t xml:space="preserve">الغرض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LIG.sdf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بديل عن mol2 لأوامر الروابط الكيميائية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index.ndx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يُنشأ تلقائياً عند استخدام --full-report</w:t>
            </w:r>
          </w:p>
        </w:tc>
      </w:tr>
    </w:tbl>
    <w:p/>
    <w:p>
      <w:r>
        <w:br w:type="page"/>
      </w:r>
    </w:p>
    <w:p>
      <w:pPr>
        <w:pStyle w:val="Heading1"/>
        <w:pBdr>
          <w:bottom w:val="thick" w:color="2c5f8a" w:sz="6" w:space="2"/>
        </w:pBdr>
        <w:shd w:fill="eaf4fb" w:color="eaf4fb" w:val="clear"/>
        <w:spacing w:after="100" w:before="300"/>
        <w:rPr>
          <w:b/>
          <w:bCs/>
          <w:color w:val="1a2740"/>
          <w:sz w:val="28"/>
          <w:szCs w:val="28"/>
        </w:rPr>
      </w:pPr>
      <w:r>
        <w:t xml:space="preserve">ثالثاً: أرقام المجموعات في GROMACS</w:t>
      </w:r>
    </w:p>
    <w:p/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قبل التشغيل التلقائي، يجب معرفة أرقام المجموعات في ملف التوبولوجي. شغّل هذا الأمر لعرضها: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gmx make_ndx -f MD.tpr -o /dev/null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3.1  الأرقام الافتراضية المستخدمة في هذا السكربت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shd w:fill="eaf4fb" w:val="clear"/>
          </w:tcPr>
          <w:p>
            <w:pPr>
              <w:jc w:val="center"/>
            </w:pPr>
            <w:r>
              <w:rPr>
                <w:b/>
                <w:bCs/>
                <w:color w:val="1a2740"/>
                <w:sz w:val="18"/>
                <w:szCs w:val="18"/>
              </w:rPr>
              <w:t xml:space="preserve">رقم المجموعة</w:t>
            </w:r>
          </w:p>
        </w:tc>
        <w:tc>
          <w:tcPr>
            <w:tcW w:type="dxa" w:w="5800"/>
            <w:shd w:fill="eaf4fb" w:val="clear"/>
          </w:tcPr>
          <w:p>
            <w:pPr>
              <w:jc w:val="center"/>
            </w:pPr>
            <w:r>
              <w:rPr>
                <w:color w:val="2c3e50"/>
                <w:sz w:val="18"/>
                <w:szCs w:val="18"/>
              </w:rPr>
              <w:t xml:space="preserve">ما تمثله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Protein (البروتين كاملاً)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C-alpha (ذرات Cα للبروتين — للـ RMSD)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Backbone (للـ RMSF البروتين)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13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LIG (الليجند)</w:t>
            </w:r>
          </w:p>
        </w:tc>
      </w:tr>
    </w:tbl>
    <w:p/>
    <w:p>
      <w:pPr>
        <w:pBdr>
          <w:left w:val="thick" w:color="c0392b" w:sz="12" w:space="6"/>
        </w:pBdr>
        <w:shd w:fill="fff3cd" w:val="clear"/>
        <w:bidi/>
        <w:spacing w:after="80" w:before="80"/>
        <w:ind w:left="200"/>
        <w:jc w:val="right"/>
      </w:pPr>
      <w:r>
        <w:rPr>
          <w:b/>
          <w:bCs/>
          <w:color w:val="c0392b"/>
        </w:rPr>
        <w:t xml:space="preserve">⚠  </w:t>
      </w:r>
      <w:r>
        <w:rPr>
          <w:i/>
          <w:iCs/>
          <w:color w:val="2c3e50"/>
          <w:sz w:val="19"/>
          <w:szCs w:val="19"/>
        </w:rPr>
        <w:t xml:space="preserve">إذا كان الليجند في مجموعة مختلفة عن 13، غيّر الأرقام في الأمر بالقسم الرابع.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3.2  أوامر GROMACS اليدوية (للمرجع)</w:t>
      </w:r>
    </w:p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هذه هي الأوامر التي ينفّذها السكربت تلقائياً — تُذكر هنا للاستيعاب:</w:t>
      </w:r>
    </w:p>
    <w:p/>
    <w:p>
      <w:pPr>
        <w:spacing w:after="60" w:before="160"/>
      </w:pPr>
      <w:r>
        <w:rPr>
          <w:b/>
          <w:bCs/>
          <w:color w:val="2c3e50"/>
          <w:sz w:val="21"/>
          <w:szCs w:val="21"/>
        </w:rPr>
        <w:t xml:space="preserve">RMSD البروتين (Cα):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echo '3 3' | gmx rms -s MD.tpr -f MD_center.xtc -o rmsd_ca.xvg -tu ns</w:t>
      </w:r>
    </w:p>
    <w:p/>
    <w:p>
      <w:pPr>
        <w:spacing w:after="60" w:before="160"/>
      </w:pPr>
      <w:r>
        <w:rPr>
          <w:b/>
          <w:bCs/>
          <w:color w:val="2c3e50"/>
          <w:sz w:val="21"/>
          <w:szCs w:val="21"/>
        </w:rPr>
        <w:t xml:space="preserve">RMSD الليجند (Fit on Protein):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echo '3 13' | gmx rms -s MD.tpr -f MD_center.xtc -o rmsd_ligand.xvg -tu ns</w:t>
      </w:r>
    </w:p>
    <w:p/>
    <w:p>
      <w:pPr>
        <w:spacing w:after="60" w:before="160"/>
      </w:pPr>
      <w:r>
        <w:rPr>
          <w:b/>
          <w:bCs/>
          <w:color w:val="2c3e50"/>
          <w:sz w:val="21"/>
          <w:szCs w:val="21"/>
        </w:rPr>
        <w:t xml:space="preserve">RMSF البروتين (per residue):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echo '4' | gmx rmsf -s MD.tpr -f MD_center.xtc -o rmsf_protein.xvg -res</w:t>
      </w:r>
    </w:p>
    <w:p/>
    <w:p>
      <w:pPr>
        <w:spacing w:after="60" w:before="160"/>
      </w:pPr>
      <w:r>
        <w:rPr>
          <w:b/>
          <w:bCs/>
          <w:color w:val="2c3e50"/>
          <w:sz w:val="21"/>
          <w:szCs w:val="21"/>
        </w:rPr>
        <w:t xml:space="preserve">RMSF الليجند: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echo '13' | gmx rmsf -s MD.tpr -f MD_center.xtc -o rmsf_ligand.xvg</w:t>
      </w:r>
    </w:p>
    <w:p/>
    <w:p>
      <w:pPr>
        <w:spacing w:after="60" w:before="160"/>
      </w:pPr>
      <w:r>
        <w:rPr>
          <w:b/>
          <w:bCs/>
          <w:color w:val="2c3e50"/>
          <w:sz w:val="21"/>
          <w:szCs w:val="21"/>
        </w:rPr>
        <w:t xml:space="preserve">H-Bond Count: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echo '1 13' | gmx hbond -s MD.tpr -f MD_center.xtc -num hbnum.xvg</w:t>
      </w:r>
    </w:p>
    <w:p/>
    <w:p>
      <w:pPr>
        <w:spacing w:after="60" w:before="160"/>
      </w:pPr>
      <w:r>
        <w:rPr>
          <w:b/>
          <w:bCs/>
          <w:color w:val="2c3e50"/>
          <w:sz w:val="21"/>
          <w:szCs w:val="21"/>
        </w:rPr>
        <w:t xml:space="preserve">نصف قطر الدوران (Rg):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echo '1' | gmx gyrate -s MD.tpr -f MD_center.xtc -o gyrate.xvg</w:t>
      </w:r>
    </w:p>
    <w:p/>
    <w:p>
      <w:pPr>
        <w:spacing w:after="60" w:before="160"/>
      </w:pPr>
      <w:r>
        <w:rPr>
          <w:b/>
          <w:bCs/>
          <w:color w:val="2c3e50"/>
          <w:sz w:val="21"/>
          <w:szCs w:val="21"/>
        </w:rPr>
        <w:t xml:space="preserve">SASA الليجند: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echo '1 | 13' | gmx make_ndx -f MD.tpr -o index.ndx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gmx sasa -f MD_center.xtc -s MD.tpr -n index.ndx -o sasa_lig.xvg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     -surface Protein_LIG -output LIG</w:t>
      </w:r>
    </w:p>
    <w:p/>
    <w:p>
      <w:r>
        <w:br w:type="page"/>
      </w:r>
    </w:p>
    <w:p>
      <w:pPr>
        <w:pStyle w:val="Heading1"/>
        <w:pBdr>
          <w:bottom w:val="thick" w:color="2c5f8a" w:sz="6" w:space="2"/>
        </w:pBdr>
        <w:shd w:fill="eaf4fb" w:color="eaf4fb" w:val="clear"/>
        <w:spacing w:after="100" w:before="300"/>
        <w:rPr>
          <w:b/>
          <w:bCs/>
          <w:color w:val="1a2740"/>
          <w:sz w:val="28"/>
          <w:szCs w:val="28"/>
        </w:rPr>
      </w:pPr>
      <w:r>
        <w:t xml:space="preserve">رابعاً: طريقة التشغيل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4.1  الأمر الكامل (تشغيل واحد — كل الرسوم تلقائياً)</w:t>
      </w:r>
    </w:p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هذا الأمر يولّد كل الرسوم البيانية (مخطط التفاعل + Histogram + RMSD + RMSF + Rg + H-bond + SASA) دفعةً واحدة:</w:t>
      </w:r>
    </w:p>
    <w:p/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python3 gmx_2d_interaction_diagram.py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--topol MD.tpr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--traj MD_center.xtc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--ligand-selection "resname LIG"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--protein-selection "protein"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--metal-selection "resname ZN ZN2 ZNB MG MG2 MN FE FE2 CU NI CO CA"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--ligand-ref LIG.mol2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--output-prefix diagram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--full-report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--start 0 --stop 1000 --stride 1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--dpi 600</w:t>
      </w:r>
    </w:p>
    <w:p/>
    <w:p>
      <w:pPr>
        <w:pBdr>
          <w:left w:val="thick" w:color="c0392b" w:sz="12" w:space="6"/>
        </w:pBdr>
        <w:shd w:fill="fff3cd" w:val="clear"/>
        <w:bidi/>
        <w:spacing w:after="80" w:before="80"/>
        <w:ind w:left="200"/>
        <w:jc w:val="right"/>
      </w:pPr>
      <w:r>
        <w:rPr>
          <w:b/>
          <w:bCs/>
          <w:color w:val="c0392b"/>
        </w:rPr>
        <w:t xml:space="preserve">⚠  </w:t>
      </w:r>
      <w:r>
        <w:rPr>
          <w:i/>
          <w:iCs/>
          <w:color w:val="2c3e50"/>
          <w:sz w:val="19"/>
          <w:szCs w:val="19"/>
        </w:rPr>
        <w:t xml:space="preserve">--stride 1 يعني كل frame. إذا كان MD طويلاً جداً استخدم --stride 10 لتسريع الحساب.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4.2  خيارات مهمة قابلة للتعديل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shd w:fill="eaf4fb" w:val="clear"/>
          </w:tcPr>
          <w:p>
            <w:pPr>
              <w:jc w:val="center"/>
            </w:pPr>
            <w:r>
              <w:rPr>
                <w:b/>
                <w:bCs/>
                <w:color w:val="1a2740"/>
                <w:sz w:val="18"/>
                <w:szCs w:val="18"/>
              </w:rPr>
              <w:t xml:space="preserve">الخيار</w:t>
            </w:r>
          </w:p>
        </w:tc>
        <w:tc>
          <w:tcPr>
            <w:tcW w:type="dxa" w:w="5800"/>
            <w:shd w:fill="eaf4fb" w:val="clear"/>
          </w:tcPr>
          <w:p>
            <w:pPr>
              <w:jc w:val="center"/>
            </w:pPr>
            <w:r>
              <w:rPr>
                <w:color w:val="2c3e50"/>
                <w:sz w:val="18"/>
                <w:szCs w:val="18"/>
              </w:rPr>
              <w:t xml:space="preserve">القيمة الافتراضية والمعنى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--stride N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 = كل frame — قلّله لتسريع (مثال: 10)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--dpi N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600 dpi — جودة نشر عالية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--min-hbond N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20% — أقل نسبة لإظهار H-Bond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--min-hydrophobic N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25% — أقل نسبة لإظهار Hydrophobic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--min-water N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15% — أقل نسبة لإظهار Water Bridge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--min-ionic N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15% — أقل نسبة لإظهار Ionic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--min-metal N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10% — أقل نسبة لإظهار Metal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--water-cutoff N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3.5 Å — مسافة الجسر المائي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--ionic-cutoff N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4.5 Å — مسافة التفاعل الأيوني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--metal-cutoff N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2.8 Å — مسافة التنسيق المعدني</w:t>
            </w:r>
          </w:p>
        </w:tc>
      </w:tr>
    </w:tbl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4.3  تشغيل مخطط التفاعل فقط (بدون full-report)</w:t>
      </w:r>
    </w:p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إذا أردت مخطط التفاعل 2D والـ Histogram فقط بدون تشغيل GROMACS: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python3 gmx_2d_interaction_diagram.py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--topol MD.tpr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--traj MD_center.xtc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--ligand-selection "resname LIG"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--ligand-ref LIG.mol2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--output-prefix diagram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--start 0 --stop 1000 --stride 10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--dpi 600</w:t>
      </w:r>
    </w:p>
    <w:p/>
    <w:p>
      <w:r>
        <w:br w:type="page"/>
      </w:r>
    </w:p>
    <w:p>
      <w:pPr>
        <w:pStyle w:val="Heading1"/>
        <w:pBdr>
          <w:bottom w:val="thick" w:color="2c5f8a" w:sz="6" w:space="2"/>
        </w:pBdr>
        <w:shd w:fill="eaf4fb" w:color="eaf4fb" w:val="clear"/>
        <w:spacing w:after="100" w:before="300"/>
        <w:rPr>
          <w:b/>
          <w:bCs/>
          <w:color w:val="1a2740"/>
          <w:sz w:val="28"/>
          <w:szCs w:val="28"/>
        </w:rPr>
      </w:pPr>
      <w:r>
        <w:t xml:space="preserve">خامساً: الملفات الناتجة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5.1  مخطط التفاعل (الرئيسي)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shd w:fill="eaf4fb" w:val="clear"/>
          </w:tcPr>
          <w:p>
            <w:pPr>
              <w:jc w:val="center"/>
            </w:pPr>
            <w:r>
              <w:rPr>
                <w:b/>
                <w:bCs/>
                <w:color w:val="1a2740"/>
                <w:sz w:val="18"/>
                <w:szCs w:val="18"/>
              </w:rPr>
              <w:t xml:space="preserve">الملف</w:t>
            </w:r>
          </w:p>
        </w:tc>
        <w:tc>
          <w:tcPr>
            <w:tcW w:type="dxa" w:w="5800"/>
            <w:shd w:fill="eaf4fb" w:val="clear"/>
          </w:tcPr>
          <w:p>
            <w:pPr>
              <w:jc w:val="center"/>
            </w:pPr>
            <w:r>
              <w:rPr>
                <w:color w:val="2c3e50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diagram.png / .svg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مخطط التفاعل ثنائي الأبعاد (Schrödinger-style 2D interaction map)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diagram_interactive.html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نسخة تفاعلية — اسحب أي عقدة في المتصفح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diagram_contacts_histogram.png / .svg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Histogram نسب التفاعلات لكل حمض أميني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diagram_interactions.csv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بيانات التفاعلات بصيغة Excel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diagram_interactions.json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بيانات التفاعلات بصيغة JSON</w:t>
            </w:r>
          </w:p>
        </w:tc>
      </w:tr>
    </w:tbl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5.2  ملفات Full Report (عند --full-report)</w:t>
      </w:r>
    </w:p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تُحفظ في نفس مجلد --output-prefix: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shd w:fill="eaf4fb" w:val="clear"/>
          </w:tcPr>
          <w:p>
            <w:pPr>
              <w:jc w:val="center"/>
            </w:pPr>
            <w:r>
              <w:rPr>
                <w:b/>
                <w:bCs/>
                <w:color w:val="1a2740"/>
                <w:sz w:val="18"/>
                <w:szCs w:val="18"/>
              </w:rPr>
              <w:t xml:space="preserve">الملف</w:t>
            </w:r>
          </w:p>
        </w:tc>
        <w:tc>
          <w:tcPr>
            <w:tcW w:type="dxa" w:w="5800"/>
            <w:shd w:fill="eaf4fb" w:val="clear"/>
          </w:tcPr>
          <w:p>
            <w:pPr>
              <w:jc w:val="center"/>
            </w:pPr>
            <w:r>
              <w:rPr>
                <w:color w:val="2c3e50"/>
                <w:sz w:val="18"/>
                <w:szCs w:val="18"/>
              </w:rPr>
              <w:t xml:space="preserve">الرسم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PL-RMSD.png / .svg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RMSD البروتين (أزرق) والليجند (أحمر) على محورين مستقلين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Protein_RMSF.png / .svg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RMSF البروتين بخطوط خضراء عند مواضع الارتباط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Ligand_RMSF.png / .svg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RMSF الليجند مع هيكل ثنائي الأبعاد في الأعلى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Radius_of_Gyration.png / .svg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نصف قطر الدوران vs الزمن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Hydrogen_Bonds.png / .svg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عدد روابط الهيدروجين vs الزمن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SASA.png / .svg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مساحة السطح القابلة للذوبان للييجند vs الزمن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rmsf_protein.xvg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ملف GROMACS خام للـ RMSF البروتين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rmsd_ca.xvg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ملف GROMACS خام لـ RMSD Cα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rmsd_ligand.xvg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ملف GROMACS خام لـ RMSD الليجند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rmsf_ligand.xvg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ملف GROMACS خام لـ RMSF الليجند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gyrate.xvg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ملف GROMACS خام لـ Rg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hbnum.xvg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ملف GROMACS خام لعدد H-bond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sasa_lig.xvg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ملف GROMACS خام لـ SASA</w:t>
            </w:r>
          </w:p>
        </w:tc>
      </w:tr>
    </w:tbl>
    <w:p/>
    <w:p>
      <w:r>
        <w:br w:type="page"/>
      </w:r>
    </w:p>
    <w:p>
      <w:pPr>
        <w:pStyle w:val="Heading1"/>
        <w:pBdr>
          <w:bottom w:val="thick" w:color="2c5f8a" w:sz="6" w:space="2"/>
        </w:pBdr>
        <w:shd w:fill="eaf4fb" w:color="eaf4fb" w:val="clear"/>
        <w:spacing w:after="100" w:before="300"/>
        <w:rPr>
          <w:b/>
          <w:bCs/>
          <w:color w:val="1a2740"/>
          <w:sz w:val="28"/>
          <w:szCs w:val="28"/>
        </w:rPr>
      </w:pPr>
      <w:r>
        <w:t xml:space="preserve">سادساً: قراءة النتائج وتفسيرها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6.1  مخطط التفاعل 2D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shd w:fill="eaf4fb" w:val="clear"/>
          </w:tcPr>
          <w:p>
            <w:pPr>
              <w:jc w:val="center"/>
            </w:pPr>
            <w:r>
              <w:rPr>
                <w:b/>
                <w:bCs/>
                <w:color w:val="1a2740"/>
                <w:sz w:val="18"/>
                <w:szCs w:val="18"/>
              </w:rPr>
              <w:t xml:space="preserve">اللون / النمط</w:t>
            </w:r>
          </w:p>
        </w:tc>
        <w:tc>
          <w:tcPr>
            <w:tcW w:type="dxa" w:w="5800"/>
            <w:shd w:fill="eaf4fb" w:val="clear"/>
          </w:tcPr>
          <w:p>
            <w:pPr>
              <w:jc w:val="center"/>
            </w:pPr>
            <w:r>
              <w:rPr>
                <w:color w:val="2c3e50"/>
                <w:sz w:val="18"/>
                <w:szCs w:val="18"/>
              </w:rPr>
              <w:t xml:space="preserve">نوع التفاعل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أخضر — خط متصل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Hydrophobic (يشمل π–π Stacking)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بنفسجي — خط متقطع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H-Bond (Hydrogen Bond)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أزرق غامق — خط متقطع-نقطة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Water Bridge (جسر مائي عبر H₂O)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أحمر — خط طويل متقطع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Ionic / Salt Bridge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ذهبي — خط متصل سميك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Metal Coordination (مثل Zn²⁺)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أزرق فاتح — خط متصل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π-Cation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a2740"/>
                <w:sz w:val="18"/>
                <w:szCs w:val="18"/>
              </w:rPr>
              <w:t xml:space="preserve">تيل — خط متقطع</w:t>
            </w:r>
          </w:p>
        </w:tc>
        <w:tc>
          <w:tcPr>
            <w:tcW w:type="dxa" w:w="5800"/>
            <w:shd w:fill="ffffff" w:val="clear"/>
          </w:tcPr>
          <w:p>
            <w:pPr>
              <w:jc w:val="left"/>
            </w:pPr>
            <w:r>
              <w:rPr>
                <w:color w:val="2c3e50"/>
                <w:sz w:val="18"/>
                <w:szCs w:val="18"/>
              </w:rPr>
              <w:t xml:space="preserve">Halogen Bond</w:t>
            </w:r>
          </w:p>
        </w:tc>
      </w:tr>
    </w:tbl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النسبة المئوية على كل خط تمثل في كم % من إجمالي الإطارات الزمنية يكون هذا التفاعل موجوداً.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6.2  مخطط RMSF البروتين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المحور السيني: تسلسل الأحماض الأمينية من 1 إلى N (يُعاد ترقيمها تلقائياً بغض النظر عن الترقيم في الـ topology).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الخطوط الخضراء العمودية: مواضع الأحماض الأمينية التي تتفاعل مع الليجند — مستخرجة مباشرة من مخطط التفاعل.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النطاقات الزرقاء الفاتحة: مناطق البنية الثانوية (Helix / Sheet) — من gmx dssp إذا كانت متاحة.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القمم العالية: أحماض أمينية ذات حركة كبيرة = مناطق loop أو أطراف البروتين.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6.3  مخطط RMSD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المحور الأيسر (أزرق): Protein Cα RMSD — يقيس استقرار البنية الكلية للبروتين.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المحور الأيمن (أحمر): Ligand RMSD (fit on Prot) — يقيس حركة الليجند داخل موضع الارتباط.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إذا استقر RMSD البروتين &lt; 2Å ويبقى ثابتاً: البروتين وصل equilibrium.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إذا كان RMSD الليجند &lt; 2–3 Å ومستقر: الليجند مرتبط بثبات في الجيب.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6.4  Contacts Histogram</w:t>
      </w:r>
    </w:p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كل عمود يمثل حمضاً أمينياً واحداً. ارتفاع العمود = مجموع نسب التفاعلات (يمكن أن يتجاوز 100% لأن نوعاً واحداً من الارتباط كافٍ لكل frame). كلما كان العمود أعلى وأكثر ألواناً، كلما كان ذلك الحمض أكثر أهمية في الارتباط.</w:t>
      </w:r>
    </w:p>
    <w:p/>
    <w:p>
      <w:r>
        <w:br w:type="page"/>
      </w:r>
    </w:p>
    <w:p>
      <w:pPr>
        <w:pStyle w:val="Heading1"/>
        <w:pBdr>
          <w:bottom w:val="thick" w:color="2c5f8a" w:sz="6" w:space="2"/>
        </w:pBdr>
        <w:shd w:fill="eaf4fb" w:color="eaf4fb" w:val="clear"/>
        <w:spacing w:after="100" w:before="300"/>
        <w:rPr>
          <w:b/>
          <w:bCs/>
          <w:color w:val="1a2740"/>
          <w:sz w:val="28"/>
          <w:szCs w:val="28"/>
        </w:rPr>
      </w:pPr>
      <w:r>
        <w:t xml:space="preserve">سابعاً: حل المشاكل الشائعة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المشكلة: لا يظهر Water Bridge أو Ionic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السبب: ProLIF لا يدعم هذين النوعين بشكل موثوق في كل الإصدارات.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الحل: السكربت يستخدم كاشفات هندسية مستقلة (scipy cdist) — إذا لم تظهر نتائج، جرب تخفيض --water-cutoff إلى 3.0 أو --ionic-cutoff إلى 4.0.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المشكلة: RMSF الليجند يظهر 111 ذرة بدل 45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السبب: gmx rmsf يحسب لكل الذرات شاملاً الهيدروجين.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الحل: السكربت يفلتر تلقائياً إلى الذرات الثقيلة فقط (mass &gt; 1.5 Da).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المشكلة: خطأ 'unrecognized arguments: --full-report'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السبب: تستخدم نسخة قديمة من السكربت.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grep "SCRIPT_VERSION =" gmx_2d_interaction_diagram.py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يجب أن يظهر v15. إذا ظهر رقم أقل، احذف الملف القديم وأعد تحميل النسخة الجديدة.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المشكلة: الصورة التفاعلية HTML فارغة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السبب: كان في خطأ JavaScript (\n في string). حُلّ في v14+.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تحقق من الإصدار: يجب v14 أو أحدث.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المشكلة: الأحماض الأمينية مكتظة في زاوية واحدة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الحل: زد قيمة --min-gap-deg (الافتراضي 28، جرب 32–35).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بديلاً: استخدم الملف التفاعلي HTML واسحب العقد يدوياً لأفضل موضع.</w:t>
      </w:r>
    </w:p>
    <w:p/>
    <w:p>
      <w:pPr>
        <w:pBdr>
          <w:left w:val="thick" w:color="2c5f8a" w:sz="14" w:space="8"/>
        </w:pBdr>
        <w:spacing w:after="80" w:before="240"/>
        <w:ind w:left="200"/>
      </w:pPr>
      <w:r>
        <w:rPr>
          <w:b/>
          <w:bCs/>
          <w:color w:val="2c5f8a"/>
          <w:sz w:val="24"/>
          <w:szCs w:val="24"/>
        </w:rPr>
        <w:t xml:space="preserve">المشكلة: Zn²⁺ لا يظهر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السبب: 'protein' selection في MDAnalysis لا تشمل HETATM.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2c3e50"/>
          <w:sz w:val="19"/>
          <w:szCs w:val="19"/>
        </w:rPr>
        <w:t xml:space="preserve">الحل: تأكد من وجود --metal-selection 'resname ZN ZN2 ZNB MG...' في الأمر.</w:t>
      </w:r>
    </w:p>
    <w:p/>
    <w:p>
      <w:r>
        <w:br w:type="page"/>
      </w:r>
    </w:p>
    <w:p>
      <w:pPr>
        <w:pStyle w:val="Heading1"/>
        <w:pBdr>
          <w:bottom w:val="thick" w:color="2c5f8a" w:sz="6" w:space="2"/>
        </w:pBdr>
        <w:shd w:fill="eaf4fb" w:color="eaf4fb" w:val="clear"/>
        <w:spacing w:after="100" w:before="300"/>
        <w:rPr>
          <w:b/>
          <w:bCs/>
          <w:color w:val="1a2740"/>
          <w:sz w:val="28"/>
          <w:szCs w:val="28"/>
        </w:rPr>
      </w:pPr>
      <w:r>
        <w:t xml:space="preserve">ثامناً: المرجع السريع (Cheat Sheet)</w:t>
      </w:r>
    </w:p>
    <w:p/>
    <w:p>
      <w:pPr>
        <w:bidi/>
        <w:spacing w:after="80"/>
        <w:jc w:val="right"/>
      </w:pPr>
      <w:r>
        <w:rPr>
          <w:b w:val="false"/>
          <w:bCs w:val="false"/>
          <w:color w:val="2c3e50"/>
          <w:sz w:val="20"/>
          <w:szCs w:val="20"/>
        </w:rPr>
        <w:t xml:space="preserve">نسخ هذا الأمر مباشرة في أي مشروع MD لديك:</w:t>
      </w:r>
    </w:p>
    <w:p/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# 1. تفعيل البيئة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conda activate mdanalysis_env</w:t>
      </w:r>
    </w:p>
    <w:p/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# 2. الانتقال لمجلد المشروع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cd ~/Desktop/YOUR_PROJECT/</w:t>
      </w:r>
    </w:p>
    <w:p/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# 3. التأكد من وجود الملفات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ls MD.tpr MD_center.xtc LIG.mol2 gmx_2d_interaction_diagram.py</w:t>
      </w:r>
    </w:p>
    <w:p/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# 4. التحقق من إصدار السكربت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grep "SCRIPT_VERSION =" gmx_2d_interaction_diagram.py</w:t>
      </w:r>
    </w:p>
    <w:p/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# 5. التشغيل الشامل (يستغرق 5–20 دقيقة حسب طول MD)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python3 gmx_2d_interaction_diagram.py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--topol MD.tpr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--traj MD_center.xtc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--ligand-selection "resname LIG"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--protein-selection "protein"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--metal-selection "resname ZN ZN2 ZNB MG MG2 MN FE FE2 CU NI CO CA"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--ligand-ref LIG.mol2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--output-prefix results/analysis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--full-report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--start 0 --stop 1000 --stride 5 \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--dpi 600</w:t>
      </w:r>
    </w:p>
    <w:p/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# 6. عرض الملفات الناتجة</w:t>
      </w:r>
    </w:p>
    <w:p>
      <w:pPr>
        <w:pBdr>
          <w:top w:val="single" w:color="cccccc" w:sz="2"/>
          <w:bottom w:val="single" w:color="cccccc" w:sz="2"/>
          <w:left w:val="thick" w:color="2c5f8a" w:sz="8"/>
        </w:pBdr>
        <w:shd w:fill="f4f4f4" w:val="clear"/>
        <w:spacing w:after="40" w:before="40"/>
        <w:ind w:left="200"/>
        <w:jc w:val="left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ls results/</w:t>
      </w:r>
    </w:p>
    <w:p/>
    <w:p>
      <w:pPr>
        <w:pBdr>
          <w:left w:val="thick" w:color="3a9c73" w:sz="12" w:space="6"/>
        </w:pBdr>
        <w:shd w:fill="eafaf1" w:val="clear"/>
        <w:bidi/>
        <w:spacing w:after="60" w:before="60"/>
        <w:ind w:left="200"/>
        <w:jc w:val="right"/>
      </w:pPr>
      <w:r>
        <w:rPr>
          <w:b/>
          <w:bCs/>
          <w:color w:val="3a9c73"/>
        </w:rPr>
        <w:t xml:space="preserve">✔  </w:t>
      </w:r>
      <w:r>
        <w:rPr>
          <w:color w:val="2c3e50"/>
          <w:sz w:val="19"/>
          <w:szCs w:val="19"/>
        </w:rPr>
        <w:t xml:space="preserve">افتح results/analysis_interactive.html في المتصفح لتحريك العناصر يدوياً</w:t>
      </w:r>
    </w:p>
    <w:p/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%1."/>
      <w:lvlJc w:val="righ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2026-07-01T20:12:00.334Z</dcterms:created>
  <dcterms:modified xsi:type="dcterms:W3CDTF">2026-07-01T20:12:00.334Z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