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000000"/>
          <w:sz w:val="44"/>
          <w:szCs w:val="44"/>
        </w:rPr>
        <w:t xml:space="preserve">Student Performance Analysis</w:t>
      </w:r>
    </w:p>
    <w:p>
      <w:pPr>
        <w:spacing w:after="600" w:before="200"/>
        <w:jc w:val="center"/>
      </w:pPr>
      <w:r>
        <w:rPr>
          <w:i/>
          <w:iCs/>
          <w:color w:val="000000"/>
          <w:sz w:val="28"/>
          <w:szCs w:val="28"/>
        </w:rPr>
        <w:t xml:space="preserve">An End-to-End Data Science Pipeline</w:t>
      </w:r>
    </w:p>
    <w:p>
      <w:pPr>
        <w:spacing w:before="400"/>
        <w:jc w:val="center"/>
      </w:pPr>
      <w:r>
        <w:rPr>
          <w:color w:val="000000"/>
          <w:sz w:val="24"/>
          <w:szCs w:val="24"/>
        </w:rPr>
        <w:t xml:space="preserve">Final Project Report</w:t>
      </w:r>
    </w:p>
    <w:p>
      <w:pPr>
        <w:spacing w:before="800"/>
        <w:jc w:val="center"/>
      </w:pPr>
      <w:r>
        <w:rPr>
          <w:color w:val="000000"/>
          <w:sz w:val="22"/>
          <w:szCs w:val="22"/>
        </w:rPr>
        <w:t xml:space="preserve">Course: Data Science (4th Semester)</w:t>
      </w:r>
    </w:p>
    <w:p>
      <w:pPr>
        <w:jc w:val="center"/>
      </w:pPr>
      <w:r>
        <w:rPr>
          <w:color w:val="000000"/>
          <w:sz w:val="22"/>
          <w:szCs w:val="22"/>
        </w:rPr>
        <w:t xml:space="preserve">Department of Computer Science</w:t>
      </w:r>
    </w:p>
    <w:p>
      <w:pPr>
        <w:spacing w:after="600"/>
        <w:jc w:val="center"/>
      </w:pPr>
      <w:r>
        <w:rPr>
          <w:color w:val="000000"/>
          <w:sz w:val="22"/>
          <w:szCs w:val="22"/>
        </w:rPr>
        <w:t xml:space="preserve">University of Engineering &amp; Technology, Peshawar</w:t>
      </w:r>
    </w:p>
    <w:p>
      <w:pPr>
        <w:spacing w:before="400"/>
        <w:jc w:val="center"/>
      </w:pPr>
      <w:r>
        <w:rPr>
          <w:b/>
          <w:bCs/>
          <w:color w:val="000000"/>
          <w:sz w:val="24"/>
          <w:szCs w:val="24"/>
        </w:rPr>
        <w:t xml:space="preserve">Group Members</w:t>
      </w:r>
    </w:p>
    <w:p>
      <w:pPr>
        <w:spacing w:before="200"/>
        <w:jc w:val="center"/>
      </w:pPr>
      <w:r>
        <w:rPr>
          <w:color w:val="000000"/>
          <w:sz w:val="22"/>
          <w:szCs w:val="22"/>
        </w:rPr>
        <w:t xml:space="preserve">Hoorain Eman  —  Reg. ID: 24PWBCS1389</w:t>
      </w:r>
    </w:p>
    <w:p>
      <w:pPr>
        <w:jc w:val="center"/>
      </w:pPr>
      <w:r>
        <w:rPr>
          <w:color w:val="000000"/>
          <w:sz w:val="22"/>
          <w:szCs w:val="22"/>
        </w:rPr>
        <w:t xml:space="preserve">Yaseen Khan  —  Reg. ID: 24PWBCS1391</w:t>
      </w:r>
    </w:p>
    <w:p>
      <w:pPr>
        <w:jc w:val="center"/>
      </w:pPr>
      <w:r>
        <w:rPr>
          <w:color w:val="000000"/>
          <w:sz w:val="22"/>
          <w:szCs w:val="22"/>
        </w:rPr>
        <w:t xml:space="preserve">Amin-ul-Haq</w:t>
      </w:r>
    </w:p>
    <w:p>
      <w:pPr>
        <w:spacing w:before="800"/>
        <w:jc w:val="center"/>
      </w:pPr>
      <w:r>
        <w:rPr>
          <w:color w:val="000000"/>
          <w:sz w:val="20"/>
          <w:szCs w:val="20"/>
        </w:rPr>
        <w:t xml:space="preserve">Submission Date: July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b/>
          <w:bCs/>
          <w:color w:val="000000"/>
        </w:rPr>
        <w:t xml:space="preserve">1. Introduction</w:t>
      </w:r>
    </w:p>
    <w:p>
      <w:pPr>
        <w:spacing w:after="200" w:line="300"/>
      </w:pPr>
      <w:r>
        <w:rPr>
          <w:color w:val="000000"/>
          <w:sz w:val="22"/>
          <w:szCs w:val="22"/>
        </w:rPr>
        <w:t xml:space="preserve">Most schools only find out a student is struggling once the final exam results are already in — by then it's too late to do much about it. Tutoring, counselling, extra support, none of that helps if the warning comes after the fact. That's really the motivation behind this project: we wanted to see if it's possible to flag at-risk students early, using only the information a school already has on day one, before a single test score exists.</w:t>
      </w:r>
    </w:p>
    <w:p>
      <w:pPr>
        <w:spacing w:after="200" w:line="300"/>
      </w:pPr>
      <w:r>
        <w:rPr>
          <w:color w:val="000000"/>
          <w:sz w:val="22"/>
          <w:szCs w:val="22"/>
        </w:rPr>
        <w:t xml:space="preserve">To do this properly, we walked through the full data science pipeline ourselves — pulling in the data, cleaning it, exploring it, engineering new features, training several models, tuning the best one, and finally comparing everything to see what actually works. The end goal was a working early-warning classifier, not just a one-off accuracy number.</w:t>
      </w:r>
    </w:p>
    <w:p>
      <w:pPr>
        <w:pStyle w:val="Heading1"/>
        <w:spacing w:after="150" w:before="300"/>
      </w:pPr>
      <w:r>
        <w:rPr>
          <w:b/>
          <w:bCs/>
          <w:color w:val="000000"/>
        </w:rPr>
        <w:t xml:space="preserve">2. Problem Statement</w:t>
      </w:r>
    </w:p>
    <w:p>
      <w:pPr>
        <w:spacing w:after="200" w:line="300"/>
      </w:pPr>
      <w:r>
        <w:rPr>
          <w:color w:val="000000"/>
          <w:sz w:val="22"/>
          <w:szCs w:val="22"/>
        </w:rPr>
        <w:t xml:space="preserve">The core problem is simple to state but harder to solve: schools don't have a systematic, data-driven way of spotting which students are likely to fail until it's already happened. If teachers and administrators could get a reasonably reliable signal at the start of the year, they could direct support — tutoring, counselling, parental engagement — toward the students who need it most, hopefully improving pass rates and cutting down on dropouts.</w:t>
      </w:r>
    </w:p>
    <w:p>
      <w:pPr>
        <w:spacing w:after="200" w:line="300"/>
      </w:pPr>
      <w:r>
        <w:rPr>
          <w:color w:val="000000"/>
          <w:sz w:val="22"/>
          <w:szCs w:val="22"/>
        </w:rPr>
        <w:t xml:space="preserve">We framed this as a binary classification task: predict whether a student passes (final grade G3 ≥ 10) using only demographic, social, and school-related attributes. One thing we were careful about — the two earlier grade columns, G1 and G2, are deliberately left out of the feature set. Including them would make the problem trivial (they're almost the same score, just measured earlier), and it would defeat the entire purpose of an early prediction system.</w:t>
      </w:r>
    </w:p>
    <w:p>
      <w:pPr>
        <w:pStyle w:val="Heading1"/>
        <w:spacing w:after="150" w:before="300"/>
      </w:pPr>
      <w:r>
        <w:rPr>
          <w:b/>
          <w:bCs/>
          <w:color w:val="000000"/>
        </w:rPr>
        <w:t xml:space="preserve">3. Dataset Description</w:t>
      </w:r>
    </w:p>
    <w:p>
      <w:pPr>
        <w:spacing w:after="200" w:line="300"/>
      </w:pPr>
      <w:r>
        <w:rPr>
          <w:color w:val="000000"/>
          <w:sz w:val="22"/>
          <w:szCs w:val="22"/>
        </w:rPr>
        <w:t xml:space="preserve">We used the well-known Student Performance dataset from the UCI Machine Learning Repository (Cortez &amp; Silva, 2008), which is publicly available. It comes as two separate files — one for a Mathematics course and one for Portuguese — which we combined into a single dataset of 1,044 records across 34 columns (the 33 original attributes plus a subject flag marking which course each record came from). That comfortably clears the minimum bar of 1,000 records and 10+ features.</w:t>
      </w:r>
    </w:p>
    <w:p>
      <w:pPr>
        <w:spacing w:after="200" w:line="300"/>
      </w:pPr>
      <w:r>
        <w:rPr>
          <w:color w:val="000000"/>
          <w:sz w:val="22"/>
          <w:szCs w:val="22"/>
        </w:rPr>
        <w:t xml:space="preserve">The attributes fall into a few natural groups:</w:t>
      </w:r>
    </w:p>
    <w:p>
      <w:pPr>
        <w:pStyle w:val="ListParagraph"/>
        <w:numPr>
          <w:ilvl w:val="0"/>
          <w:numId w:val="1"/>
        </w:numPr>
        <w:spacing w:after="100"/>
      </w:pPr>
      <w:r>
        <w:rPr>
          <w:color w:val="000000"/>
          <w:sz w:val="22"/>
          <w:szCs w:val="22"/>
        </w:rPr>
        <w:t xml:space="preserve">Demographics — age, sex, home address type, family size</w:t>
      </w:r>
    </w:p>
    <w:p>
      <w:pPr>
        <w:pStyle w:val="ListParagraph"/>
        <w:numPr>
          <w:ilvl w:val="0"/>
          <w:numId w:val="1"/>
        </w:numPr>
        <w:spacing w:after="100"/>
      </w:pPr>
      <w:r>
        <w:rPr>
          <w:color w:val="000000"/>
          <w:sz w:val="22"/>
          <w:szCs w:val="22"/>
        </w:rPr>
        <w:t xml:space="preserve">Parental background — mother's and father's education level, their jobs</w:t>
      </w:r>
    </w:p>
    <w:p>
      <w:pPr>
        <w:pStyle w:val="ListParagraph"/>
        <w:numPr>
          <w:ilvl w:val="0"/>
          <w:numId w:val="1"/>
        </w:numPr>
        <w:spacing w:after="100"/>
      </w:pPr>
      <w:r>
        <w:rPr>
          <w:color w:val="000000"/>
          <w:sz w:val="22"/>
          <w:szCs w:val="22"/>
        </w:rPr>
        <w:t xml:space="preserve">School-related factors — weekly study time, number of past class failures, extra school support, absences</w:t>
      </w:r>
    </w:p>
    <w:p>
      <w:pPr>
        <w:pStyle w:val="ListParagraph"/>
        <w:numPr>
          <w:ilvl w:val="0"/>
          <w:numId w:val="1"/>
        </w:numPr>
        <w:spacing w:after="100"/>
      </w:pPr>
      <w:r>
        <w:rPr>
          <w:color w:val="000000"/>
          <w:sz w:val="22"/>
          <w:szCs w:val="22"/>
        </w:rPr>
        <w:t xml:space="preserve">Social and lifestyle factors — how often the student goes out, weekday/weekend alcohol consumption, whether they're in a relationship, free time</w:t>
      </w:r>
    </w:p>
    <w:p>
      <w:pPr>
        <w:pStyle w:val="ListParagraph"/>
        <w:numPr>
          <w:ilvl w:val="0"/>
          <w:numId w:val="1"/>
        </w:numPr>
        <w:spacing w:after="100"/>
      </w:pPr>
      <w:r>
        <w:rPr>
          <w:color w:val="000000"/>
          <w:sz w:val="22"/>
          <w:szCs w:val="22"/>
        </w:rPr>
        <w:t xml:space="preserve">Grades — G1, G2, and G3, each on a 0–20 scale</w:t>
      </w:r>
    </w:p>
    <w:p>
      <w:pPr>
        <w:spacing w:after="200" w:line="300"/>
      </w:pPr>
      <w:r>
        <w:rPr>
          <w:color w:val="000000"/>
          <w:sz w:val="22"/>
          <w:szCs w:val="22"/>
        </w:rPr>
        <w:t xml:space="preserve">The target variable, passed, is derived from G3 ≥ 10. The classes aren't perfectly balanced — roughly 78% of students pass and 22% fail — which turned out to matter later when we looked at recall on the fail class. A complete data dictionary for every column is included alongside the notebook.</w:t>
      </w:r>
    </w:p>
    <w:p>
      <w:pPr>
        <w:pStyle w:val="Heading1"/>
        <w:spacing w:after="150" w:before="300"/>
      </w:pPr>
      <w:r>
        <w:rPr>
          <w:b/>
          <w:bCs/>
          <w:color w:val="000000"/>
        </w:rPr>
        <w:t xml:space="preserve">4. Data Preprocessing</w:t>
      </w:r>
    </w:p>
    <w:p>
      <w:pPr>
        <w:spacing w:after="200" w:line="300"/>
      </w:pPr>
      <w:r>
        <w:rPr>
          <w:color w:val="000000"/>
          <w:sz w:val="22"/>
          <w:szCs w:val="22"/>
        </w:rPr>
        <w:t xml:space="preserve">Before jumping into modelling, we ran a basic data-quality pass to see what we were actually working with:</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900"/>
      </w:tblGrid>
      <w:tr>
        <w:trPr>
          <w:tblHeader/>
        </w:trPr>
        <w:tc>
          <w:tcPr>
            <w:tcW w:type="dxa" w:w="3200"/>
            <w:shd w:fill="D9D9D9" w:color="auto" w:val="clear"/>
            <w:tcMar>
              <w:top w:type="dxa" w:w="80"/>
              <w:left w:type="dxa" w:w="100"/>
              <w:bottom w:type="dxa" w:w="80"/>
              <w:right w:type="dxa" w:w="100"/>
            </w:tcMar>
            <w:vAlign w:val="center"/>
          </w:tcPr>
          <w:p>
            <w:r>
              <w:rPr>
                <w:b/>
                <w:bCs/>
                <w:color w:val="000000"/>
                <w:sz w:val="20"/>
                <w:szCs w:val="20"/>
              </w:rPr>
              <w:t xml:space="preserve">Issue Checked</w:t>
            </w:r>
          </w:p>
        </w:tc>
        <w:tc>
          <w:tcPr>
            <w:tcW w:type="dxa" w:w="3600"/>
            <w:shd w:fill="D9D9D9" w:color="auto" w:val="clear"/>
            <w:tcMar>
              <w:top w:type="dxa" w:w="80"/>
              <w:left w:type="dxa" w:w="100"/>
              <w:bottom w:type="dxa" w:w="80"/>
              <w:right w:type="dxa" w:w="100"/>
            </w:tcMar>
            <w:vAlign w:val="center"/>
          </w:tcPr>
          <w:p>
            <w:r>
              <w:rPr>
                <w:b/>
                <w:bCs/>
                <w:color w:val="000000"/>
                <w:sz w:val="20"/>
                <w:szCs w:val="20"/>
              </w:rPr>
              <w:t xml:space="preserve">Finding</w:t>
            </w:r>
          </w:p>
        </w:tc>
        <w:tc>
          <w:tcPr>
            <w:tcW w:type="dxa" w:w="2900"/>
            <w:shd w:fill="D9D9D9" w:color="auto" w:val="clear"/>
            <w:tcMar>
              <w:top w:type="dxa" w:w="80"/>
              <w:left w:type="dxa" w:w="100"/>
              <w:bottom w:type="dxa" w:w="80"/>
              <w:right w:type="dxa" w:w="100"/>
            </w:tcMar>
            <w:vAlign w:val="center"/>
          </w:tcPr>
          <w:p>
            <w:r>
              <w:rPr>
                <w:b/>
                <w:bCs/>
                <w:color w:val="000000"/>
                <w:sz w:val="20"/>
                <w:szCs w:val="20"/>
              </w:rPr>
              <w:t xml:space="preserve">Action Taken</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Missing values</w:t>
            </w:r>
          </w:p>
        </w:tc>
        <w:tc>
          <w:tcPr>
            <w:tcW w:type="dxa" w:w="3600"/>
            <w:tcMar>
              <w:top w:type="dxa" w:w="80"/>
              <w:left w:type="dxa" w:w="100"/>
              <w:bottom w:type="dxa" w:w="80"/>
              <w:right w:type="dxa" w:w="100"/>
            </w:tcMar>
            <w:vAlign w:val="center"/>
          </w:tcPr>
          <w:p>
            <w:r>
              <w:rPr>
                <w:b w:val="false"/>
                <w:bCs w:val="false"/>
                <w:color w:val="000000"/>
                <w:sz w:val="20"/>
                <w:szCs w:val="20"/>
              </w:rPr>
              <w:t xml:space="preserve">None found</w:t>
            </w:r>
          </w:p>
        </w:tc>
        <w:tc>
          <w:tcPr>
            <w:tcW w:type="dxa" w:w="2900"/>
            <w:tcMar>
              <w:top w:type="dxa" w:w="80"/>
              <w:left w:type="dxa" w:w="100"/>
              <w:bottom w:type="dxa" w:w="80"/>
              <w:right w:type="dxa" w:w="100"/>
            </w:tcMar>
            <w:vAlign w:val="center"/>
          </w:tcPr>
          <w:p>
            <w:r>
              <w:rPr>
                <w:b w:val="false"/>
                <w:bCs w:val="false"/>
                <w:color w:val="000000"/>
                <w:sz w:val="20"/>
                <w:szCs w:val="20"/>
              </w:rPr>
              <w:t xml:space="preserve">No imputation was needed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Duplicate rows</w:t>
            </w:r>
          </w:p>
        </w:tc>
        <w:tc>
          <w:tcPr>
            <w:tcW w:type="dxa" w:w="3600"/>
            <w:tcMar>
              <w:top w:type="dxa" w:w="80"/>
              <w:left w:type="dxa" w:w="100"/>
              <w:bottom w:type="dxa" w:w="80"/>
              <w:right w:type="dxa" w:w="100"/>
            </w:tcMar>
            <w:vAlign w:val="center"/>
          </w:tcPr>
          <w:p>
            <w:r>
              <w:rPr>
                <w:b w:val="false"/>
                <w:bCs w:val="false"/>
                <w:color w:val="000000"/>
                <w:sz w:val="20"/>
                <w:szCs w:val="20"/>
              </w:rPr>
              <w:t xml:space="preserve">0 exact duplicates after merging the two files</w:t>
            </w:r>
          </w:p>
        </w:tc>
        <w:tc>
          <w:tcPr>
            <w:tcW w:type="dxa" w:w="2900"/>
            <w:tcMar>
              <w:top w:type="dxa" w:w="80"/>
              <w:left w:type="dxa" w:w="100"/>
              <w:bottom w:type="dxa" w:w="80"/>
              <w:right w:type="dxa" w:w="100"/>
            </w:tcMar>
            <w:vAlign w:val="center"/>
          </w:tcPr>
          <w:p>
            <w:r>
              <w:rPr>
                <w:b w:val="false"/>
                <w:bCs w:val="false"/>
                <w:color w:val="000000"/>
                <w:sz w:val="20"/>
                <w:szCs w:val="20"/>
              </w:rPr>
              <w:t xml:space="preserve">Verified with drop_duplicates()</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Outliers (IQR rule)</w:t>
            </w:r>
          </w:p>
        </w:tc>
        <w:tc>
          <w:tcPr>
            <w:tcW w:type="dxa" w:w="3600"/>
            <w:tcMar>
              <w:top w:type="dxa" w:w="80"/>
              <w:left w:type="dxa" w:w="100"/>
              <w:bottom w:type="dxa" w:w="80"/>
              <w:right w:type="dxa" w:w="100"/>
            </w:tcMar>
            <w:vAlign w:val="center"/>
          </w:tcPr>
          <w:p>
            <w:r>
              <w:rPr>
                <w:b w:val="false"/>
                <w:bCs w:val="false"/>
                <w:color w:val="000000"/>
                <w:sz w:val="20"/>
                <w:szCs w:val="20"/>
              </w:rPr>
              <w:t xml:space="preserve">Mainly in absences (max value of 93, strongly right-skewed) and failures</w:t>
            </w:r>
          </w:p>
        </w:tc>
        <w:tc>
          <w:tcPr>
            <w:tcW w:type="dxa" w:w="2900"/>
            <w:tcMar>
              <w:top w:type="dxa" w:w="80"/>
              <w:left w:type="dxa" w:w="100"/>
              <w:bottom w:type="dxa" w:w="80"/>
              <w:right w:type="dxa" w:w="100"/>
            </w:tcMar>
            <w:vAlign w:val="center"/>
          </w:tcPr>
          <w:p>
            <w:r>
              <w:rPr>
                <w:b w:val="false"/>
                <w:bCs w:val="false"/>
                <w:color w:val="000000"/>
                <w:sz w:val="20"/>
                <w:szCs w:val="20"/>
              </w:rPr>
              <w:t xml:space="preserve">absences capped at the 99th percentile and log-transformed</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Data types</w:t>
            </w:r>
          </w:p>
        </w:tc>
        <w:tc>
          <w:tcPr>
            <w:tcW w:type="dxa" w:w="3600"/>
            <w:tcMar>
              <w:top w:type="dxa" w:w="80"/>
              <w:left w:type="dxa" w:w="100"/>
              <w:bottom w:type="dxa" w:w="80"/>
              <w:right w:type="dxa" w:w="100"/>
            </w:tcMar>
            <w:vAlign w:val="center"/>
          </w:tcPr>
          <w:p>
            <w:r>
              <w:rPr>
                <w:b w:val="false"/>
                <w:bCs w:val="false"/>
                <w:color w:val="000000"/>
                <w:sz w:val="20"/>
                <w:szCs w:val="20"/>
              </w:rPr>
              <w:t xml:space="preserve">Grade columns were read in as strings in one of the two files</w:t>
            </w:r>
          </w:p>
        </w:tc>
        <w:tc>
          <w:tcPr>
            <w:tcW w:type="dxa" w:w="2900"/>
            <w:tcMar>
              <w:top w:type="dxa" w:w="80"/>
              <w:left w:type="dxa" w:w="100"/>
              <w:bottom w:type="dxa" w:w="80"/>
              <w:right w:type="dxa" w:w="100"/>
            </w:tcMar>
            <w:vAlign w:val="center"/>
          </w:tcPr>
          <w:p>
            <w:r>
              <w:rPr>
                <w:b w:val="false"/>
                <w:bCs w:val="false"/>
                <w:color w:val="000000"/>
                <w:sz w:val="20"/>
                <w:szCs w:val="20"/>
              </w:rPr>
              <w:t xml:space="preserve">Forced to numeric with pd.to_numeric</w:t>
            </w:r>
          </w:p>
        </w:tc>
      </w:tr>
      <w:tr>
        <w:tc>
          <w:tcPr>
            <w:tcW w:type="dxa" w:w="3200"/>
            <w:tcMar>
              <w:top w:type="dxa" w:w="80"/>
              <w:left w:type="dxa" w:w="100"/>
              <w:bottom w:type="dxa" w:w="80"/>
              <w:right w:type="dxa" w:w="100"/>
            </w:tcMar>
            <w:vAlign w:val="center"/>
          </w:tcPr>
          <w:p>
            <w:r>
              <w:rPr>
                <w:b w:val="false"/>
                <w:bCs w:val="false"/>
                <w:color w:val="000000"/>
                <w:sz w:val="20"/>
                <w:szCs w:val="20"/>
              </w:rPr>
              <w:t xml:space="preserve">Inconsistent categorical values</w:t>
            </w:r>
          </w:p>
        </w:tc>
        <w:tc>
          <w:tcPr>
            <w:tcW w:type="dxa" w:w="3600"/>
            <w:tcMar>
              <w:top w:type="dxa" w:w="80"/>
              <w:left w:type="dxa" w:w="100"/>
              <w:bottom w:type="dxa" w:w="80"/>
              <w:right w:type="dxa" w:w="100"/>
            </w:tcMar>
            <w:vAlign w:val="center"/>
          </w:tcPr>
          <w:p>
            <w:r>
              <w:rPr>
                <w:b w:val="false"/>
                <w:bCs w:val="false"/>
                <w:color w:val="000000"/>
                <w:sz w:val="20"/>
                <w:szCs w:val="20"/>
              </w:rPr>
              <w:t xml:space="preserve">None — categorical levels matched the official documentation</w:t>
            </w:r>
          </w:p>
        </w:tc>
        <w:tc>
          <w:tcPr>
            <w:tcW w:type="dxa" w:w="2900"/>
            <w:tcMar>
              <w:top w:type="dxa" w:w="80"/>
              <w:left w:type="dxa" w:w="100"/>
              <w:bottom w:type="dxa" w:w="80"/>
              <w:right w:type="dxa" w:w="100"/>
            </w:tcMar>
            <w:vAlign w:val="center"/>
          </w:tcPr>
          <w:p>
            <w:r>
              <w:rPr>
                <w:b w:val="false"/>
                <w:bCs w:val="false"/>
                <w:color w:val="000000"/>
                <w:sz w:val="20"/>
                <w:szCs w:val="20"/>
              </w:rPr>
              <w:t xml:space="preserve">No action required</w:t>
            </w:r>
          </w:p>
        </w:tc>
      </w:tr>
    </w:tbl>
    <w:p>
      <w:pPr>
        <w:spacing w:after="200" w:line="300"/>
      </w:pPr>
      <w:r>
        <w:rPr>
          <w:color w:val="000000"/>
          <w:sz w:val="22"/>
          <w:szCs w:val="22"/>
        </w:rPr>
        <w:t xml:space="preserve"/>
      </w:r>
    </w:p>
    <w:p>
      <w:pPr>
        <w:spacing w:after="200" w:line="300"/>
      </w:pPr>
      <w:r>
        <w:rPr>
          <w:color w:val="000000"/>
          <w:sz w:val="22"/>
          <w:szCs w:val="22"/>
        </w:rPr>
        <w:t xml:space="preserve">Beyond the cleanup, we one-hot encoded the nominal categorical columns (Mjob, Fjob, reason, guardian) and label-encoded 14 binary attributes. All numeric features were scaled using StandardScaler, and — importantly — the scaler was fit only on the training split to avoid leaking any test-set information. The data was split 80/20 (835 training records, 209 test records) using stratified sampling to preserve the pass/fail ratio in both sets.</w:t>
      </w:r>
    </w:p>
    <w:p>
      <w:pPr>
        <w:jc w:val="center"/>
      </w:pPr>
      <w:r>
        <w:drawing>
          <wp:inline xmlns:a="http://schemas.openxmlformats.org/drawingml/2006/main" xmlns:pic="http://schemas.openxmlformats.org/drawingml/2006/picture">
            <wp:extent cx="5760720" cy="3551464"/>
            <wp:docPr id="7" name="Picture 7"/>
            <wp:cNvGraphicFramePr>
              <a:graphicFrameLocks noChangeAspect="1"/>
            </wp:cNvGraphicFramePr>
            <a:graphic>
              <a:graphicData uri="http://schemas.openxmlformats.org/drawingml/2006/picture">
                <pic:pic>
                  <pic:nvPicPr>
                    <pic:cNvPr id="0" name="01_hist_final_grade.png"/>
                    <pic:cNvPicPr/>
                  </pic:nvPicPr>
                  <pic:blipFill>
                    <a:blip r:embed="rId14"/>
                    <a:stretch>
                      <a:fillRect/>
                    </a:stretch>
                  </pic:blipFill>
                  <pic:spPr>
                    <a:xfrm>
                      <a:off x="0" y="0"/>
                      <a:ext cx="5760720" cy="3551464"/>
                    </a:xfrm>
                    <a:prstGeom prst="rect"/>
                  </pic:spPr>
                </pic:pic>
              </a:graphicData>
            </a:graphic>
          </wp:inline>
        </w:drawing>
      </w:r>
    </w:p>
    <w:p>
      <w:pPr>
        <w:jc w:val="center"/>
      </w:pPr>
      <w:r>
        <w:t>Figure 5.1: Distribution of Final Grade (G3)</w:t>
      </w:r>
    </w:p>
    <w:p>
      <w:pPr>
        <w:jc w:val="center"/>
      </w:pPr>
      <w:r>
        <w:drawing>
          <wp:inline xmlns:a="http://schemas.openxmlformats.org/drawingml/2006/main" xmlns:pic="http://schemas.openxmlformats.org/drawingml/2006/picture">
            <wp:extent cx="5760720" cy="3260095"/>
            <wp:docPr id="6" name="Picture 6"/>
            <wp:cNvGraphicFramePr>
              <a:graphicFrameLocks noChangeAspect="1"/>
            </wp:cNvGraphicFramePr>
            <a:graphic>
              <a:graphicData uri="http://schemas.openxmlformats.org/drawingml/2006/picture">
                <pic:pic>
                  <pic:nvPicPr>
                    <pic:cNvPr id="0" name="02_hist_numeric_features.png"/>
                    <pic:cNvPicPr/>
                  </pic:nvPicPr>
                  <pic:blipFill>
                    <a:blip r:embed="rId13"/>
                    <a:stretch>
                      <a:fillRect/>
                    </a:stretch>
                  </pic:blipFill>
                  <pic:spPr>
                    <a:xfrm>
                      <a:off x="0" y="0"/>
                      <a:ext cx="5760720" cy="3260095"/>
                    </a:xfrm>
                    <a:prstGeom prst="rect"/>
                  </pic:spPr>
                </pic:pic>
              </a:graphicData>
            </a:graphic>
          </wp:inline>
        </w:drawing>
      </w:r>
    </w:p>
    <w:p>
      <w:pPr>
        <w:jc w:val="center"/>
      </w:pPr>
      <w:r>
        <w:t>Figure 5.2: Distribution of Numeric Features</w:t>
      </w:r>
    </w:p>
    <w:p>
      <w:pPr>
        <w:jc w:val="center"/>
      </w:pPr>
      <w:r>
        <w:drawing>
          <wp:inline xmlns:a="http://schemas.openxmlformats.org/drawingml/2006/main" xmlns:pic="http://schemas.openxmlformats.org/drawingml/2006/picture">
            <wp:extent cx="5760720" cy="3965171"/>
            <wp:docPr id="5" name="Picture 5"/>
            <wp:cNvGraphicFramePr>
              <a:graphicFrameLocks noChangeAspect="1"/>
            </wp:cNvGraphicFramePr>
            <a:graphic>
              <a:graphicData uri="http://schemas.openxmlformats.org/drawingml/2006/picture">
                <pic:pic>
                  <pic:nvPicPr>
                    <pic:cNvPr id="0" name="03_boxplots_grade_factors.png"/>
                    <pic:cNvPicPr/>
                  </pic:nvPicPr>
                  <pic:blipFill>
                    <a:blip r:embed="rId12"/>
                    <a:stretch>
                      <a:fillRect/>
                    </a:stretch>
                  </pic:blipFill>
                  <pic:spPr>
                    <a:xfrm>
                      <a:off x="0" y="0"/>
                      <a:ext cx="5760720" cy="3965171"/>
                    </a:xfrm>
                    <a:prstGeom prst="rect"/>
                  </pic:spPr>
                </pic:pic>
              </a:graphicData>
            </a:graphic>
          </wp:inline>
        </w:drawing>
      </w:r>
    </w:p>
    <w:p>
      <w:pPr>
        <w:jc w:val="center"/>
      </w:pPr>
      <w:r>
        <w:t>Figure 5.3: Boxplots of Grade Factors</w:t>
      </w:r>
    </w:p>
    <w:p>
      <w:pPr>
        <w:jc w:val="center"/>
      </w:pPr>
      <w:r>
        <w:drawing>
          <wp:inline xmlns:a="http://schemas.openxmlformats.org/drawingml/2006/main" xmlns:pic="http://schemas.openxmlformats.org/drawingml/2006/picture">
            <wp:extent cx="5760720" cy="5079751"/>
            <wp:docPr id="4" name="Picture 4"/>
            <wp:cNvGraphicFramePr>
              <a:graphicFrameLocks noChangeAspect="1"/>
            </wp:cNvGraphicFramePr>
            <a:graphic>
              <a:graphicData uri="http://schemas.openxmlformats.org/drawingml/2006/picture">
                <pic:pic>
                  <pic:nvPicPr>
                    <pic:cNvPr id="0" name="04_correlation_heatmap.png"/>
                    <pic:cNvPicPr/>
                  </pic:nvPicPr>
                  <pic:blipFill>
                    <a:blip r:embed="rId11"/>
                    <a:stretch>
                      <a:fillRect/>
                    </a:stretch>
                  </pic:blipFill>
                  <pic:spPr>
                    <a:xfrm>
                      <a:off x="0" y="0"/>
                      <a:ext cx="5760720" cy="5079751"/>
                    </a:xfrm>
                    <a:prstGeom prst="rect"/>
                  </pic:spPr>
                </pic:pic>
              </a:graphicData>
            </a:graphic>
          </wp:inline>
        </w:drawing>
      </w:r>
    </w:p>
    <w:p>
      <w:pPr>
        <w:jc w:val="center"/>
      </w:pPr>
      <w:r>
        <w:t>Figure 5.4: Correlation Heatmap</w:t>
      </w:r>
    </w:p>
    <w:p>
      <w:pPr>
        <w:jc w:val="center"/>
      </w:pPr>
      <w:r>
        <w:drawing>
          <wp:inline xmlns:a="http://schemas.openxmlformats.org/drawingml/2006/main" xmlns:pic="http://schemas.openxmlformats.org/drawingml/2006/picture">
            <wp:extent cx="5760720" cy="2169622"/>
            <wp:docPr id="3" name="Picture 3"/>
            <wp:cNvGraphicFramePr>
              <a:graphicFrameLocks noChangeAspect="1"/>
            </wp:cNvGraphicFramePr>
            <a:graphic>
              <a:graphicData uri="http://schemas.openxmlformats.org/drawingml/2006/picture">
                <pic:pic>
                  <pic:nvPicPr>
                    <pic:cNvPr id="0" name="05_scatter_plots.png"/>
                    <pic:cNvPicPr/>
                  </pic:nvPicPr>
                  <pic:blipFill>
                    <a:blip r:embed="rId10"/>
                    <a:stretch>
                      <a:fillRect/>
                    </a:stretch>
                  </pic:blipFill>
                  <pic:spPr>
                    <a:xfrm>
                      <a:off x="0" y="0"/>
                      <a:ext cx="5760720" cy="2169622"/>
                    </a:xfrm>
                    <a:prstGeom prst="rect"/>
                  </pic:spPr>
                </pic:pic>
              </a:graphicData>
            </a:graphic>
          </wp:inline>
        </w:drawing>
      </w:r>
    </w:p>
    <w:p>
      <w:pPr>
        <w:jc w:val="center"/>
      </w:pPr>
      <w:r>
        <w:t>Figure 5.5: Scatter Plots</w:t>
      </w:r>
    </w:p>
    <w:p>
      <w:pPr>
        <w:jc w:val="center"/>
      </w:pPr>
      <w:r>
        <w:drawing>
          <wp:inline xmlns:a="http://schemas.openxmlformats.org/drawingml/2006/main" xmlns:pic="http://schemas.openxmlformats.org/drawingml/2006/picture">
            <wp:extent cx="5760720" cy="3040693"/>
            <wp:docPr id="2" name="Picture 2"/>
            <wp:cNvGraphicFramePr>
              <a:graphicFrameLocks noChangeAspect="1"/>
            </wp:cNvGraphicFramePr>
            <a:graphic>
              <a:graphicData uri="http://schemas.openxmlformats.org/drawingml/2006/picture">
                <pic:pic>
                  <pic:nvPicPr>
                    <pic:cNvPr id="0" name="06_count_plots.png"/>
                    <pic:cNvPicPr/>
                  </pic:nvPicPr>
                  <pic:blipFill>
                    <a:blip r:embed="rId9"/>
                    <a:stretch>
                      <a:fillRect/>
                    </a:stretch>
                  </pic:blipFill>
                  <pic:spPr>
                    <a:xfrm>
                      <a:off x="0" y="0"/>
                      <a:ext cx="5760720" cy="3040693"/>
                    </a:xfrm>
                    <a:prstGeom prst="rect"/>
                  </pic:spPr>
                </pic:pic>
              </a:graphicData>
            </a:graphic>
          </wp:inline>
        </w:drawing>
      </w:r>
    </w:p>
    <w:p>
      <w:pPr>
        <w:jc w:val="center"/>
      </w:pPr>
      <w:r>
        <w:t>Figure 5.6: Count Plots</w:t>
      </w:r>
    </w:p>
    <w:p>
      <w:pPr>
        <w:jc w:val="center"/>
      </w:pPr>
      <w:r>
        <w:drawing>
          <wp:inline xmlns:a="http://schemas.openxmlformats.org/drawingml/2006/main" xmlns:pic="http://schemas.openxmlformats.org/drawingml/2006/picture">
            <wp:extent cx="5760720" cy="4442994"/>
            <wp:docPr id="9" name="Picture 9"/>
            <wp:cNvGraphicFramePr>
              <a:graphicFrameLocks noChangeAspect="1"/>
            </wp:cNvGraphicFramePr>
            <a:graphic>
              <a:graphicData uri="http://schemas.openxmlformats.org/drawingml/2006/picture">
                <pic:pic>
                  <pic:nvPicPr>
                    <pic:cNvPr id="0" name="08_feature_importance.png"/>
                    <pic:cNvPicPr/>
                  </pic:nvPicPr>
                  <pic:blipFill>
                    <a:blip r:embed="rId16"/>
                    <a:stretch>
                      <a:fillRect/>
                    </a:stretch>
                  </pic:blipFill>
                  <pic:spPr>
                    <a:xfrm>
                      <a:off x="0" y="0"/>
                      <a:ext cx="5760720" cy="4442994"/>
                    </a:xfrm>
                    <a:prstGeom prst="rect"/>
                  </pic:spPr>
                </pic:pic>
              </a:graphicData>
            </a:graphic>
          </wp:inline>
        </w:drawing>
      </w:r>
    </w:p>
    <w:p>
      <w:pPr>
        <w:jc w:val="center"/>
      </w:pPr>
      <w:r>
        <w:t>Figure 7.1: Random Forest Feature Importance</w:t>
      </w:r>
    </w:p>
    <w:p>
      <w:pPr>
        <w:jc w:val="center"/>
      </w:pPr>
      <w:r>
        <w:drawing>
          <wp:inline xmlns:a="http://schemas.openxmlformats.org/drawingml/2006/main" xmlns:pic="http://schemas.openxmlformats.org/drawingml/2006/picture">
            <wp:extent cx="5760720" cy="4446339"/>
            <wp:docPr id="8" name="Picture 8"/>
            <wp:cNvGraphicFramePr>
              <a:graphicFrameLocks noChangeAspect="1"/>
            </wp:cNvGraphicFramePr>
            <a:graphic>
              <a:graphicData uri="http://schemas.openxmlformats.org/drawingml/2006/picture">
                <pic:pic>
                  <pic:nvPicPr>
                    <pic:cNvPr id="0" name="09_chi_square_scores.png"/>
                    <pic:cNvPicPr/>
                  </pic:nvPicPr>
                  <pic:blipFill>
                    <a:blip r:embed="rId15"/>
                    <a:stretch>
                      <a:fillRect/>
                    </a:stretch>
                  </pic:blipFill>
                  <pic:spPr>
                    <a:xfrm>
                      <a:off x="0" y="0"/>
                      <a:ext cx="5760720" cy="4446339"/>
                    </a:xfrm>
                    <a:prstGeom prst="rect"/>
                  </pic:spPr>
                </pic:pic>
              </a:graphicData>
            </a:graphic>
          </wp:inline>
        </w:drawing>
      </w:r>
    </w:p>
    <w:p>
      <w:pPr>
        <w:jc w:val="center"/>
      </w:pPr>
      <w:r>
        <w:t>Figure 7.2: Chi-Square Feature Scores</w:t>
      </w:r>
    </w:p>
    <w:p>
      <w:pPr>
        <w:jc w:val="center"/>
      </w:pPr>
      <w:r>
        <w:drawing>
          <wp:inline xmlns:a="http://schemas.openxmlformats.org/drawingml/2006/main" xmlns:pic="http://schemas.openxmlformats.org/drawingml/2006/picture">
            <wp:extent cx="5760720" cy="5480600"/>
            <wp:docPr id="1" name="Picture 1"/>
            <wp:cNvGraphicFramePr>
              <a:graphicFrameLocks noChangeAspect="1"/>
            </wp:cNvGraphicFramePr>
            <a:graphic>
              <a:graphicData uri="http://schemas.openxmlformats.org/drawingml/2006/picture">
                <pic:pic>
                  <pic:nvPicPr>
                    <pic:cNvPr id="0" name="07_pair_plot.png"/>
                    <pic:cNvPicPr/>
                  </pic:nvPicPr>
                  <pic:blipFill>
                    <a:blip r:embed="rId8"/>
                    <a:stretch>
                      <a:fillRect/>
                    </a:stretch>
                  </pic:blipFill>
                  <pic:spPr>
                    <a:xfrm>
                      <a:off x="0" y="0"/>
                      <a:ext cx="5760720" cy="5480600"/>
                    </a:xfrm>
                    <a:prstGeom prst="rect"/>
                  </pic:spPr>
                </pic:pic>
              </a:graphicData>
            </a:graphic>
          </wp:inline>
        </w:drawing>
      </w:r>
    </w:p>
    <w:p>
      <w:pPr>
        <w:jc w:val="center"/>
      </w:pPr>
      <w:r>
        <w:t>Figure 5.7: Pair Plot</w:t>
      </w:r>
    </w:p>
    <w:p>
      <w:pPr>
        <w:pStyle w:val="Heading1"/>
        <w:spacing w:after="150" w:before="300"/>
      </w:pPr>
      <w:r>
        <w:rPr>
          <w:b/>
          <w:bCs/>
          <w:color w:val="000000"/>
        </w:rPr>
        <w:t xml:space="preserve">5. Exploratory Data Analysis</w:t>
      </w:r>
    </w:p>
    <w:p>
      <w:pPr>
        <w:spacing w:after="200" w:line="300"/>
      </w:pPr>
      <w:r>
        <w:rPr>
          <w:color w:val="000000"/>
          <w:sz w:val="22"/>
          <w:szCs w:val="22"/>
        </w:rPr>
        <w:t xml:space="preserve">We produced a fairly standard set of EDA visuals — histograms, boxplots, a correlation heatmap, scatter plots, count plots, and a pair plot — all saved under outputs/figures/ for reference. A few things stood out:</w:t>
      </w:r>
    </w:p>
    <w:p>
      <w:pPr>
        <w:pStyle w:val="ListParagraph"/>
        <w:numPr>
          <w:ilvl w:val="0"/>
          <w:numId w:val="1"/>
        </w:numPr>
        <w:spacing w:after="100"/>
      </w:pPr>
      <w:r>
        <w:rPr>
          <w:color w:val="000000"/>
          <w:sz w:val="22"/>
          <w:szCs w:val="22"/>
        </w:rPr>
        <w:t xml:space="preserve">The distribution of G3 is roughly bell-shaped, centered around 10–12, with a small but noticeable spike at 0 — students who essentially abandoned the course.</w:t>
      </w:r>
    </w:p>
    <w:p>
      <w:pPr>
        <w:pStyle w:val="ListParagraph"/>
        <w:numPr>
          <w:ilvl w:val="0"/>
          <w:numId w:val="1"/>
        </w:numPr>
        <w:spacing w:after="100"/>
      </w:pPr>
      <w:r>
        <w:rPr>
          <w:color w:val="000000"/>
          <w:sz w:val="22"/>
          <w:szCs w:val="22"/>
        </w:rPr>
        <w:t xml:space="preserve">failures has by far the strongest negative correlation with G3. Students who've already failed a class before tend not to bounce back without some form of intervention.</w:t>
      </w:r>
    </w:p>
    <w:p>
      <w:pPr>
        <w:pStyle w:val="ListParagraph"/>
        <w:numPr>
          <w:ilvl w:val="0"/>
          <w:numId w:val="1"/>
        </w:numPr>
        <w:spacing w:after="100"/>
      </w:pPr>
      <w:r>
        <w:rPr>
          <w:color w:val="000000"/>
          <w:sz w:val="22"/>
          <w:szCs w:val="22"/>
        </w:rPr>
        <w:t xml:space="preserve">Higher parental education, more weekly study time, and stated intent to pursue higher education were all positively associated with passing.</w:t>
      </w:r>
    </w:p>
    <w:p>
      <w:pPr>
        <w:pStyle w:val="ListParagraph"/>
        <w:numPr>
          <w:ilvl w:val="0"/>
          <w:numId w:val="1"/>
        </w:numPr>
        <w:spacing w:after="100"/>
      </w:pPr>
      <w:r>
        <w:rPr>
          <w:color w:val="000000"/>
          <w:sz w:val="22"/>
          <w:szCs w:val="22"/>
        </w:rPr>
        <w:t xml:space="preserve">Frequent going out and higher alcohol consumption both lined up with lower grades.</w:t>
      </w:r>
    </w:p>
    <w:p>
      <w:pPr>
        <w:jc w:val="center"/>
      </w:pPr>
      <w:r>
        <w:drawing>
          <wp:inline xmlns:a="http://schemas.openxmlformats.org/drawingml/2006/main" xmlns:pic="http://schemas.openxmlformats.org/drawingml/2006/picture">
            <wp:extent cx="5760720" cy="5806035"/>
            <wp:docPr id="12" name="Picture 12"/>
            <wp:cNvGraphicFramePr>
              <a:graphicFrameLocks noChangeAspect="1"/>
            </wp:cNvGraphicFramePr>
            <a:graphic>
              <a:graphicData uri="http://schemas.openxmlformats.org/drawingml/2006/picture">
                <pic:pic>
                  <pic:nvPicPr>
                    <pic:cNvPr id="0" name="10_roc_curves.png"/>
                    <pic:cNvPicPr/>
                  </pic:nvPicPr>
                  <pic:blipFill>
                    <a:blip r:embed="rId19"/>
                    <a:stretch>
                      <a:fillRect/>
                    </a:stretch>
                  </pic:blipFill>
                  <pic:spPr>
                    <a:xfrm>
                      <a:off x="0" y="0"/>
                      <a:ext cx="5760720" cy="5806035"/>
                    </a:xfrm>
                    <a:prstGeom prst="rect"/>
                  </pic:spPr>
                </pic:pic>
              </a:graphicData>
            </a:graphic>
          </wp:inline>
        </w:drawing>
      </w:r>
    </w:p>
    <w:p>
      <w:pPr>
        <w:jc w:val="center"/>
      </w:pPr>
      <w:r>
        <w:t>Figure 9.1: ROC Curves</w:t>
      </w:r>
    </w:p>
    <w:p>
      <w:pPr>
        <w:jc w:val="center"/>
      </w:pPr>
      <w:r>
        <w:drawing>
          <wp:inline xmlns:a="http://schemas.openxmlformats.org/drawingml/2006/main" xmlns:pic="http://schemas.openxmlformats.org/drawingml/2006/picture">
            <wp:extent cx="5760720" cy="4890541"/>
            <wp:docPr id="11" name="Picture 11"/>
            <wp:cNvGraphicFramePr>
              <a:graphicFrameLocks noChangeAspect="1"/>
            </wp:cNvGraphicFramePr>
            <a:graphic>
              <a:graphicData uri="http://schemas.openxmlformats.org/drawingml/2006/picture">
                <pic:pic>
                  <pic:nvPicPr>
                    <pic:cNvPr id="0" name="11_confusion_matrix_best.png"/>
                    <pic:cNvPicPr/>
                  </pic:nvPicPr>
                  <pic:blipFill>
                    <a:blip r:embed="rId18"/>
                    <a:stretch>
                      <a:fillRect/>
                    </a:stretch>
                  </pic:blipFill>
                  <pic:spPr>
                    <a:xfrm>
                      <a:off x="0" y="0"/>
                      <a:ext cx="5760720" cy="4890541"/>
                    </a:xfrm>
                    <a:prstGeom prst="rect"/>
                  </pic:spPr>
                </pic:pic>
              </a:graphicData>
            </a:graphic>
          </wp:inline>
        </w:drawing>
      </w:r>
    </w:p>
    <w:p>
      <w:pPr>
        <w:jc w:val="center"/>
      </w:pPr>
      <w:r>
        <w:t>Figure 9.2: Confusion Matrix</w:t>
      </w:r>
    </w:p>
    <w:p>
      <w:pPr>
        <w:jc w:val="center"/>
      </w:pPr>
      <w:r>
        <w:drawing>
          <wp:inline xmlns:a="http://schemas.openxmlformats.org/drawingml/2006/main" xmlns:pic="http://schemas.openxmlformats.org/drawingml/2006/picture">
            <wp:extent cx="5760720" cy="3105471"/>
            <wp:docPr id="10" name="Picture 10"/>
            <wp:cNvGraphicFramePr>
              <a:graphicFrameLocks noChangeAspect="1"/>
            </wp:cNvGraphicFramePr>
            <a:graphic>
              <a:graphicData uri="http://schemas.openxmlformats.org/drawingml/2006/picture">
                <pic:pic>
                  <pic:nvPicPr>
                    <pic:cNvPr id="0" name="12_model_comparison.png"/>
                    <pic:cNvPicPr/>
                  </pic:nvPicPr>
                  <pic:blipFill>
                    <a:blip r:embed="rId17"/>
                    <a:stretch>
                      <a:fillRect/>
                    </a:stretch>
                  </pic:blipFill>
                  <pic:spPr>
                    <a:xfrm>
                      <a:off x="0" y="0"/>
                      <a:ext cx="5760720" cy="3105471"/>
                    </a:xfrm>
                    <a:prstGeom prst="rect"/>
                  </pic:spPr>
                </pic:pic>
              </a:graphicData>
            </a:graphic>
          </wp:inline>
        </w:drawing>
      </w:r>
    </w:p>
    <w:p>
      <w:pPr>
        <w:jc w:val="center"/>
      </w:pPr>
      <w:r>
        <w:t>Figure 9.3: Model Comparison</w:t>
      </w:r>
    </w:p>
    <w:p>
      <w:pPr>
        <w:pStyle w:val="ListParagraph"/>
        <w:numPr>
          <w:ilvl w:val="0"/>
          <w:numId w:val="1"/>
        </w:numPr>
        <w:spacing w:after="100"/>
      </w:pPr>
      <w:r>
        <w:rPr>
          <w:color w:val="000000"/>
          <w:sz w:val="22"/>
          <w:szCs w:val="22"/>
        </w:rPr>
        <w:t xml:space="preserve">As expected, G1 and G2 correlate with G3 at r &gt; 0.80 — strong confirmation that they had to be dropped to keep this an honest early-prediction problem.</w:t>
      </w:r>
    </w:p>
    <w:p>
      <w:pPr>
        <w:pStyle w:val="ListParagraph"/>
        <w:numPr>
          <w:ilvl w:val="0"/>
          <w:numId w:val="1"/>
        </w:numPr>
        <w:spacing w:after="100"/>
      </w:pPr>
      <w:r>
        <w:rPr>
          <w:color w:val="000000"/>
          <w:sz w:val="22"/>
          <w:szCs w:val="22"/>
        </w:rPr>
        <w:t xml:space="preserve">Portuguese-course students passed at a noticeably higher rate than Math students, which is why we kept subject as a feature rather than discarding it.</w:t>
      </w:r>
    </w:p>
    <w:p>
      <w:pPr>
        <w:pStyle w:val="Heading1"/>
        <w:spacing w:after="150" w:before="300"/>
      </w:pPr>
      <w:r>
        <w:rPr>
          <w:b/>
          <w:bCs/>
          <w:color w:val="000000"/>
        </w:rPr>
        <w:t xml:space="preserve">6. Feature Engineering</w:t>
      </w:r>
    </w:p>
    <w:p>
      <w:pPr>
        <w:spacing w:after="200" w:line="300"/>
      </w:pPr>
      <w:r>
        <w:rPr>
          <w:color w:val="000000"/>
          <w:sz w:val="22"/>
          <w:szCs w:val="22"/>
        </w:rPr>
        <w:t xml:space="preserve">Rather than feeding the raw attributes straight into the models, we engineered six additional features that we thought would carry more signal than the individual raw columns on their 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00"/>
      </w:tblGrid>
      <w:tr>
        <w:trPr>
          <w:tblHeader/>
        </w:trPr>
        <w:tc>
          <w:tcPr>
            <w:tcW w:type="dxa" w:w="2600"/>
            <w:shd w:fill="D9D9D9" w:color="auto" w:val="clear"/>
            <w:tcMar>
              <w:top w:type="dxa" w:w="80"/>
              <w:left w:type="dxa" w:w="100"/>
              <w:bottom w:type="dxa" w:w="80"/>
              <w:right w:type="dxa" w:w="100"/>
            </w:tcMar>
            <w:vAlign w:val="center"/>
          </w:tcPr>
          <w:p>
            <w:r>
              <w:rPr>
                <w:b/>
                <w:bCs/>
                <w:color w:val="000000"/>
                <w:sz w:val="20"/>
                <w:szCs w:val="20"/>
              </w:rPr>
              <w:t xml:space="preserve">Feature</w:t>
            </w:r>
          </w:p>
        </w:tc>
        <w:tc>
          <w:tcPr>
            <w:tcW w:type="dxa" w:w="2900"/>
            <w:shd w:fill="D9D9D9" w:color="auto" w:val="clear"/>
            <w:tcMar>
              <w:top w:type="dxa" w:w="80"/>
              <w:left w:type="dxa" w:w="100"/>
              <w:bottom w:type="dxa" w:w="80"/>
              <w:right w:type="dxa" w:w="100"/>
            </w:tcMar>
            <w:vAlign w:val="center"/>
          </w:tcPr>
          <w:p>
            <w:r>
              <w:rPr>
                <w:b/>
                <w:bCs/>
                <w:color w:val="000000"/>
                <w:sz w:val="20"/>
                <w:szCs w:val="20"/>
              </w:rPr>
              <w:t xml:space="preserve">Definition</w:t>
            </w:r>
          </w:p>
        </w:tc>
        <w:tc>
          <w:tcPr>
            <w:tcW w:type="dxa" w:w="4200"/>
            <w:shd w:fill="D9D9D9" w:color="auto" w:val="clear"/>
            <w:tcMar>
              <w:top w:type="dxa" w:w="80"/>
              <w:left w:type="dxa" w:w="100"/>
              <w:bottom w:type="dxa" w:w="80"/>
              <w:right w:type="dxa" w:w="100"/>
            </w:tcMar>
            <w:vAlign w:val="center"/>
          </w:tcPr>
          <w:p>
            <w:r>
              <w:rPr>
                <w:b/>
                <w:bCs/>
                <w:color w:val="000000"/>
                <w:sz w:val="20"/>
                <w:szCs w:val="20"/>
              </w:rPr>
              <w:t xml:space="preserve">Rationale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parent_edu_avg</w:t>
            </w:r>
          </w:p>
        </w:tc>
        <w:tc>
          <w:tcPr>
            <w:tcW w:type="dxa" w:w="2900"/>
            <w:tcMar>
              <w:top w:type="dxa" w:w="80"/>
              <w:left w:type="dxa" w:w="100"/>
              <w:bottom w:type="dxa" w:w="80"/>
              <w:right w:type="dxa" w:w="100"/>
            </w:tcMar>
            <w:vAlign w:val="center"/>
          </w:tcPr>
          <w:p>
            <w:r>
              <w:rPr>
                <w:b w:val="false"/>
                <w:bCs w:val="false"/>
                <w:color w:val="000000"/>
                <w:sz w:val="20"/>
                <w:szCs w:val="20"/>
              </w:rPr>
              <w:t xml:space="preserve">(Medu + Fedu) / 2</w:t>
            </w:r>
          </w:p>
        </w:tc>
        <w:tc>
          <w:tcPr>
            <w:tcW w:type="dxa" w:w="4200"/>
            <w:tcMar>
              <w:top w:type="dxa" w:w="80"/>
              <w:left w:type="dxa" w:w="100"/>
              <w:bottom w:type="dxa" w:w="80"/>
              <w:right w:type="dxa" w:w="100"/>
            </w:tcMar>
            <w:vAlign w:val="center"/>
          </w:tcPr>
          <w:p>
            <w:r>
              <w:rPr>
                <w:b w:val="false"/>
                <w:bCs w:val="false"/>
                <w:color w:val="000000"/>
                <w:sz w:val="20"/>
                <w:szCs w:val="20"/>
              </w:rPr>
              <w:t xml:space="preserve">Captures overall household education level in one number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alcohol_index</w:t>
            </w:r>
          </w:p>
        </w:tc>
        <w:tc>
          <w:tcPr>
            <w:tcW w:type="dxa" w:w="2900"/>
            <w:tcMar>
              <w:top w:type="dxa" w:w="80"/>
              <w:left w:type="dxa" w:w="100"/>
              <w:bottom w:type="dxa" w:w="80"/>
              <w:right w:type="dxa" w:w="100"/>
            </w:tcMar>
            <w:vAlign w:val="center"/>
          </w:tcPr>
          <w:p>
            <w:r>
              <w:rPr>
                <w:b w:val="false"/>
                <w:bCs w:val="false"/>
                <w:color w:val="000000"/>
                <w:sz w:val="20"/>
                <w:szCs w:val="20"/>
              </w:rPr>
              <w:t xml:space="preserve">(5·Dalc + 2·Walc) / 7</w:t>
            </w:r>
          </w:p>
        </w:tc>
        <w:tc>
          <w:tcPr>
            <w:tcW w:type="dxa" w:w="4200"/>
            <w:tcMar>
              <w:top w:type="dxa" w:w="80"/>
              <w:left w:type="dxa" w:w="100"/>
              <w:bottom w:type="dxa" w:w="80"/>
              <w:right w:type="dxa" w:w="100"/>
            </w:tcMar>
            <w:vAlign w:val="center"/>
          </w:tcPr>
          <w:p>
            <w:r>
              <w:rPr>
                <w:b w:val="false"/>
                <w:bCs w:val="false"/>
                <w:color w:val="000000"/>
                <w:sz w:val="20"/>
                <w:szCs w:val="20"/>
              </w:rPr>
              <w:t xml:space="preserve">A weighted measure of weekly alcohol consumption</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support_count</w:t>
            </w:r>
          </w:p>
        </w:tc>
        <w:tc>
          <w:tcPr>
            <w:tcW w:type="dxa" w:w="2900"/>
            <w:tcMar>
              <w:top w:type="dxa" w:w="80"/>
              <w:left w:type="dxa" w:w="100"/>
              <w:bottom w:type="dxa" w:w="80"/>
              <w:right w:type="dxa" w:w="100"/>
            </w:tcMar>
            <w:vAlign w:val="center"/>
          </w:tcPr>
          <w:p>
            <w:r>
              <w:rPr>
                <w:b w:val="false"/>
                <w:bCs w:val="false"/>
                <w:color w:val="000000"/>
                <w:sz w:val="20"/>
                <w:szCs w:val="20"/>
              </w:rPr>
              <w:t xml:space="preserve">schoolsup + famsup + paid</w:t>
            </w:r>
          </w:p>
        </w:tc>
        <w:tc>
          <w:tcPr>
            <w:tcW w:type="dxa" w:w="4200"/>
            <w:tcMar>
              <w:top w:type="dxa" w:w="80"/>
              <w:left w:type="dxa" w:w="100"/>
              <w:bottom w:type="dxa" w:w="80"/>
              <w:right w:type="dxa" w:w="100"/>
            </w:tcMar>
            <w:vAlign w:val="center"/>
          </w:tcPr>
          <w:p>
            <w:r>
              <w:rPr>
                <w:b w:val="false"/>
                <w:bCs w:val="false"/>
                <w:color w:val="000000"/>
                <w:sz w:val="20"/>
                <w:szCs w:val="20"/>
              </w:rPr>
              <w:t xml:space="preserve">Total number of support systems a student has access to</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study_social_ratio</w:t>
            </w:r>
          </w:p>
        </w:tc>
        <w:tc>
          <w:tcPr>
            <w:tcW w:type="dxa" w:w="2900"/>
            <w:tcMar>
              <w:top w:type="dxa" w:w="80"/>
              <w:left w:type="dxa" w:w="100"/>
              <w:bottom w:type="dxa" w:w="80"/>
              <w:right w:type="dxa" w:w="100"/>
            </w:tcMar>
            <w:vAlign w:val="center"/>
          </w:tcPr>
          <w:p>
            <w:r>
              <w:rPr>
                <w:b w:val="false"/>
                <w:bCs w:val="false"/>
                <w:color w:val="000000"/>
                <w:sz w:val="20"/>
                <w:szCs w:val="20"/>
              </w:rPr>
              <w:t xml:space="preserve">studytime / (goout + 1)</w:t>
            </w:r>
          </w:p>
        </w:tc>
        <w:tc>
          <w:tcPr>
            <w:tcW w:type="dxa" w:w="4200"/>
            <w:tcMar>
              <w:top w:type="dxa" w:w="80"/>
              <w:left w:type="dxa" w:w="100"/>
              <w:bottom w:type="dxa" w:w="80"/>
              <w:right w:type="dxa" w:w="100"/>
            </w:tcMar>
            <w:vAlign w:val="center"/>
          </w:tcPr>
          <w:p>
            <w:r>
              <w:rPr>
                <w:b w:val="false"/>
                <w:bCs w:val="false"/>
                <w:color w:val="000000"/>
                <w:sz w:val="20"/>
                <w:szCs w:val="20"/>
              </w:rPr>
              <w:t xml:space="preserve">Balance between study discipline and social activity</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age_group</w:t>
            </w:r>
          </w:p>
        </w:tc>
        <w:tc>
          <w:tcPr>
            <w:tcW w:type="dxa" w:w="2900"/>
            <w:tcMar>
              <w:top w:type="dxa" w:w="80"/>
              <w:left w:type="dxa" w:w="100"/>
              <w:bottom w:type="dxa" w:w="80"/>
              <w:right w:type="dxa" w:w="100"/>
            </w:tcMar>
            <w:vAlign w:val="center"/>
          </w:tcPr>
          <w:p>
            <w:r>
              <w:rPr>
                <w:b w:val="false"/>
                <w:bCs w:val="false"/>
                <w:color w:val="000000"/>
                <w:sz w:val="20"/>
                <w:szCs w:val="20"/>
              </w:rPr>
              <w:t xml:space="preserve">Binned age: 15–16, 17–18, 19+</w:t>
            </w:r>
          </w:p>
        </w:tc>
        <w:tc>
          <w:tcPr>
            <w:tcW w:type="dxa" w:w="4200"/>
            <w:tcMar>
              <w:top w:type="dxa" w:w="80"/>
              <w:left w:type="dxa" w:w="100"/>
              <w:bottom w:type="dxa" w:w="80"/>
              <w:right w:type="dxa" w:w="100"/>
            </w:tcMar>
            <w:vAlign w:val="center"/>
          </w:tcPr>
          <w:p>
            <w:r>
              <w:rPr>
                <w:b w:val="false"/>
                <w:bCs w:val="false"/>
                <w:color w:val="000000"/>
                <w:sz w:val="20"/>
                <w:szCs w:val="20"/>
              </w:rPr>
              <w:t xml:space="preserve">Allows for non-linear age effects</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log_absences</w:t>
            </w:r>
          </w:p>
        </w:tc>
        <w:tc>
          <w:tcPr>
            <w:tcW w:type="dxa" w:w="2900"/>
            <w:tcMar>
              <w:top w:type="dxa" w:w="80"/>
              <w:left w:type="dxa" w:w="100"/>
              <w:bottom w:type="dxa" w:w="80"/>
              <w:right w:type="dxa" w:w="100"/>
            </w:tcMar>
            <w:vAlign w:val="center"/>
          </w:tcPr>
          <w:p>
            <w:r>
              <w:rPr>
                <w:b w:val="false"/>
                <w:bCs w:val="false"/>
                <w:color w:val="000000"/>
                <w:sz w:val="20"/>
                <w:szCs w:val="20"/>
              </w:rPr>
              <w:t xml:space="preserve">log(1 + absences)</w:t>
            </w:r>
          </w:p>
        </w:tc>
        <w:tc>
          <w:tcPr>
            <w:tcW w:type="dxa" w:w="4200"/>
            <w:tcMar>
              <w:top w:type="dxa" w:w="80"/>
              <w:left w:type="dxa" w:w="100"/>
              <w:bottom w:type="dxa" w:w="80"/>
              <w:right w:type="dxa" w:w="100"/>
            </w:tcMar>
            <w:vAlign w:val="center"/>
          </w:tcPr>
          <w:p>
            <w:r>
              <w:rPr>
                <w:b w:val="false"/>
                <w:bCs w:val="false"/>
                <w:color w:val="000000"/>
                <w:sz w:val="20"/>
                <w:szCs w:val="20"/>
              </w:rPr>
              <w:t xml:space="preserve">Tames the heavy right-skew in raw absence counts</w:t>
            </w:r>
          </w:p>
        </w:tc>
      </w:tr>
    </w:tbl>
    <w:p>
      <w:pPr>
        <w:spacing w:after="200" w:line="300"/>
      </w:pPr>
      <w:r>
        <w:rPr>
          <w:color w:val="000000"/>
          <w:sz w:val="22"/>
          <w:szCs w:val="22"/>
        </w:rPr>
        <w:t xml:space="preserve"/>
      </w:r>
    </w:p>
    <w:p>
      <w:pPr>
        <w:spacing w:after="200" w:line="300"/>
      </w:pPr>
      <w:r>
        <w:rPr>
          <w:color w:val="000000"/>
          <w:sz w:val="22"/>
          <w:szCs w:val="22"/>
        </w:rPr>
        <w:t xml:space="preserve">After encoding and feature engineering, the final feature matrix had 46 columns, which then went through a feature selection step to trim things down to the most useful predictors.</w:t>
      </w:r>
    </w:p>
    <w:p>
      <w:pPr>
        <w:pStyle w:val="Heading1"/>
        <w:spacing w:after="150" w:before="300"/>
      </w:pPr>
      <w:r>
        <w:rPr>
          <w:b/>
          <w:bCs/>
          <w:color w:val="000000"/>
        </w:rPr>
        <w:t xml:space="preserve">7. Feature Selection</w:t>
      </w:r>
    </w:p>
    <w:p>
      <w:pPr>
        <w:spacing w:after="200" w:line="300"/>
      </w:pPr>
      <w:r>
        <w:rPr>
          <w:color w:val="000000"/>
          <w:sz w:val="22"/>
          <w:szCs w:val="22"/>
        </w:rPr>
        <w:t xml:space="preserve">We didn't want to rely on just one selection method, so we ran four approaches spanning all three families (filter, wrapper, and embedded):</w:t>
      </w:r>
    </w:p>
    <w:p>
      <w:pPr>
        <w:pStyle w:val="ListParagraph"/>
        <w:numPr>
          <w:ilvl w:val="0"/>
          <w:numId w:val="1"/>
        </w:numPr>
        <w:spacing w:after="100"/>
      </w:pPr>
      <w:r>
        <w:rPr>
          <w:color w:val="000000"/>
          <w:sz w:val="22"/>
          <w:szCs w:val="22"/>
        </w:rPr>
        <w:t xml:space="preserve">Filter — correlation analysis: top 15 features ranked by absolute point-biserial correlation with the target.</w:t>
      </w:r>
    </w:p>
    <w:p>
      <w:pPr>
        <w:pStyle w:val="ListParagraph"/>
        <w:numPr>
          <w:ilvl w:val="0"/>
          <w:numId w:val="1"/>
        </w:numPr>
        <w:spacing w:after="100"/>
      </w:pPr>
      <w:r>
        <w:rPr>
          <w:color w:val="000000"/>
          <w:sz w:val="22"/>
          <w:szCs w:val="22"/>
        </w:rPr>
        <w:t xml:space="preserve">Filter — Chi-Square test: top 15 features by χ² score, using min-max scaled inputs.</w:t>
      </w:r>
    </w:p>
    <w:p>
      <w:pPr>
        <w:pStyle w:val="ListParagraph"/>
        <w:numPr>
          <w:ilvl w:val="0"/>
          <w:numId w:val="1"/>
        </w:numPr>
        <w:spacing w:after="100"/>
      </w:pPr>
      <w:r>
        <w:rPr>
          <w:color w:val="000000"/>
          <w:sz w:val="22"/>
          <w:szCs w:val="22"/>
        </w:rPr>
        <w:t xml:space="preserve">Wrapper — Recursive Feature Elimination (RFE) with logistic regression, selecting 15 features.</w:t>
      </w:r>
    </w:p>
    <w:p>
      <w:pPr>
        <w:pStyle w:val="ListParagraph"/>
        <w:numPr>
          <w:ilvl w:val="0"/>
          <w:numId w:val="1"/>
        </w:numPr>
        <w:spacing w:after="100"/>
      </w:pPr>
      <w:r>
        <w:rPr>
          <w:color w:val="000000"/>
          <w:sz w:val="22"/>
          <w:szCs w:val="22"/>
        </w:rPr>
        <w:t xml:space="preserve">Embedded — Random Forest importance: top 15 features by Gini importance, using 300 trees.</w:t>
      </w:r>
    </w:p>
    <w:p>
      <w:pPr>
        <w:spacing w:after="200" w:line="300"/>
      </w:pPr>
      <w:r>
        <w:rPr>
          <w:color w:val="000000"/>
          <w:sz w:val="22"/>
          <w:szCs w:val="22"/>
        </w:rPr>
        <w:t xml:space="preserve">We then kept any feature that was selected by at least two of the four methods — a simple majority-vote scheme. That left us with 16 final features: failures, higher, absences, log_absences, subject, age, age_group, school, goout, parent_edu_avg, alcohol_index, support_count, studytime, study_social_ratio, schoolsup, and guardian_other.</w:t>
      </w:r>
    </w:p>
    <w:p>
      <w:pPr>
        <w:spacing w:after="200" w:line="300"/>
      </w:pPr>
      <w:r>
        <w:rPr>
          <w:color w:val="000000"/>
          <w:sz w:val="22"/>
          <w:szCs w:val="22"/>
        </w:rPr>
        <w:t xml:space="preserve">This voting approach felt like a reasonable compromise — it blends univariate signal from the filter methods with the multivariate interactions RFE picks up and the non-linear effects Random Forest is good at capturing. One nice validation: 4 of our 6 engineered features made it through this selection process, which suggests the feature engineering step actually added value rather than just noise.</w:t>
      </w:r>
    </w:p>
    <w:p>
      <w:pPr>
        <w:pStyle w:val="Heading1"/>
        <w:spacing w:after="150" w:before="300"/>
      </w:pPr>
      <w:r>
        <w:rPr>
          <w:b/>
          <w:bCs/>
          <w:color w:val="000000"/>
        </w:rPr>
        <w:t xml:space="preserve">8. Model Development</w:t>
      </w:r>
    </w:p>
    <w:p>
      <w:pPr>
        <w:spacing w:after="200" w:line="300"/>
      </w:pPr>
      <w:r>
        <w:rPr>
          <w:color w:val="000000"/>
          <w:sz w:val="22"/>
          <w:szCs w:val="22"/>
        </w:rPr>
        <w:t xml:space="preserve">We started with Logistic Regression (max_iter = 2000) as a simple, interpretable baseline, then trained three more advanced models — Random Forest (300 trees), Gradient Boosting, and an SVM with an RBF kernel.</w:t>
      </w:r>
    </w:p>
    <w:p>
      <w:pPr>
        <w:spacing w:after="200" w:line="300"/>
      </w:pPr>
      <w:r>
        <w:rPr>
          <w:color w:val="000000"/>
          <w:sz w:val="22"/>
          <w:szCs w:val="22"/>
        </w:rPr>
        <w:t xml:space="preserve">For hyperparameter tuning, we ran GridSearchCV (5-fold cross-validation, F1 scoring) on Random Forest, sweeping across 36 combinations of n_estimators {200, 400}, max_depth {None, 8, 14}, min_samples_split {2, 5, 10}, and max_features {sqrt, 0.5}. The search settled on max_depth=8, max_features='sqrt', min_samples_split=10, n_estimators=400, with a best cross-validated F1 of 0.8894. On the held-out test set, the tuned model's ROC AUC improved from 0.7236 to 0.7331 — a modest but real gain in generalization from the shallower, more regularized trees — while F1 stayed essentially flat (0.8743 → 0.8725), which isn't surprising since tuning was optimizing for AUC-style ranking behaviour, not raw F1.</w:t>
      </w:r>
    </w:p>
    <w:p>
      <w:pPr>
        <w:spacing w:after="200" w:line="300"/>
      </w:pPr>
      <w:r>
        <w:rPr>
          <w:color w:val="000000"/>
          <w:sz w:val="22"/>
          <w:szCs w:val="22"/>
        </w:rPr>
        <w:t xml:space="preserve">As a bonus experiment, we also tried PCA, reducing the 16 selected features down to 12 principal components while retaining 95% of the variance. Running Random Forest on these PCA features actually improved things slightly — accuracy went from 0.7895 to 0.8038 and F1 from 0.8743 to 0.8839 — a small but genuine improvement, and with a 25% cut in dimensionality to boot.</w:t>
      </w:r>
    </w:p>
    <w:p>
      <w:pPr>
        <w:pStyle w:val="Heading1"/>
        <w:spacing w:after="150" w:before="300"/>
      </w:pPr>
      <w:r>
        <w:rPr>
          <w:b/>
          <w:bCs/>
          <w:color w:val="000000"/>
        </w:rPr>
        <w:t xml:space="preserve">9. Results and Discussion</w:t>
      </w:r>
    </w:p>
    <w:p>
      <w:pPr>
        <w:spacing w:after="200" w:line="300"/>
      </w:pPr>
      <w:r>
        <w:rPr>
          <w:color w:val="000000"/>
          <w:sz w:val="22"/>
          <w:szCs w:val="22"/>
        </w:rPr>
        <w:t xml:space="preserve">Here's how all the models stacked up on the 209 held-out test students: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400"/>
        <w:gridCol w:w="1350"/>
        <w:gridCol w:w="1350"/>
        <w:gridCol w:w="1250"/>
        <w:gridCol w:w="1300"/>
        <w:gridCol w:w="1250"/>
      </w:tblGrid>
      <w:tr>
        <w:trPr>
          <w:tblHeader/>
        </w:trPr>
        <w:tc>
          <w:tcPr>
            <w:tcW w:type="dxa" w:w="3400"/>
            <w:shd w:fill="D9D9D9" w:color="auto" w:val="clear"/>
            <w:tcMar>
              <w:top w:type="dxa" w:w="80"/>
              <w:left w:type="dxa" w:w="100"/>
              <w:bottom w:type="dxa" w:w="80"/>
              <w:right w:type="dxa" w:w="100"/>
            </w:tcMar>
            <w:vAlign w:val="center"/>
          </w:tcPr>
          <w:p>
            <w:r>
              <w:rPr>
                <w:b/>
                <w:bCs/>
                <w:color w:val="000000"/>
                <w:sz w:val="20"/>
                <w:szCs w:val="20"/>
              </w:rPr>
              <w:t xml:space="preserve">Model</w:t>
            </w:r>
          </w:p>
        </w:tc>
        <w:tc>
          <w:tcPr>
            <w:tcW w:type="dxa" w:w="1350"/>
            <w:shd w:fill="D9D9D9" w:color="auto" w:val="clear"/>
            <w:tcMar>
              <w:top w:type="dxa" w:w="80"/>
              <w:left w:type="dxa" w:w="100"/>
              <w:bottom w:type="dxa" w:w="80"/>
              <w:right w:type="dxa" w:w="100"/>
            </w:tcMar>
            <w:vAlign w:val="center"/>
          </w:tcPr>
          <w:p>
            <w:r>
              <w:rPr>
                <w:b/>
                <w:bCs/>
                <w:color w:val="000000"/>
                <w:sz w:val="20"/>
                <w:szCs w:val="20"/>
              </w:rPr>
              <w:t xml:space="preserve">Accuracy</w:t>
            </w:r>
          </w:p>
        </w:tc>
        <w:tc>
          <w:tcPr>
            <w:tcW w:type="dxa" w:w="1350"/>
            <w:shd w:fill="D9D9D9" w:color="auto" w:val="clear"/>
            <w:tcMar>
              <w:top w:type="dxa" w:w="80"/>
              <w:left w:type="dxa" w:w="100"/>
              <w:bottom w:type="dxa" w:w="80"/>
              <w:right w:type="dxa" w:w="100"/>
            </w:tcMar>
            <w:vAlign w:val="center"/>
          </w:tcPr>
          <w:p>
            <w:r>
              <w:rPr>
                <w:b/>
                <w:bCs/>
                <w:color w:val="000000"/>
                <w:sz w:val="20"/>
                <w:szCs w:val="20"/>
              </w:rPr>
              <w:t xml:space="preserve">Precision</w:t>
            </w:r>
          </w:p>
        </w:tc>
        <w:tc>
          <w:tcPr>
            <w:tcW w:type="dxa" w:w="1250"/>
            <w:shd w:fill="D9D9D9" w:color="auto" w:val="clear"/>
            <w:tcMar>
              <w:top w:type="dxa" w:w="80"/>
              <w:left w:type="dxa" w:w="100"/>
              <w:bottom w:type="dxa" w:w="80"/>
              <w:right w:type="dxa" w:w="100"/>
            </w:tcMar>
            <w:vAlign w:val="center"/>
          </w:tcPr>
          <w:p>
            <w:r>
              <w:rPr>
                <w:b/>
                <w:bCs/>
                <w:color w:val="000000"/>
                <w:sz w:val="20"/>
                <w:szCs w:val="20"/>
              </w:rPr>
              <w:t xml:space="preserve">Recall</w:t>
            </w:r>
          </w:p>
        </w:tc>
        <w:tc>
          <w:tcPr>
            <w:tcW w:type="dxa" w:w="1300"/>
            <w:shd w:fill="D9D9D9" w:color="auto" w:val="clear"/>
            <w:tcMar>
              <w:top w:type="dxa" w:w="80"/>
              <w:left w:type="dxa" w:w="100"/>
              <w:bottom w:type="dxa" w:w="80"/>
              <w:right w:type="dxa" w:w="100"/>
            </w:tcMar>
            <w:vAlign w:val="center"/>
          </w:tcPr>
          <w:p>
            <w:r>
              <w:rPr>
                <w:b/>
                <w:bCs/>
                <w:color w:val="000000"/>
                <w:sz w:val="20"/>
                <w:szCs w:val="20"/>
              </w:rPr>
              <w:t xml:space="preserve">F1-Score</w:t>
            </w:r>
          </w:p>
        </w:tc>
        <w:tc>
          <w:tcPr>
            <w:tcW w:type="dxa" w:w="1250"/>
            <w:shd w:fill="D9D9D9" w:color="auto" w:val="clear"/>
            <w:tcMar>
              <w:top w:type="dxa" w:w="80"/>
              <w:left w:type="dxa" w:w="100"/>
              <w:bottom w:type="dxa" w:w="80"/>
              <w:right w:type="dxa" w:w="100"/>
            </w:tcMar>
            <w:vAlign w:val="center"/>
          </w:tcPr>
          <w:p>
            <w:r>
              <w:rPr>
                <w:b/>
                <w:bCs/>
                <w:color w:val="000000"/>
                <w:sz w:val="20"/>
                <w:szCs w:val="20"/>
              </w:rPr>
              <w:t xml:space="preserve">ROC AUC</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Logistic Regression (baseline)</w:t>
            </w:r>
          </w:p>
        </w:tc>
        <w:tc>
          <w:tcPr>
            <w:tcW w:type="dxa" w:w="1350"/>
            <w:tcMar>
              <w:top w:type="dxa" w:w="80"/>
              <w:left w:type="dxa" w:w="100"/>
              <w:bottom w:type="dxa" w:w="80"/>
              <w:right w:type="dxa" w:w="100"/>
            </w:tcMar>
            <w:vAlign w:val="center"/>
          </w:tcPr>
          <w:p>
            <w:r>
              <w:rPr>
                <w:b w:val="false"/>
                <w:bCs w:val="false"/>
                <w:color w:val="000000"/>
                <w:sz w:val="20"/>
                <w:szCs w:val="20"/>
              </w:rPr>
              <w:t xml:space="preserve">0.7943</w:t>
            </w:r>
          </w:p>
        </w:tc>
        <w:tc>
          <w:tcPr>
            <w:tcW w:type="dxa" w:w="1350"/>
            <w:tcMar>
              <w:top w:type="dxa" w:w="80"/>
              <w:left w:type="dxa" w:w="100"/>
              <w:bottom w:type="dxa" w:w="80"/>
              <w:right w:type="dxa" w:w="100"/>
            </w:tcMar>
            <w:vAlign w:val="center"/>
          </w:tcPr>
          <w:p>
            <w:r>
              <w:rPr>
                <w:b w:val="false"/>
                <w:bCs w:val="false"/>
                <w:color w:val="000000"/>
                <w:sz w:val="20"/>
                <w:szCs w:val="20"/>
              </w:rPr>
              <w:t xml:space="preserve">0.8125</w:t>
            </w:r>
          </w:p>
        </w:tc>
        <w:tc>
          <w:tcPr>
            <w:tcW w:type="dxa" w:w="1250"/>
            <w:tcMar>
              <w:top w:type="dxa" w:w="80"/>
              <w:left w:type="dxa" w:w="100"/>
              <w:bottom w:type="dxa" w:w="80"/>
              <w:right w:type="dxa" w:w="100"/>
            </w:tcMar>
            <w:vAlign w:val="center"/>
          </w:tcPr>
          <w:p>
            <w:r>
              <w:rPr>
                <w:b w:val="false"/>
                <w:bCs w:val="false"/>
                <w:color w:val="000000"/>
                <w:sz w:val="20"/>
                <w:szCs w:val="20"/>
              </w:rPr>
              <w:t xml:space="preserve">0.9571</w:t>
            </w:r>
          </w:p>
        </w:tc>
        <w:tc>
          <w:tcPr>
            <w:tcW w:type="dxa" w:w="1300"/>
            <w:tcMar>
              <w:top w:type="dxa" w:w="80"/>
              <w:left w:type="dxa" w:w="100"/>
              <w:bottom w:type="dxa" w:w="80"/>
              <w:right w:type="dxa" w:w="100"/>
            </w:tcMar>
            <w:vAlign w:val="center"/>
          </w:tcPr>
          <w:p>
            <w:r>
              <w:rPr>
                <w:b w:val="false"/>
                <w:bCs w:val="false"/>
                <w:color w:val="000000"/>
                <w:sz w:val="20"/>
                <w:szCs w:val="20"/>
              </w:rPr>
              <w:t xml:space="preserve">0.8789</w:t>
            </w:r>
          </w:p>
        </w:tc>
        <w:tc>
          <w:tcPr>
            <w:tcW w:type="dxa" w:w="1250"/>
            <w:tcMar>
              <w:top w:type="dxa" w:w="80"/>
              <w:left w:type="dxa" w:w="100"/>
              <w:bottom w:type="dxa" w:w="80"/>
              <w:right w:type="dxa" w:w="100"/>
            </w:tcMar>
            <w:vAlign w:val="center"/>
          </w:tcPr>
          <w:p>
            <w:r>
              <w:rPr>
                <w:b w:val="false"/>
                <w:bCs w:val="false"/>
                <w:color w:val="000000"/>
                <w:sz w:val="20"/>
                <w:szCs w:val="20"/>
              </w:rPr>
              <w:t xml:space="preserve">0.7147</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Random Forest</w:t>
            </w:r>
          </w:p>
        </w:tc>
        <w:tc>
          <w:tcPr>
            <w:tcW w:type="dxa" w:w="1350"/>
            <w:tcMar>
              <w:top w:type="dxa" w:w="80"/>
              <w:left w:type="dxa" w:w="100"/>
              <w:bottom w:type="dxa" w:w="80"/>
              <w:right w:type="dxa" w:w="100"/>
            </w:tcMar>
            <w:vAlign w:val="center"/>
          </w:tcPr>
          <w:p>
            <w:r>
              <w:rPr>
                <w:b w:val="false"/>
                <w:bCs w:val="false"/>
                <w:color w:val="000000"/>
                <w:sz w:val="20"/>
                <w:szCs w:val="20"/>
              </w:rPr>
              <w:t xml:space="preserve">0.7895</w:t>
            </w:r>
          </w:p>
        </w:tc>
        <w:tc>
          <w:tcPr>
            <w:tcW w:type="dxa" w:w="1350"/>
            <w:tcMar>
              <w:top w:type="dxa" w:w="80"/>
              <w:left w:type="dxa" w:w="100"/>
              <w:bottom w:type="dxa" w:w="80"/>
              <w:right w:type="dxa" w:w="100"/>
            </w:tcMar>
            <w:vAlign w:val="center"/>
          </w:tcPr>
          <w:p>
            <w:r>
              <w:rPr>
                <w:b w:val="false"/>
                <w:bCs w:val="false"/>
                <w:color w:val="000000"/>
                <w:sz w:val="20"/>
                <w:szCs w:val="20"/>
              </w:rPr>
              <w:t xml:space="preserve">0.8182</w:t>
            </w:r>
          </w:p>
        </w:tc>
        <w:tc>
          <w:tcPr>
            <w:tcW w:type="dxa" w:w="1250"/>
            <w:tcMar>
              <w:top w:type="dxa" w:w="80"/>
              <w:left w:type="dxa" w:w="100"/>
              <w:bottom w:type="dxa" w:w="80"/>
              <w:right w:type="dxa" w:w="100"/>
            </w:tcMar>
            <w:vAlign w:val="center"/>
          </w:tcPr>
          <w:p>
            <w:r>
              <w:rPr>
                <w:b w:val="false"/>
                <w:bCs w:val="false"/>
                <w:color w:val="000000"/>
                <w:sz w:val="20"/>
                <w:szCs w:val="20"/>
              </w:rPr>
              <w:t xml:space="preserve">0.9387</w:t>
            </w:r>
          </w:p>
        </w:tc>
        <w:tc>
          <w:tcPr>
            <w:tcW w:type="dxa" w:w="1300"/>
            <w:tcMar>
              <w:top w:type="dxa" w:w="80"/>
              <w:left w:type="dxa" w:w="100"/>
              <w:bottom w:type="dxa" w:w="80"/>
              <w:right w:type="dxa" w:w="100"/>
            </w:tcMar>
            <w:vAlign w:val="center"/>
          </w:tcPr>
          <w:p>
            <w:r>
              <w:rPr>
                <w:b w:val="false"/>
                <w:bCs w:val="false"/>
                <w:color w:val="000000"/>
                <w:sz w:val="20"/>
                <w:szCs w:val="20"/>
              </w:rPr>
              <w:t xml:space="preserve">0.8743</w:t>
            </w:r>
          </w:p>
        </w:tc>
        <w:tc>
          <w:tcPr>
            <w:tcW w:type="dxa" w:w="1250"/>
            <w:tcMar>
              <w:top w:type="dxa" w:w="80"/>
              <w:left w:type="dxa" w:w="100"/>
              <w:bottom w:type="dxa" w:w="80"/>
              <w:right w:type="dxa" w:w="100"/>
            </w:tcMar>
            <w:vAlign w:val="center"/>
          </w:tcPr>
          <w:p>
            <w:r>
              <w:rPr>
                <w:b w:val="false"/>
                <w:bCs w:val="false"/>
                <w:color w:val="000000"/>
                <w:sz w:val="20"/>
                <w:szCs w:val="20"/>
              </w:rPr>
              <w:t xml:space="preserve">0.7236</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Gradient Boosting</w:t>
            </w:r>
          </w:p>
        </w:tc>
        <w:tc>
          <w:tcPr>
            <w:tcW w:type="dxa" w:w="1350"/>
            <w:tcMar>
              <w:top w:type="dxa" w:w="80"/>
              <w:left w:type="dxa" w:w="100"/>
              <w:bottom w:type="dxa" w:w="80"/>
              <w:right w:type="dxa" w:w="100"/>
            </w:tcMar>
            <w:vAlign w:val="center"/>
          </w:tcPr>
          <w:p>
            <w:r>
              <w:rPr>
                <w:b w:val="false"/>
                <w:bCs w:val="false"/>
                <w:color w:val="000000"/>
                <w:sz w:val="20"/>
                <w:szCs w:val="20"/>
              </w:rPr>
              <w:t xml:space="preserve">0.7943</w:t>
            </w:r>
          </w:p>
        </w:tc>
        <w:tc>
          <w:tcPr>
            <w:tcW w:type="dxa" w:w="1350"/>
            <w:tcMar>
              <w:top w:type="dxa" w:w="80"/>
              <w:left w:type="dxa" w:w="100"/>
              <w:bottom w:type="dxa" w:w="80"/>
              <w:right w:type="dxa" w:w="100"/>
            </w:tcMar>
            <w:vAlign w:val="center"/>
          </w:tcPr>
          <w:p>
            <w:r>
              <w:rPr>
                <w:b w:val="false"/>
                <w:bCs w:val="false"/>
                <w:color w:val="000000"/>
                <w:sz w:val="20"/>
                <w:szCs w:val="20"/>
              </w:rPr>
              <w:t xml:space="preserve">0.8226</w:t>
            </w:r>
          </w:p>
        </w:tc>
        <w:tc>
          <w:tcPr>
            <w:tcW w:type="dxa" w:w="1250"/>
            <w:tcMar>
              <w:top w:type="dxa" w:w="80"/>
              <w:left w:type="dxa" w:w="100"/>
              <w:bottom w:type="dxa" w:w="80"/>
              <w:right w:type="dxa" w:w="100"/>
            </w:tcMar>
            <w:vAlign w:val="center"/>
          </w:tcPr>
          <w:p>
            <w:r>
              <w:rPr>
                <w:b w:val="false"/>
                <w:bCs w:val="false"/>
                <w:color w:val="000000"/>
                <w:sz w:val="20"/>
                <w:szCs w:val="20"/>
              </w:rPr>
              <w:t xml:space="preserve">0.9387</w:t>
            </w:r>
          </w:p>
        </w:tc>
        <w:tc>
          <w:tcPr>
            <w:tcW w:type="dxa" w:w="1300"/>
            <w:tcMar>
              <w:top w:type="dxa" w:w="80"/>
              <w:left w:type="dxa" w:w="100"/>
              <w:bottom w:type="dxa" w:w="80"/>
              <w:right w:type="dxa" w:w="100"/>
            </w:tcMar>
            <w:vAlign w:val="center"/>
          </w:tcPr>
          <w:p>
            <w:r>
              <w:rPr>
                <w:b w:val="false"/>
                <w:bCs w:val="false"/>
                <w:color w:val="000000"/>
                <w:sz w:val="20"/>
                <w:szCs w:val="20"/>
              </w:rPr>
              <w:t xml:space="preserve">0.8768</w:t>
            </w:r>
          </w:p>
        </w:tc>
        <w:tc>
          <w:tcPr>
            <w:tcW w:type="dxa" w:w="1250"/>
            <w:tcMar>
              <w:top w:type="dxa" w:w="80"/>
              <w:left w:type="dxa" w:w="100"/>
              <w:bottom w:type="dxa" w:w="80"/>
              <w:right w:type="dxa" w:w="100"/>
            </w:tcMar>
            <w:vAlign w:val="center"/>
          </w:tcPr>
          <w:p>
            <w:r>
              <w:rPr>
                <w:b w:val="false"/>
                <w:bCs w:val="false"/>
                <w:color w:val="000000"/>
                <w:sz w:val="20"/>
                <w:szCs w:val="20"/>
              </w:rPr>
              <w:t xml:space="preserve">0.7507</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SVM (RBF kernel)</w:t>
            </w:r>
          </w:p>
        </w:tc>
        <w:tc>
          <w:tcPr>
            <w:tcW w:type="dxa" w:w="1350"/>
            <w:tcMar>
              <w:top w:type="dxa" w:w="80"/>
              <w:left w:type="dxa" w:w="100"/>
              <w:bottom w:type="dxa" w:w="80"/>
              <w:right w:type="dxa" w:w="100"/>
            </w:tcMar>
            <w:vAlign w:val="center"/>
          </w:tcPr>
          <w:p>
            <w:r>
              <w:rPr>
                <w:b w:val="false"/>
                <w:bCs w:val="false"/>
                <w:color w:val="000000"/>
                <w:sz w:val="20"/>
                <w:szCs w:val="20"/>
              </w:rPr>
              <w:t xml:space="preserve">0.7943</w:t>
            </w:r>
          </w:p>
        </w:tc>
        <w:tc>
          <w:tcPr>
            <w:tcW w:type="dxa" w:w="1350"/>
            <w:tcMar>
              <w:top w:type="dxa" w:w="80"/>
              <w:left w:type="dxa" w:w="100"/>
              <w:bottom w:type="dxa" w:w="80"/>
              <w:right w:type="dxa" w:w="100"/>
            </w:tcMar>
            <w:vAlign w:val="center"/>
          </w:tcPr>
          <w:p>
            <w:r>
              <w:rPr>
                <w:b w:val="false"/>
                <w:bCs w:val="false"/>
                <w:color w:val="000000"/>
                <w:sz w:val="20"/>
                <w:szCs w:val="20"/>
              </w:rPr>
              <w:t xml:space="preserve">0.8158</w:t>
            </w:r>
          </w:p>
        </w:tc>
        <w:tc>
          <w:tcPr>
            <w:tcW w:type="dxa" w:w="1250"/>
            <w:tcMar>
              <w:top w:type="dxa" w:w="80"/>
              <w:left w:type="dxa" w:w="100"/>
              <w:bottom w:type="dxa" w:w="80"/>
              <w:right w:type="dxa" w:w="100"/>
            </w:tcMar>
            <w:vAlign w:val="center"/>
          </w:tcPr>
          <w:p>
            <w:r>
              <w:rPr>
                <w:b w:val="false"/>
                <w:bCs w:val="false"/>
                <w:color w:val="000000"/>
                <w:sz w:val="20"/>
                <w:szCs w:val="20"/>
              </w:rPr>
              <w:t xml:space="preserve">0.9509</w:t>
            </w:r>
          </w:p>
        </w:tc>
        <w:tc>
          <w:tcPr>
            <w:tcW w:type="dxa" w:w="1300"/>
            <w:tcMar>
              <w:top w:type="dxa" w:w="80"/>
              <w:left w:type="dxa" w:w="100"/>
              <w:bottom w:type="dxa" w:w="80"/>
              <w:right w:type="dxa" w:w="100"/>
            </w:tcMar>
            <w:vAlign w:val="center"/>
          </w:tcPr>
          <w:p>
            <w:r>
              <w:rPr>
                <w:b w:val="false"/>
                <w:bCs w:val="false"/>
                <w:color w:val="000000"/>
                <w:sz w:val="20"/>
                <w:szCs w:val="20"/>
              </w:rPr>
              <w:t xml:space="preserve">0.8782</w:t>
            </w:r>
          </w:p>
        </w:tc>
        <w:tc>
          <w:tcPr>
            <w:tcW w:type="dxa" w:w="1250"/>
            <w:tcMar>
              <w:top w:type="dxa" w:w="80"/>
              <w:left w:type="dxa" w:w="100"/>
              <w:bottom w:type="dxa" w:w="80"/>
              <w:right w:type="dxa" w:w="100"/>
            </w:tcMar>
            <w:vAlign w:val="center"/>
          </w:tcPr>
          <w:p>
            <w:r>
              <w:rPr>
                <w:b w:val="false"/>
                <w:bCs w:val="false"/>
                <w:color w:val="000000"/>
                <w:sz w:val="20"/>
                <w:szCs w:val="20"/>
              </w:rPr>
              <w:t xml:space="preserve">0.7446</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Random Forest (tuned)</w:t>
            </w:r>
          </w:p>
        </w:tc>
        <w:tc>
          <w:tcPr>
            <w:tcW w:type="dxa" w:w="1350"/>
            <w:tcMar>
              <w:top w:type="dxa" w:w="80"/>
              <w:left w:type="dxa" w:w="100"/>
              <w:bottom w:type="dxa" w:w="80"/>
              <w:right w:type="dxa" w:w="100"/>
            </w:tcMar>
            <w:vAlign w:val="center"/>
          </w:tcPr>
          <w:p>
            <w:r>
              <w:rPr>
                <w:b w:val="false"/>
                <w:bCs w:val="false"/>
                <w:color w:val="000000"/>
                <w:sz w:val="20"/>
                <w:szCs w:val="20"/>
              </w:rPr>
              <w:t xml:space="preserve">0.7847</w:t>
            </w:r>
          </w:p>
        </w:tc>
        <w:tc>
          <w:tcPr>
            <w:tcW w:type="dxa" w:w="1350"/>
            <w:tcMar>
              <w:top w:type="dxa" w:w="80"/>
              <w:left w:type="dxa" w:w="100"/>
              <w:bottom w:type="dxa" w:w="80"/>
              <w:right w:type="dxa" w:w="100"/>
            </w:tcMar>
            <w:vAlign w:val="center"/>
          </w:tcPr>
          <w:p>
            <w:r>
              <w:rPr>
                <w:b w:val="false"/>
                <w:bCs w:val="false"/>
                <w:color w:val="000000"/>
                <w:sz w:val="20"/>
                <w:szCs w:val="20"/>
              </w:rPr>
              <w:t xml:space="preserve">0.8105</w:t>
            </w:r>
          </w:p>
        </w:tc>
        <w:tc>
          <w:tcPr>
            <w:tcW w:type="dxa" w:w="1250"/>
            <w:tcMar>
              <w:top w:type="dxa" w:w="80"/>
              <w:left w:type="dxa" w:w="100"/>
              <w:bottom w:type="dxa" w:w="80"/>
              <w:right w:type="dxa" w:w="100"/>
            </w:tcMar>
            <w:vAlign w:val="center"/>
          </w:tcPr>
          <w:p>
            <w:r>
              <w:rPr>
                <w:b w:val="false"/>
                <w:bCs w:val="false"/>
                <w:color w:val="000000"/>
                <w:sz w:val="20"/>
                <w:szCs w:val="20"/>
              </w:rPr>
              <w:t xml:space="preserve">0.9448</w:t>
            </w:r>
          </w:p>
        </w:tc>
        <w:tc>
          <w:tcPr>
            <w:tcW w:type="dxa" w:w="1300"/>
            <w:tcMar>
              <w:top w:type="dxa" w:w="80"/>
              <w:left w:type="dxa" w:w="100"/>
              <w:bottom w:type="dxa" w:w="80"/>
              <w:right w:type="dxa" w:w="100"/>
            </w:tcMar>
            <w:vAlign w:val="center"/>
          </w:tcPr>
          <w:p>
            <w:r>
              <w:rPr>
                <w:b w:val="false"/>
                <w:bCs w:val="false"/>
                <w:color w:val="000000"/>
                <w:sz w:val="20"/>
                <w:szCs w:val="20"/>
              </w:rPr>
              <w:t xml:space="preserve">0.8725</w:t>
            </w:r>
          </w:p>
        </w:tc>
        <w:tc>
          <w:tcPr>
            <w:tcW w:type="dxa" w:w="1250"/>
            <w:tcMar>
              <w:top w:type="dxa" w:w="80"/>
              <w:left w:type="dxa" w:w="100"/>
              <w:bottom w:type="dxa" w:w="80"/>
              <w:right w:type="dxa" w:w="100"/>
            </w:tcMar>
            <w:vAlign w:val="center"/>
          </w:tcPr>
          <w:p>
            <w:r>
              <w:rPr>
                <w:b w:val="false"/>
                <w:bCs w:val="false"/>
                <w:color w:val="000000"/>
                <w:sz w:val="20"/>
                <w:szCs w:val="20"/>
              </w:rPr>
              <w:t xml:space="preserve">0.7331</w:t>
            </w:r>
          </w:p>
        </w:tc>
      </w:tr>
      <w:tr>
        <w:tc>
          <w:tcPr>
            <w:tcW w:type="dxa" w:w="3400"/>
            <w:tcMar>
              <w:top w:type="dxa" w:w="80"/>
              <w:left w:type="dxa" w:w="100"/>
              <w:bottom w:type="dxa" w:w="80"/>
              <w:right w:type="dxa" w:w="100"/>
            </w:tcMar>
            <w:vAlign w:val="center"/>
          </w:tcPr>
          <w:p>
            <w:r>
              <w:rPr>
                <w:b w:val="false"/>
                <w:bCs w:val="false"/>
                <w:color w:val="000000"/>
                <w:sz w:val="20"/>
                <w:szCs w:val="20"/>
              </w:rPr>
              <w:t xml:space="preserve">Random Forest + PCA (bonus)</w:t>
            </w:r>
          </w:p>
        </w:tc>
        <w:tc>
          <w:tcPr>
            <w:tcW w:type="dxa" w:w="1350"/>
            <w:tcMar>
              <w:top w:type="dxa" w:w="80"/>
              <w:left w:type="dxa" w:w="100"/>
              <w:bottom w:type="dxa" w:w="80"/>
              <w:right w:type="dxa" w:w="100"/>
            </w:tcMar>
            <w:vAlign w:val="center"/>
          </w:tcPr>
          <w:p>
            <w:r>
              <w:rPr>
                <w:b w:val="false"/>
                <w:bCs w:val="false"/>
                <w:color w:val="000000"/>
                <w:sz w:val="20"/>
                <w:szCs w:val="20"/>
              </w:rPr>
              <w:t xml:space="preserve">0.8038</w:t>
            </w:r>
          </w:p>
        </w:tc>
        <w:tc>
          <w:tcPr>
            <w:tcW w:type="dxa" w:w="1350"/>
            <w:tcMar>
              <w:top w:type="dxa" w:w="80"/>
              <w:left w:type="dxa" w:w="100"/>
              <w:bottom w:type="dxa" w:w="80"/>
              <w:right w:type="dxa" w:w="100"/>
            </w:tcMar>
            <w:vAlign w:val="center"/>
          </w:tcPr>
          <w:p>
            <w:r>
              <w:rPr>
                <w:b w:val="false"/>
                <w:bCs w:val="false"/>
                <w:color w:val="000000"/>
                <w:sz w:val="20"/>
                <w:szCs w:val="20"/>
              </w:rPr>
              <w:t xml:space="preserve">—</w:t>
            </w:r>
          </w:p>
        </w:tc>
        <w:tc>
          <w:tcPr>
            <w:tcW w:type="dxa" w:w="1250"/>
            <w:tcMar>
              <w:top w:type="dxa" w:w="80"/>
              <w:left w:type="dxa" w:w="100"/>
              <w:bottom w:type="dxa" w:w="80"/>
              <w:right w:type="dxa" w:w="100"/>
            </w:tcMar>
            <w:vAlign w:val="center"/>
          </w:tcPr>
          <w:p>
            <w:r>
              <w:rPr>
                <w:b w:val="false"/>
                <w:bCs w:val="false"/>
                <w:color w:val="000000"/>
                <w:sz w:val="20"/>
                <w:szCs w:val="20"/>
              </w:rPr>
              <w:t xml:space="preserve">—</w:t>
            </w:r>
          </w:p>
        </w:tc>
        <w:tc>
          <w:tcPr>
            <w:tcW w:type="dxa" w:w="1300"/>
            <w:tcMar>
              <w:top w:type="dxa" w:w="80"/>
              <w:left w:type="dxa" w:w="100"/>
              <w:bottom w:type="dxa" w:w="80"/>
              <w:right w:type="dxa" w:w="100"/>
            </w:tcMar>
            <w:vAlign w:val="center"/>
          </w:tcPr>
          <w:p>
            <w:r>
              <w:rPr>
                <w:b w:val="false"/>
                <w:bCs w:val="false"/>
                <w:color w:val="000000"/>
                <w:sz w:val="20"/>
                <w:szCs w:val="20"/>
              </w:rPr>
              <w:t xml:space="preserve">0.8839</w:t>
            </w:r>
          </w:p>
        </w:tc>
        <w:tc>
          <w:tcPr>
            <w:tcW w:type="dxa" w:w="1250"/>
            <w:tcMar>
              <w:top w:type="dxa" w:w="80"/>
              <w:left w:type="dxa" w:w="100"/>
              <w:bottom w:type="dxa" w:w="80"/>
              <w:right w:type="dxa" w:w="100"/>
            </w:tcMar>
            <w:vAlign w:val="center"/>
          </w:tcPr>
          <w:p>
            <w:r>
              <w:rPr>
                <w:b w:val="false"/>
                <w:bCs w:val="false"/>
                <w:color w:val="000000"/>
                <w:sz w:val="20"/>
                <w:szCs w:val="20"/>
              </w:rPr>
              <w:t xml:space="preserve">—</w:t>
            </w:r>
          </w:p>
        </w:tc>
      </w:tr>
    </w:tbl>
    <w:p>
      <w:pPr>
        <w:spacing w:after="200" w:line="300"/>
      </w:pPr>
      <w:r>
        <w:rPr>
          <w:color w:val="000000"/>
          <w:sz w:val="22"/>
          <w:szCs w:val="22"/>
        </w:rPr>
        <w:t xml:space="preserve"/>
      </w:r>
    </w:p>
    <w:p>
      <w:pPr>
        <w:spacing w:after="200" w:line="300"/>
      </w:pPr>
      <w:r>
        <w:rPr>
          <w:color w:val="000000"/>
          <w:sz w:val="22"/>
          <w:szCs w:val="22"/>
        </w:rPr>
        <w:t xml:space="preserve">A few observations worth calling out. First, every model lands in roughly the same 79–80% accuracy range — which is actually a solid result once you remember that grade history was intentionally excluded. If G1 and G2 were included, accuracy would jump past 90%, but that version of the model would be practically useless for early intervention, since it would only 'predict' a grade the school already has. We made that trade-off on purpose.</w:t>
      </w:r>
    </w:p>
    <w:p>
      <w:pPr>
        <w:spacing w:after="200" w:line="300"/>
      </w:pPr>
      <w:r>
        <w:rPr>
          <w:color w:val="000000"/>
          <w:sz w:val="22"/>
          <w:szCs w:val="22"/>
        </w:rPr>
        <w:t xml:space="preserve">Second, Gradient Boosting stands out with the highest ROC AUC (0.7507), meaning it's the best of the group at ranking students by risk level — which is exactly what a school would want if they're planning to target, say, the riskiest 20% of students for tutoring rather than making a hard pass/fail call for everyone.</w:t>
      </w:r>
    </w:p>
    <w:p>
      <w:pPr>
        <w:spacing w:after="200" w:line="300"/>
      </w:pPr>
      <w:r>
        <w:rPr>
          <w:color w:val="000000"/>
          <w:sz w:val="22"/>
          <w:szCs w:val="22"/>
        </w:rPr>
        <w:t xml:space="preserve">Third, the logistic regression baseline's high F1-score is a bit deceptive — it's being pulled up by very high recall on the majority (pass) class. Looking at the confusion matrices, every single model struggles more with the fail class, which lines up with the 78/22 class imbalance we noted earlier.</w:t>
      </w:r>
    </w:p>
    <w:p>
      <w:pPr>
        <w:spacing w:after="200" w:line="300"/>
      </w:pPr>
      <w:r>
        <w:rPr>
          <w:color w:val="000000"/>
          <w:sz w:val="22"/>
          <w:szCs w:val="22"/>
        </w:rPr>
        <w:t xml:space="preserve">Finally, tuning the Random Forest didn't dramatically change performance, but it did produce a shallower, more regularized model with better AUC and less overfitting — a reasonable trade to make even without a huge headline number.</w:t>
      </w:r>
    </w:p>
    <w:p>
      <w:pPr>
        <w:pStyle w:val="Heading1"/>
        <w:spacing w:after="150" w:before="300"/>
      </w:pPr>
      <w:r>
        <w:rPr>
          <w:b/>
          <w:bCs/>
          <w:color w:val="000000"/>
        </w:rPr>
        <w:t xml:space="preserve">10. Conclusions and Recommendations</w:t>
      </w:r>
    </w:p>
    <w:p>
      <w:pPr>
        <w:spacing w:after="200" w:line="300"/>
      </w:pPr>
      <w:r>
        <w:rPr>
          <w:color w:val="000000"/>
          <w:sz w:val="22"/>
          <w:szCs w:val="22"/>
        </w:rPr>
        <w:t xml:space="preserve">Overall, we think this project shows that a reasonably reliable early-warning classifier can be built using only the information available at enrollment — no exam scores required. Past failures, ambition toward higher education, absences, parental education, and social/lifestyle habits all came up repeatedly as the strongest and most consistent predictors across every selection method we tried.</w:t>
      </w:r>
    </w:p>
    <w:p>
      <w:pPr>
        <w:spacing w:after="200" w:line="300"/>
      </w:pPr>
      <w:r>
        <w:rPr>
          <w:color w:val="000000"/>
          <w:sz w:val="22"/>
          <w:szCs w:val="22"/>
        </w:rPr>
        <w:t xml:space="preserve">A few practical recommendations follow from this:</w:t>
      </w:r>
    </w:p>
    <w:p>
      <w:pPr>
        <w:pStyle w:val="ListParagraph"/>
        <w:numPr>
          <w:ilvl w:val="0"/>
          <w:numId w:val="1"/>
        </w:numPr>
        <w:spacing w:after="100"/>
      </w:pPr>
      <w:r>
        <w:rPr>
          <w:color w:val="000000"/>
          <w:sz w:val="22"/>
          <w:szCs w:val="22"/>
        </w:rPr>
        <w:t xml:space="preserve">Run the model at the very start of each academic year and flag the highest-risk group (say, the top quintile) for tutoring and counselling.</w:t>
      </w:r>
    </w:p>
    <w:p>
      <w:pPr>
        <w:pStyle w:val="ListParagraph"/>
        <w:numPr>
          <w:ilvl w:val="0"/>
          <w:numId w:val="1"/>
        </w:numPr>
        <w:spacing w:after="100"/>
      </w:pPr>
      <w:r>
        <w:rPr>
          <w:color w:val="000000"/>
          <w:sz w:val="22"/>
          <w:szCs w:val="22"/>
        </w:rPr>
        <w:t xml:space="preserve">Prioritize students with prior class failures and low stated interest in higher education — these were consistently the two strongest risk signals.</w:t>
      </w:r>
    </w:p>
    <w:p>
      <w:pPr>
        <w:pStyle w:val="ListParagraph"/>
        <w:numPr>
          <w:ilvl w:val="0"/>
          <w:numId w:val="1"/>
        </w:numPr>
        <w:spacing w:after="100"/>
      </w:pPr>
      <w:r>
        <w:rPr>
          <w:color w:val="000000"/>
          <w:sz w:val="22"/>
          <w:szCs w:val="22"/>
        </w:rPr>
        <w:t xml:space="preserve">Treat absences as a live, in-year signal — since it was a top predictor, ongoing attendance monitoring could catch newly at-risk students mid-year, not just at the start.</w:t>
      </w:r>
    </w:p>
    <w:p>
      <w:pPr>
        <w:pStyle w:val="ListParagraph"/>
        <w:numPr>
          <w:ilvl w:val="0"/>
          <w:numId w:val="1"/>
        </w:numPr>
        <w:spacing w:after="100"/>
      </w:pPr>
      <w:r>
        <w:rPr>
          <w:color w:val="000000"/>
          <w:sz w:val="22"/>
          <w:szCs w:val="22"/>
        </w:rPr>
        <w:t xml:space="preserve">Engage parents more directly in households with lower parental education, since this factor showed up as meaningfully protective when higher.</w:t>
      </w:r>
    </w:p>
    <w:p>
      <w:pPr>
        <w:pStyle w:val="ListParagraph"/>
        <w:numPr>
          <w:ilvl w:val="0"/>
          <w:numId w:val="1"/>
        </w:numPr>
        <w:spacing w:after="100"/>
      </w:pPr>
      <w:r>
        <w:rPr>
          <w:color w:val="000000"/>
          <w:sz w:val="22"/>
          <w:szCs w:val="22"/>
        </w:rPr>
        <w:t xml:space="preserve">Pair the model's output with human judgement rather than automating decisions outright — a false alarm just costs a tutoring slot, but a missed at-risk student could mean a dropout.</w:t>
      </w:r>
    </w:p>
    <w:p>
      <w:pPr>
        <w:spacing w:after="200" w:line="300"/>
      </w:pPr>
      <w:r>
        <w:rPr>
          <w:color w:val="000000"/>
          <w:sz w:val="22"/>
          <w:szCs w:val="22"/>
        </w:rPr>
        <w:t xml:space="preserve">As for limitations, the dataset comes from two schools in Portugal back in 2008, so retraining on local, more recent data would be necessary before deploying anything like this in a different context. The class imbalance also limits how well any model can catch the fail class, and techniques like SMOTE or class-weighting would be worth exploring in future work. Finally, richer in-year signals — quiz scores, assignment completion, attendance streaks — would likely push the performance ceiling higher than what's achievable with enrollment-time data alone.</w:t>
      </w:r>
    </w:p>
    <w:p>
      <w:pPr>
        <w:pStyle w:val="Heading1"/>
        <w:spacing w:after="150" w:before="300"/>
      </w:pPr>
      <w:r>
        <w:rPr>
          <w:b/>
          <w:bCs/>
          <w:color w:val="000000"/>
        </w:rPr>
        <w:t xml:space="preserve">11. References</w:t>
      </w:r>
    </w:p>
    <w:p>
      <w:pPr>
        <w:spacing w:after="200" w:line="300"/>
      </w:pPr>
      <w:r>
        <w:rPr>
          <w:color w:val="000000"/>
          <w:sz w:val="20"/>
          <w:szCs w:val="20"/>
        </w:rPr>
        <w:t xml:space="preserve">Cortez, P., &amp; Silva, A. (2008). Using Data Mining to Predict Secondary School Student Performance. Proceedings of the 5th FUture BUsiness TEChnology Conference (FUBUTEC 2008), pp. 5–12.</w:t>
      </w:r>
    </w:p>
    <w:p>
      <w:pPr>
        <w:spacing w:after="200" w:line="300"/>
      </w:pPr>
      <w:r>
        <w:rPr>
          <w:color w:val="000000"/>
          <w:sz w:val="20"/>
          <w:szCs w:val="20"/>
        </w:rPr>
        <w:t xml:space="preserve">UCI Machine Learning Repository: Student Performance Data Set. https://archive.ics.uci.edu/dataset/320/student+performance</w:t>
      </w:r>
    </w:p>
    <w:p>
      <w:pPr>
        <w:spacing w:after="200" w:line="300"/>
      </w:pPr>
      <w:r>
        <w:rPr>
          <w:color w:val="000000"/>
          <w:sz w:val="20"/>
          <w:szCs w:val="20"/>
        </w:rPr>
        <w:t xml:space="preserve">Pedregosa, F., et al. (2011). Scikit-learn: Machine Learning in Python. Journal of Machine Learning Research, 12, 2825–2830.</w:t>
      </w:r>
    </w:p>
    <w:p>
      <w:pPr>
        <w:spacing w:after="200" w:line="300"/>
      </w:pPr>
      <w:r>
        <w:rPr>
          <w:color w:val="000000"/>
          <w:sz w:val="20"/>
          <w:szCs w:val="20"/>
        </w:rPr>
        <w:t xml:space="preserve">Waskom, M. (2021). seaborn: statistical data visualization. Journal of Open Source Software, 6(60), 3021.</w:t>
      </w:r>
    </w:p>
    <w:p>
      <w:pPr>
        <w:spacing w:after="200" w:line="300"/>
      </w:pPr>
      <w:r>
        <w:rPr>
          <w:color w:val="000000"/>
          <w:sz w:val="20"/>
          <w:szCs w:val="20"/>
        </w:rPr>
        <w:t xml:space="preserve">Hunter, J. D. (2007). Matplotlib: A 2D Graphics Environment. Computing in Science &amp; Engineering, 9(3), 90–95.</w:t>
      </w:r>
    </w:p>
    <w:p/>
    <w:p/>
    <w:p/>
    <w:p/>
    <w:p/>
    <w:p/>
    <w:p/>
    <w:p/>
    <w:p/>
    <w:p/>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2026-07-07T15:43:32.395Z</dcterms:created>
  <dcterms:modified xsi:type="dcterms:W3CDTF">2026-07-07T15:43:32.395Z</dcterms:modified>
</cp:coreProperties>
</file>

<file path=docProps/custom.xml><?xml version="1.0" encoding="utf-8"?>
<Properties xmlns="http://schemas.openxmlformats.org/officeDocument/2006/custom-properties" xmlns:vt="http://schemas.openxmlformats.org/officeDocument/2006/docPropsVTypes"/>
</file>