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864"/>
          <w:sz w:val="44"/>
          <w:szCs w:val="44"/>
        </w:rPr>
        <w:t xml:space="preserve">Supply Chain Disruption Prediction System</w:t>
      </w:r>
    </w:p>
    <w:p>
      <w:pPr>
        <w:spacing w:after="400"/>
        <w:jc w:val="center"/>
      </w:pPr>
      <w:r>
        <w:rPr>
          <w:color w:val="2E75B6"/>
          <w:sz w:val="32"/>
          <w:szCs w:val="32"/>
        </w:rPr>
        <w:t xml:space="preserve">Data Situation &amp; Data Needs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An onboarding brief for acquiring the data that will unlock a real predictive model</w:t>
      </w:r>
    </w:p>
    <w:p>
      <w:pPr>
        <w:spacing w:after="80"/>
        <w:jc w:val="center"/>
      </w:pPr>
      <w:r>
        <w:rPr>
          <w:color w:val="595959"/>
          <w:sz w:val="22"/>
          <w:szCs w:val="22"/>
        </w:rPr>
        <w:t xml:space="preserve">Audience: a new team member with no prior project knowledge</w:t>
      </w:r>
    </w:p>
    <w:p>
      <w:pPr>
        <w:spacing w:before="600"/>
        <w:jc w:val="center"/>
      </w:pPr>
      <w:r>
        <w:rPr>
          <w:color w:val="808080"/>
          <w:sz w:val="20"/>
          <w:szCs w:val="20"/>
        </w:rPr>
        <w:t xml:space="preserve">Prepared 5 July 2026  ·  reflects the live database at time of writing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</w:pPr>
      <w:r>
        <w:rPr>
          <w:i/>
          <w:iCs/>
          <w:color w:val="808080"/>
          <w:sz w:val="20"/>
          <w:szCs w:val="20"/>
        </w:rPr>
        <w:t xml:space="preserve">(In Word: right-click the list above and choose </w:t>
      </w:r>
      <w:r>
        <w:rPr>
          <w:b/>
          <w:bCs/>
          <w:i/>
          <w:iCs/>
          <w:color w:val="808080"/>
          <w:sz w:val="20"/>
          <w:szCs w:val="20"/>
        </w:rPr>
        <w:t xml:space="preserve">Update Field</w:t>
      </w:r>
      <w:r>
        <w:rPr>
          <w:i/>
          <w:iCs/>
          <w:color w:val="808080"/>
          <w:sz w:val="20"/>
          <w:szCs w:val="20"/>
        </w:rPr>
        <w:t xml:space="preserve"> to populate page numbers.)</w:t>
      </w:r>
    </w:p>
    <w:p>
      <w:r>
        <w:br w:type="page"/>
      </w:r>
    </w:p>
    <w:p>
      <w:pPr>
        <w:pStyle w:val="Heading1"/>
      </w:pPr>
      <w:r>
        <w:t xml:space="preserve">The one-paragraph version</w:t>
      </w:r>
    </w:p>
    <w:p>
      <w:pPr>
        <w:pBdr>
          <w:left w:val="single" w:color="2E75B6" w:sz="18" w:space="12"/>
        </w:pBdr>
        <w:spacing w:after="160" w:line="300"/>
        <w:ind w:left="200"/>
      </w:pPr>
      <w:r>
        <w:t xml:space="preserve">Today the model cannot learn, for one concrete reason: the only trustworthy answers we have </w:t>
      </w:r>
      <w:r>
        <w:rPr>
          <w:b/>
          <w:bCs/>
        </w:rPr>
        <w:t xml:space="preserve">(hand-labelled shortage episodes from 2023–2025)</w:t>
      </w:r>
      <w:r>
        <w:t xml:space="preserve"> do not line up in time with the only data we have collected </w:t>
      </w:r>
      <w:r>
        <w:rPr>
          <w:b/>
          <w:bCs/>
        </w:rPr>
        <w:t xml:space="preserve">(prices and news from 2026)</w:t>
      </w:r>
      <w:r>
        <w:t xml:space="preserve"> — and the one data source that </w:t>
      </w:r>
      <w:r>
        <w:rPr>
          <w:i/>
          <w:iCs/>
        </w:rPr>
        <w:t xml:space="preserve">does</w:t>
      </w:r>
      <w:r>
        <w:t xml:space="preserve"> line up is </w:t>
      </w:r>
      <w:r>
        <w:rPr>
          <w:b/>
          <w:bCs/>
          <w:color w:val="C00000"/>
        </w:rPr>
        <w:t xml:space="preserve">circular</w:t>
      </w:r>
      <w:r>
        <w:t xml:space="preserve"> (it is calculated from the very numbers it would be used to predict). The single highest-leverage, </w:t>
      </w:r>
      <w:r>
        <w:rPr>
          <w:b/>
          <w:bCs/>
          <w:color w:val="375623"/>
        </w:rPr>
        <w:t xml:space="preserve">lowest-cost fix is to back-fill historical producer stock prices for 2023–2025</w:t>
      </w:r>
      <w:r>
        <w:t xml:space="preserve"> (free, already supported by our data library) so that our features finally overlap our existing labels. </w:t>
      </w:r>
      <w:r>
        <w:t xml:space="preserve">After that, historical news and real commodity prices strengthen it further. We need at least </w:t>
      </w:r>
      <w:r>
        <w:rPr>
          <w:b/>
          <w:bCs/>
        </w:rPr>
        <w:t xml:space="preserve">50 non-circular, time-overlapping (data → outcome) pairs</w:t>
      </w:r>
      <w:r>
        <w:t xml:space="preserve"> across several resources, covering both shortage and normal periods. Once that exists, the pipeline </w:t>
      </w:r>
      <w:r>
        <w:rPr>
          <w:b/>
          <w:bCs/>
        </w:rPr>
        <w:t xml:space="preserve">trains a real model automatically — no code changes required.</w:t>
      </w:r>
    </w:p>
    <w:p>
      <w:pPr>
        <w:pStyle w:val="Heading1"/>
      </w:pPr>
      <w:r>
        <w:t xml:space="preserve">1. What this system does (in plain language)</w:t>
      </w:r>
    </w:p>
    <w:p>
      <w:pPr>
        <w:spacing w:after="120" w:line="276"/>
      </w:pPr>
      <w:r>
        <w:t xml:space="preserve">The system forecasts “tightening” — shortage risk — for four semiconductor resources: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DRAM</w:t>
      </w:r>
      <w:r>
        <w:t xml:space="preserve">  ·  HBM (High-Bandwidth Memory)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NAND flash</w:t>
      </w:r>
      <w:r>
        <w:t xml:space="preserve">  ·  GPUs (AI accelerators)</w:t>
      </w:r>
    </w:p>
    <w:p>
      <w:pPr>
        <w:spacing w:after="120" w:line="276"/>
      </w:pPr>
      <w:r>
        <w:t xml:space="preserve">It does this with a pipeline of stages, each feeding the next: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Collect</w:t>
      </w:r>
      <w:r>
        <w:t xml:space="preserve"> raw signals — news articles, SEC filings, and market prices.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Clean &amp; de-duplicate</w:t>
      </w:r>
      <w:r>
        <w:t xml:space="preserve"> — resolve which company is which, and collapse 40 outlets covering one event into a single event.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Score</w:t>
      </w:r>
      <w:r>
        <w:t xml:space="preserve"> — an LLM reads each news item and rates its severity (1–10) and confidence.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Forecast</w:t>
      </w:r>
      <w:r>
        <w:t xml:space="preserve"> — project recent price/activity trends forward.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Label</w:t>
      </w:r>
      <w:r>
        <w:t xml:space="preserve"> — assemble “ground-truth” examples of when tightening did and didn’t happen.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C00000"/>
        </w:rPr>
        <w:t xml:space="preserve">Fuse</w:t>
      </w:r>
      <w:r>
        <w:t xml:space="preserve"> — a machine-learning model combines all of the above into one calibrated probability of tightening. </w:t>
      </w:r>
      <w:r>
        <w:rPr>
          <w:b/>
          <w:bCs/>
        </w:rPr>
        <w:t xml:space="preserve">This is the heart of the system, and it is the stage that is currently blocked.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Explain &amp; display</w:t>
      </w:r>
      <w:r>
        <w:t xml:space="preserve"> — generate a cited, evidence-grounded narrative and show everything on a dashboard.</w:t>
      </w:r>
    </w:p>
    <w:p>
      <w:pPr>
        <w:spacing w:after="120" w:line="276"/>
      </w:pPr>
      <w:r>
        <w:t xml:space="preserve">Every other stage exists to feed stage 6. So “the data problem” is really “the problem of giving stage 6 something real to learn from.”</w:t>
      </w:r>
    </w:p>
    <w:p>
      <w:pPr>
        <w:pStyle w:val="Heading1"/>
      </w:pPr>
      <w:r>
        <w:t xml:space="preserve">2. How the model learns: features vs. labels</w:t>
      </w:r>
    </w:p>
    <w:p>
      <w:pPr>
        <w:spacing w:after="120" w:line="276"/>
      </w:pPr>
      <w:r>
        <w:t xml:space="preserve">To teach any predictive model, you show it many past examples of the form: </w:t>
      </w:r>
    </w:p>
    <w:p>
      <w:pPr>
        <w:spacing w:after="120"/>
        <w:jc w:val="center"/>
      </w:pPr>
      <w:r>
        <w:rPr>
          <w:i/>
          <w:iCs/>
        </w:rPr>
        <w:t xml:space="preserve">“here is what the world looked like </w:t>
      </w:r>
      <w:r>
        <w:rPr>
          <w:b/>
          <w:bCs/>
          <w:color w:val="2E75B6"/>
        </w:rPr>
        <w:t xml:space="preserve">(FEATURES)</w:t>
      </w:r>
      <w:r>
        <w:rPr>
          <w:i/>
          <w:iCs/>
        </w:rPr>
        <w:t xml:space="preserve">, and here is what actually happened </w:t>
      </w:r>
      <w:r>
        <w:rPr>
          <w:b/>
          <w:bCs/>
          <w:color w:val="375623"/>
        </w:rPr>
        <w:t xml:space="preserve">(LABEL)</w:t>
      </w:r>
      <w:r>
        <w:rPr>
          <w:i/>
          <w:iCs/>
        </w:rPr>
        <w:t xml:space="preserve">.”</w:t>
      </w:r>
    </w:p>
    <w:p>
      <w:pPr>
        <w:spacing w:after="120" w:line="276"/>
      </w:pPr>
      <w:r>
        <w:rPr>
          <w:b/>
          <w:bCs/>
          <w:color w:val="2E75B6"/>
        </w:rPr>
        <w:t xml:space="preserve">FEATURES</w:t>
      </w:r>
      <w:r>
        <w:t xml:space="preserve"> are a numeric snapshot of one resource at one point in time — e.g. its recent price, price trend, forecast, average news-severity, and how concentrated its supply is.</w:t>
      </w:r>
    </w:p>
    <w:p>
      <w:pPr>
        <w:spacing w:after="120" w:line="276"/>
      </w:pPr>
      <w:r>
        <w:rPr>
          <w:b/>
          <w:bCs/>
          <w:color w:val="375623"/>
        </w:rPr>
        <w:t xml:space="preserve">The LABEL</w:t>
      </w:r>
      <w:r>
        <w:t xml:space="preserve"> is the ground-truth answer for that same resource and time: was it actually tightening then? </w:t>
      </w:r>
      <w:r>
        <w:rPr>
          <w:b/>
          <w:bCs/>
        </w:rPr>
        <w:t xml:space="preserve">1</w:t>
      </w:r>
      <w:r>
        <w:t xml:space="preserve"> (yes) or </w:t>
      </w:r>
      <w:r>
        <w:rPr>
          <w:b/>
          <w:bCs/>
        </w:rPr>
        <w:t xml:space="preserve">0</w:t>
      </w:r>
      <w:r>
        <w:t xml:space="preserve"> (no).</w:t>
      </w:r>
    </w:p>
    <w:p>
      <w:pPr>
        <w:spacing w:after="120" w:line="276"/>
      </w:pPr>
      <w:r>
        <w:rPr>
          <w:b/>
          <w:bCs/>
        </w:rPr>
        <w:t xml:space="preserve">Two rules make a training example valid — and both are exactly what we are missing: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Overlap: </w:t>
      </w:r>
      <w:r>
        <w:t xml:space="preserve">we must have a feature snapshot AND a label for the </w:t>
      </w:r>
      <w:r>
        <w:rPr>
          <w:b/>
          <w:bCs/>
        </w:rPr>
        <w:t xml:space="preserve">same resource in the same time window</w:t>
      </w:r>
      <w:r>
        <w:t xml:space="preserve">. Without overlap, there is nothing to line up.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Independence: </w:t>
      </w:r>
      <w:r>
        <w:t xml:space="preserve">the label must </w:t>
      </w:r>
      <w:r>
        <w:rPr>
          <w:i/>
          <w:iCs/>
        </w:rPr>
        <w:t xml:space="preserve">not</w:t>
      </w:r>
      <w:r>
        <w:t xml:space="preserve"> be calculated from the features. If it is, the model just re-learns a formula it was already handed — that is </w:t>
      </w:r>
      <w:r>
        <w:rPr>
          <w:b/>
          <w:bCs/>
          <w:color w:val="C00000"/>
        </w:rPr>
        <w:t xml:space="preserve">circularity</w:t>
      </w:r>
      <w:r>
        <w:t xml:space="preserve">, and it teaches nothing.</w:t>
      </w:r>
    </w:p>
    <w:p>
      <w:pPr>
        <w:pStyle w:val="Heading1"/>
      </w:pPr>
      <w:r>
        <w:t xml:space="preserve">3. What data we have today</w:t>
      </w:r>
    </w:p>
    <w:p>
      <w:pPr>
        <w:spacing w:after="120" w:line="276"/>
      </w:pPr>
      <w:r>
        <w:t xml:space="preserve">The data splits into the two halves of a training example. Here is the honest current state of each.</w:t>
      </w:r>
    </w:p>
    <w:p>
      <w:pPr>
        <w:pStyle w:val="Heading2"/>
      </w:pPr>
      <w:r>
        <w:t xml:space="preserve">3.1  The FEATURES we have (mostly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Feature source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 coverage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price_series (stock proxy)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Daily share prices of the makers (Micron, Nvidia, TSMC, Samsung), used as a weak proxy for a resource’s health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</w:rPr>
              <w:t xml:space="preserve">2026-02 → 2026-07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360 rows (~19 weeks/resource)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signal.severity (LLM-scored news)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Severity 1–10 per news item about a resource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</w:rPr>
              <w:t xml:space="preserve">2026 (recent)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200 scored, 167 articles (88 unique events)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forecast_result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Prophet / Holt-Winters forecasts of the above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Derived from 2026 data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 series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resource (structural)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Static supply-concentration metric (HHI)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Static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 resources</w:t>
            </w:r>
          </w:p>
        </w:tc>
      </w:tr>
    </w:tbl>
    <w:p>
      <w:pPr>
        <w:spacing w:after="120" w:line="276"/>
      </w:pPr>
      <w:r>
        <w:t xml:space="preserve">Key fact: every feature we have is dated </w:t>
      </w:r>
      <w:r>
        <w:rPr>
          <w:b/>
          <w:bCs/>
          <w:color w:val="C00000"/>
        </w:rPr>
        <w:t xml:space="preserve">2026</w:t>
      </w:r>
      <w:r>
        <w:t xml:space="preserve"> — because that is when ingestion was run, and our free news/price sources only reach back a few weeks to a few months.</w:t>
      </w:r>
    </w:p>
    <w:p>
      <w:pPr>
        <w:pStyle w:val="Heading2"/>
      </w:pPr>
      <w:r>
        <w:t xml:space="preserve">3.2  The LABELS we have (two kinds, both problematic)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00"/>
        <w:gridCol w:w="1700"/>
        <w:gridCol w:w="116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Label source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 coverage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Volume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Independent?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curated_episode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Hand-authored real historical tightening episodes (DRAM, HBM, GPU)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2E75B6"/>
              </w:rPr>
              <w:t xml:space="preserve">2023-03 → 2025-12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314 weeks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375623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price_derived</w:t>
            </w:r>
          </w:p>
        </w:tc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mechanical z-score anomaly computed on the stock-proxy price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</w:rPr>
              <w:t xml:space="preserve">2026-02 → 2026-06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76 rows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C00000"/>
              </w:rPr>
              <w:t xml:space="preserve">NO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76"/>
      </w:pPr>
      <w:r>
        <w:t xml:space="preserve">The curated episodes are our </w:t>
      </w:r>
      <w:r>
        <w:rPr>
          <w:b/>
          <w:bCs/>
          <w:color w:val="375623"/>
        </w:rPr>
        <w:t xml:space="preserve">gold</w:t>
      </w:r>
      <w:r>
        <w:t xml:space="preserve"> — real, expert-justified, independent of any price. But they are dated </w:t>
      </w:r>
      <w:r>
        <w:rPr>
          <w:b/>
          <w:bCs/>
        </w:rPr>
        <w:t xml:space="preserve">2023–2025</w:t>
      </w:r>
      <w:r>
        <w:t xml:space="preserve">, and cover only DRAM, HBM, GPU (NAND has </w:t>
      </w:r>
      <w:r>
        <w:rPr>
          <w:b/>
          <w:bCs/>
          <w:color w:val="C00000"/>
        </w:rPr>
        <w:t xml:space="preserve">none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The price-derived labels overlap our 2026 features, but they are </w:t>
      </w:r>
      <w:r>
        <w:rPr>
          <w:b/>
          <w:bCs/>
          <w:color w:val="C00000"/>
        </w:rPr>
        <w:t xml:space="preserve">circular</w:t>
      </w:r>
      <w:r>
        <w:t xml:space="preserve">: each label is literally a function of the price feature, so training on them teaches nothing new.</w:t>
      </w:r>
    </w:p>
    <w:p>
      <w:r>
        <w:br w:type="page"/>
      </w:r>
    </w:p>
    <w:p>
      <w:pPr>
        <w:pStyle w:val="Heading1"/>
      </w:pPr>
      <w:r>
        <w:t xml:space="preserve">4. The core problem, stated exactly</w:t>
      </w:r>
    </w:p>
    <w:p>
      <w:pPr>
        <w:spacing w:after="120" w:line="276"/>
      </w:pPr>
      <w:r>
        <w:t xml:space="preserve">There are two blockers, and together they leave us with </w:t>
      </w:r>
      <w:r>
        <w:rPr>
          <w:b/>
          <w:bCs/>
          <w:color w:val="C00000"/>
        </w:rPr>
        <w:t xml:space="preserve">zero usable training examples.</w:t>
      </w:r>
    </w:p>
    <w:p>
      <w:pPr>
        <w:pStyle w:val="Heading2"/>
      </w:pPr>
      <w:r>
        <w:t xml:space="preserve">Blocker A — Time misalignment</w:t>
      </w:r>
    </w:p>
    <w:p>
      <w:pPr>
        <w:spacing w:after="120" w:line="276"/>
      </w:pPr>
      <w:r>
        <w:t xml:space="preserve">Our only independent labels live in 2023–2025. Our only features live in 2026. They never overlap, so we cannot pair “what it looked like” with “what happened.”</w:t>
      </w:r>
    </w:p>
    <w:p>
      <w:pPr>
        <w:spacing w:after="40"/>
      </w:pPr>
      <w:r>
        <w:rPr>
          <w:b/>
          <w:bCs/>
        </w:rPr>
        <w:t xml:space="preserve">Independent LABELS (curated):  </w:t>
      </w:r>
      <w:r>
        <w:rPr>
          <w:rFonts w:ascii="Courier New" w:cs="Courier New" w:eastAsia="Courier New" w:hAnsi="Courier New"/>
          <w:color w:val="375623"/>
        </w:rPr>
        <w:t xml:space="preserve">|——2023———2024———2025——|</w:t>
      </w:r>
    </w:p>
    <w:p>
      <w:pPr>
        <w:spacing w:after="40"/>
      </w:pPr>
      <w:r>
        <w:rPr>
          <w:b/>
          <w:bCs/>
        </w:rPr>
        <w:t xml:space="preserve">Our FEATURES (price/news): </w:t>
      </w:r>
      <w:r>
        <w:rPr>
          <w:rFonts w:ascii="Courier New" w:cs="Courier New" w:eastAsia="Courier New" w:hAnsi="Courier New"/>
          <w:color w:val="C00000"/>
        </w:rPr>
        <w:t xml:space="preserve">                                        |—2026—|</w:t>
      </w:r>
    </w:p>
    <w:p>
      <w:pPr>
        <w:spacing w:after="160"/>
      </w:pPr>
      <w:r>
        <w:rPr>
          <w:b/>
          <w:bCs/>
        </w:rPr>
        <w:t xml:space="preserve">Overlap:  </w:t>
      </w:r>
      <w:r>
        <w:rPr>
          <w:rFonts w:ascii="Courier New" w:cs="Courier New" w:eastAsia="Courier New" w:hAnsi="Courier New"/>
          <w:b/>
          <w:bCs/>
          <w:color w:val="C00000"/>
        </w:rPr>
        <w:t xml:space="preserve">NONE</w:t>
      </w:r>
    </w:p>
    <w:p>
      <w:pPr>
        <w:pStyle w:val="Heading2"/>
      </w:pPr>
      <w:r>
        <w:t xml:space="preserve">Blocker B — Circularity</w:t>
      </w:r>
    </w:p>
    <w:p>
      <w:pPr>
        <w:spacing w:after="120" w:line="276"/>
      </w:pPr>
      <w:r>
        <w:t xml:space="preserve">The one label source that does overlap 2026 (price-derived) is computed from the price feature itself. A model trained on it would just re-derive the z-score rule it was handed — impressive-looking, but not real prediction.</w:t>
      </w:r>
    </w:p>
    <w:p>
      <w:pPr>
        <w:pStyle w:val="Heading2"/>
      </w:pPr>
      <w:r>
        <w:t xml:space="preserve">The consequence</w:t>
      </w:r>
    </w:p>
    <w:p>
      <w:pPr>
        <w:spacing w:after="120" w:line="276"/>
      </w:pPr>
      <w:r>
        <w:t xml:space="preserve">The pipeline needs at least </w:t>
      </w:r>
      <w:r>
        <w:rPr>
          <w:b/>
          <w:bCs/>
        </w:rPr>
        <w:t xml:space="preserve">50</w:t>
      </w:r>
      <w:r>
        <w:t xml:space="preserve"> independent, time-overlapping (feature, label) pairs to train a real model. It currently finds </w:t>
      </w:r>
      <w:r>
        <w:rPr>
          <w:b/>
          <w:bCs/>
          <w:color w:val="C00000"/>
        </w:rPr>
        <w:t xml:space="preserve">0</w:t>
      </w:r>
      <w:r>
        <w:t xml:space="preserve"> (44 exist but are all the circular kind). So the training code </w:t>
      </w:r>
      <w:r>
        <w:rPr>
          <w:b/>
          <w:bCs/>
        </w:rPr>
        <w:t xml:space="preserve">correctly and deliberately refuses</w:t>
      </w:r>
      <w:r>
        <w:t xml:space="preserve">, and instead builds a clearly-labelled </w:t>
      </w:r>
      <w:r>
        <w:rPr>
          <w:b/>
          <w:bCs/>
        </w:rPr>
        <w:t xml:space="preserve">synthetic-validation</w:t>
      </w:r>
      <w:r>
        <w:t xml:space="preserve"> model: it proves the machinery works end-to-end, but it is </w:t>
      </w:r>
      <w:r>
        <w:rPr>
          <w:i/>
          <w:iCs/>
        </w:rPr>
        <w:t xml:space="preserve">not</w:t>
      </w:r>
      <w:r>
        <w:t xml:space="preserve"> a real predictor and is flagged as such everywhere it appears.</w:t>
      </w:r>
    </w:p>
    <w:p>
      <w:pPr>
        <w:pStyle w:val="Heading1"/>
      </w:pPr>
      <w:r>
        <w:t xml:space="preserve">5. The data we need (prioritised)</w:t>
      </w:r>
    </w:p>
    <w:p>
      <w:pPr>
        <w:spacing w:after="120" w:line="276"/>
      </w:pPr>
      <w:r>
        <w:t xml:space="preserve">The goal is simple to state: </w:t>
      </w:r>
      <w:r>
        <w:rPr>
          <w:b/>
          <w:bCs/>
        </w:rPr>
        <w:t xml:space="preserve">make independent labels and features overlap in time.</w:t>
      </w:r>
    </w:p>
    <w:p>
      <w:pPr>
        <w:spacing w:after="120" w:line="276"/>
      </w:pPr>
      <w:r>
        <w:t xml:space="preserve">There are two ways to get there, and they are complementary: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Bring FEATURES back to 2023–2025</w:t>
      </w:r>
      <w:r>
        <w:t xml:space="preserve"> to meet the labels we already have (fastest, cheapest), or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Create independent LABELS for 2026</w:t>
      </w:r>
      <w:r>
        <w:t xml:space="preserve"> to meet the features we already have (needs expert time).</w:t>
      </w:r>
    </w:p>
    <w:p>
      <w:pPr>
        <w:spacing w:after="120" w:line="276"/>
      </w:pPr>
      <w:r>
        <w:t xml:space="preserve">The four priorities below, highest-leverage first:</w:t>
      </w:r>
    </w:p>
    <w:p>
      <w:pPr>
        <w:pStyle w:val="Heading2"/>
      </w:pPr>
      <w:r>
        <w:t xml:space="preserve">Priority 1 — Historical producer price history (2023–2025)   •  easiest, ~free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What: </w:t>
      </w:r>
      <w:r>
        <w:t xml:space="preserve">daily (or weekly) closing </w:t>
      </w:r>
      <w:r>
        <w:rPr>
          <w:b/>
          <w:bCs/>
        </w:rPr>
        <w:t xml:space="preserve">share prices in USD</w:t>
      </w:r>
      <w:r>
        <w:t xml:space="preserve"> for the producers, spanning </w:t>
      </w:r>
      <w:r>
        <w:rPr>
          <w:b/>
          <w:bCs/>
        </w:rPr>
        <w:t xml:space="preserve">Jan 2023 → Dec 2025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Which tickers: </w:t>
      </w:r>
      <w:r>
        <w:t xml:space="preserve">MU (Micron), NVDA (Nvidia), TSM (TSMC ADR), SSNLF (Samsung ADR); optionally 005930.KS / 000660.KS / 2330.TW with currency conversion to USD.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Where: </w:t>
      </w:r>
      <w:r>
        <w:t xml:space="preserve">our existing data library (</w:t>
      </w:r>
      <w:r>
        <w:rPr>
          <w:b/>
          <w:bCs/>
        </w:rPr>
        <w:t xml:space="preserve">yfinance</w:t>
      </w:r>
      <w:r>
        <w:t xml:space="preserve">) already supports multi-year history — today’s code just caps it at 90 days; lifting that cap is a small change. Free alternatives: Stooq, Alpha Vantage, Nasdaq Data Link.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375623"/>
        </w:rPr>
        <w:t xml:space="preserve">Why it matters most: </w:t>
      </w:r>
      <w:r>
        <w:t xml:space="preserve">this puts real price features </w:t>
      </w:r>
      <w:r>
        <w:rPr>
          <w:b/>
          <w:bCs/>
        </w:rPr>
        <w:t xml:space="preserve">inside the 2023–2025 windows where the curated DRAM/HBM/GPU episodes already live</w:t>
      </w:r>
      <w:r>
        <w:t xml:space="preserve"> — instantly creating real, non-circular training pairs. This alone can unblock a first real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 / effort: </w:t>
      </w:r>
      <w:r>
        <w:t xml:space="preserve">free; low effort (a code tweak + one back-fill run).</w:t>
      </w:r>
    </w:p>
    <w:p>
      <w:pPr>
        <w:pStyle w:val="Heading2"/>
      </w:pPr>
      <w:r>
        <w:t xml:space="preserve">Priority 2 — Historical news &amp; filings (2023–2025)   •  medium; news likely paid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What: </w:t>
      </w:r>
      <w:r>
        <w:t xml:space="preserve">news articles (headline + snippet + date + source) about the 4 resources and 5 producers, and SEC filing metadata, dated across 2023–2025.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Where: </w:t>
      </w:r>
      <w:r>
        <w:t xml:space="preserve">SEC EDGAR historical is </w:t>
      </w:r>
      <w:r>
        <w:rPr>
          <w:b/>
          <w:bCs/>
          <w:color w:val="375623"/>
        </w:rPr>
        <w:t xml:space="preserve">free</w:t>
      </w:r>
      <w:r>
        <w:t xml:space="preserve"> (filings go back decades). Historical </w:t>
      </w:r>
      <w:r>
        <w:rPr>
          <w:b/>
          <w:bCs/>
        </w:rPr>
        <w:t xml:space="preserve">news</w:t>
      </w:r>
      <w:r>
        <w:t xml:space="preserve"> needs a paid archive: GDELT full-history via Google BigQuery, NewsAPI paid tier, Event Registry / Aylien, or LexisNexis.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Why: </w:t>
      </w:r>
      <w:r>
        <w:t xml:space="preserve">fills the news-severity features in the episode windows, so the feature vector is more than price alone.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 / effort: </w:t>
      </w:r>
      <w:r>
        <w:t xml:space="preserve">medium; the news archive is the main paid item. Filings are free.</w:t>
      </w:r>
    </w:p>
    <w:p>
      <w:pPr>
        <w:pStyle w:val="Heading2"/>
      </w:pPr>
      <w:r>
        <w:t xml:space="preserve">Priority 3 — Real resource commodity prices   •  high value; paid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What: </w:t>
      </w:r>
      <w:r>
        <w:t xml:space="preserve">actual </w:t>
      </w:r>
      <w:r>
        <w:rPr>
          <w:b/>
          <w:bCs/>
        </w:rPr>
        <w:t xml:space="preserve">contract / spot prices for DRAM and NAND</w:t>
      </w:r>
      <w:r>
        <w:t xml:space="preserve"> (and HBM/GPU where published), monthly or weekly, historical and ongoing.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Where: </w:t>
      </w:r>
      <w:r>
        <w:t xml:space="preserve">TrendForce / DRAMeXchange, Bloomberg, or industry market reports (subscription).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Why: </w:t>
      </w:r>
      <w:r>
        <w:t xml:space="preserve">replaces the </w:t>
      </w:r>
      <w:r>
        <w:rPr>
          <w:i/>
          <w:iCs/>
        </w:rPr>
        <w:t xml:space="preserve">weak stock-price proxy</w:t>
      </w:r>
      <w:r>
        <w:t xml:space="preserve"> with the real thing we are trying to predict — improving features and enabling genuine (non-circular) price labels.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Cost / effort: </w:t>
      </w:r>
      <w:r>
        <w:t xml:space="preserve">paid subscription; medium integration effort.</w:t>
      </w:r>
    </w:p>
    <w:p>
      <w:pPr>
        <w:pStyle w:val="Heading2"/>
      </w:pPr>
      <w:r>
        <w:t xml:space="preserve">Priority 4 — More &amp; better independent labels   •  low cost; expert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What: </w:t>
      </w:r>
      <w:r>
        <w:t xml:space="preserve">additional hand-curated tightening episodes with start/end dates and a one-sentence justification — crucially </w:t>
      </w:r>
      <w:r>
        <w:rPr>
          <w:b/>
          <w:bCs/>
          <w:color w:val="C00000"/>
        </w:rPr>
        <w:t xml:space="preserve">including NAND</w:t>
      </w:r>
      <w:r>
        <w:t xml:space="preserve"> (currently none), and explicit </w:t>
      </w:r>
      <w:r>
        <w:rPr>
          <w:b/>
          <w:bCs/>
        </w:rPr>
        <w:t xml:space="preserve">“normal / non-tightening” periods (label = 0)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Why: </w:t>
      </w:r>
      <w:r>
        <w:t xml:space="preserve">a classifier needs </w:t>
      </w:r>
      <w:r>
        <w:rPr>
          <w:i/>
          <w:iCs/>
        </w:rPr>
        <w:t xml:space="preserve">both</w:t>
      </w:r>
      <w:r>
        <w:t xml:space="preserve"> outcomes to learn — right now we only have shortage (1) episodes and no confirmed calm (0) periods. More episodes = more pairs.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Where: </w:t>
      </w:r>
      <w:r>
        <w:t xml:space="preserve">a domain analyst reviewing public reporting, earnings calls, and price history. No purchase required.</w:t>
      </w:r>
    </w:p>
    <w:p>
      <w:r>
        <w:br w:type="page"/>
      </w:r>
    </w:p>
    <w:p>
      <w:pPr>
        <w:pStyle w:val="Heading1"/>
      </w:pPr>
      <w:r>
        <w:t xml:space="preserve">6. Concretely: what a data hunt should return</w:t>
      </w:r>
    </w:p>
    <w:p>
      <w:pPr>
        <w:spacing w:after="120" w:line="276"/>
      </w:pPr>
      <w:r>
        <w:t xml:space="preserve">If you are sourcing data, deliver datasets with these exact shapes. Each maps cleanly into an existing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3050"/>
        <w:gridCol w:w="1350"/>
        <w:gridCol w:w="1600"/>
        <w:gridCol w:w="1310"/>
      </w:tblGrid>
      <w:tr>
        <w:trPr>
          <w:tblHeader/>
        </w:trP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Dataset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Fields (columns)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Granularity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Time span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Historical producer prices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date, ticker, close_usd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daily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2023-01 → now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 / JSON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Historical news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date, resource/producer, title, snippet, url, source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 article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2023-01 → now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 / JSON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Historical filings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date, company, form_type, item, url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 filing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2023-01 → now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JSON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Real commodity prices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date, resource, price, unit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weekly / monthly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2023 → now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CSV</w:t>
            </w:r>
          </w:p>
        </w:tc>
      </w:tr>
      <w:tr>
        <w:tc>
          <w:tcPr>
            <w:tcW w:type="dxa" w:w="2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Expert labels</w:t>
            </w:r>
          </w:p>
        </w:tc>
        <w:tc>
          <w:tcPr>
            <w:tcW w:type="dxa" w:w="30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resource, start_date, end_date, tightening (0/1), justification</w:t>
            </w:r>
          </w:p>
        </w:tc>
        <w:tc>
          <w:tcPr>
            <w:tcW w:type="dxa" w:w="1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 episode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2023 → now</w:t>
            </w:r>
          </w:p>
        </w:tc>
        <w:tc>
          <w:tcPr>
            <w:tcW w:type="dxa" w:w="131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JSON</w:t>
            </w:r>
          </w:p>
        </w:tc>
      </w:tr>
    </w:tbl>
    <w:p>
      <w:pPr>
        <w:spacing w:after="120" w:line="276"/>
      </w:pPr>
      <w:r>
        <w:t xml:space="preserve">Resources use the slugs </w:t>
      </w:r>
      <w:r>
        <w:rPr>
          <w:rFonts w:ascii="Courier New" w:cs="Courier New" w:eastAsia="Courier New" w:hAnsi="Courier New"/>
          <w:b/>
          <w:bCs/>
        </w:rPr>
        <w:t xml:space="preserve">dram, hbm, nand, gpu</w:t>
      </w:r>
      <w:r>
        <w:t xml:space="preserve">. Producers: </w:t>
      </w:r>
      <w:r>
        <w:rPr>
          <w:rFonts w:ascii="Courier New" w:cs="Courier New" w:eastAsia="Courier New" w:hAnsi="Courier New"/>
          <w:b/>
          <w:bCs/>
        </w:rPr>
        <w:t xml:space="preserve">micron, nvidia, samsung, sk_hynix, tsmc</w:t>
      </w:r>
      <w:r>
        <w:t xml:space="preserve">.</w:t>
      </w:r>
    </w:p>
    <w:p>
      <w:pPr>
        <w:pStyle w:val="Heading1"/>
      </w:pPr>
      <w:r>
        <w:t xml:space="preserve">7. How we know the data is “enough”</w:t>
      </w:r>
    </w:p>
    <w:p>
      <w:pPr>
        <w:spacing w:after="120" w:line="276"/>
      </w:pPr>
      <w:r>
        <w:t xml:space="preserve">The data is sufficient to train a real (non-synthetic) model when all of the following hold: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At least </w:t>
      </w:r>
      <w:r>
        <w:rPr>
          <w:b/>
          <w:bCs/>
        </w:rPr>
        <w:t xml:space="preserve">50 independent (feature, label) pairs</w:t>
      </w:r>
      <w:r>
        <w:t xml:space="preserve"> — where the label is NOT derived from the features, and the feature window overlaps the label window.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Spanning </w:t>
      </w:r>
      <w:r>
        <w:rPr>
          <w:b/>
          <w:bCs/>
        </w:rPr>
        <w:t xml:space="preserve">multiple resources</w:t>
      </w:r>
      <w:r>
        <w:t xml:space="preserve"> (not just one), ideally all four.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Including </w:t>
      </w:r>
      <w:r>
        <w:rPr>
          <w:b/>
          <w:bCs/>
        </w:rPr>
        <w:t xml:space="preserve">both positive (tightening = 1) and negative (= 0) examples</w:t>
      </w:r>
      <w:r>
        <w:t xml:space="preserve"> — a classifier cannot learn from only one class.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Ideally </w:t>
      </w:r>
      <w:r>
        <w:rPr>
          <w:b/>
          <w:bCs/>
        </w:rPr>
        <w:t xml:space="preserve">100+ pairs</w:t>
      </w:r>
      <w:r>
        <w:t xml:space="preserve"> and several episodes per resource, for a model whose accuracy can be trusted and measured.</w:t>
      </w:r>
    </w:p>
    <w:p>
      <w:pPr>
        <w:spacing w:after="120" w:line="276"/>
      </w:pPr>
      <w:r>
        <w:t xml:space="preserve">When these are met, </w:t>
      </w:r>
      <w:r>
        <w:rPr>
          <w:b/>
          <w:bCs/>
          <w:color w:val="375623"/>
        </w:rPr>
        <w:t xml:space="preserve">no code change is needed</w:t>
      </w:r>
      <w:r>
        <w:t xml:space="preserve">: the pipeline detects the real overlap, flips from “synthetic-validation” to a genuine “real” model automatically, and turns on its full explainability. The switch is built and waiting.</w:t>
      </w:r>
    </w:p>
    <w:p>
      <w:pPr>
        <w:pStyle w:val="Heading1"/>
      </w:pPr>
      <w:r>
        <w:t xml:space="preserve">Appendix — quick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Plain meaning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Feature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number describing a resource at a point in time (input to the model).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Label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known answer — was it tightening then? (what the model learns to predict).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Independent label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label decided without looking at the features (e.g. an expert-marked episode).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Circular label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label calculated from the features — useless for training.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Stock proxy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Using a maker’s share price as a stand-in for a resource’s health (a weak substitute for real commodity prices).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Synthetic-validation model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 model trained on made-up data to prove the code works — explicitly NOT a real predictor.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Tightening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event we predict: a resource becoming scarce / supply-constrained.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Supply Chain Disruption Prediction System — Data Situation &amp; Data Needs   · 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2026-07-04T19:25:45.759Z</dcterms:created>
  <dcterms:modified xsi:type="dcterms:W3CDTF">2026-07-04T19:25:45.760Z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