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p>
    <w:p>
      <w:pPr>
        <w:pBdr>
          <w:bottom w:val="single" w:color="2E75B6" w:sz="18" w:space="8"/>
        </w:pBdr>
        <w:spacing w:after="0"/>
        <w:jc w:val="left"/>
      </w:pPr>
      <w:r>
        <w:rPr>
          <w:b/>
          <w:bCs/>
          <w:color w:val="1F3864"/>
          <w:sz w:val="64"/>
          <w:szCs w:val="64"/>
        </w:rPr>
        <w:t xml:space="preserve">DevOps &amp; MLOps</w:t>
      </w:r>
    </w:p>
    <w:p>
      <w:pPr>
        <w:spacing w:after="60" w:before="200"/>
      </w:pPr>
      <w:r>
        <w:rPr>
          <w:b/>
          <w:bCs/>
          <w:color w:val="2E75B6"/>
          <w:sz w:val="36"/>
          <w:szCs w:val="36"/>
        </w:rPr>
        <w:t xml:space="preserve">Standards, Best Practices &amp; Implementation Blueprint</w:t>
      </w:r>
    </w:p>
    <w:p>
      <w:pPr>
        <w:spacing w:after="40"/>
      </w:pPr>
      <w:r>
        <w:rPr>
          <w:i/>
          <w:iCs/>
          <w:color w:val="595959"/>
          <w:sz w:val="24"/>
          <w:szCs w:val="24"/>
        </w:rPr>
        <w:t xml:space="preserve">A greenfield engineering platform for internal applications on Microsoft Azure</w:t>
      </w:r>
    </w:p>
    <w:p>
      <w:pPr>
        <w:spacing w:after="0" w:before="600"/>
      </w:pPr>
      <w:r>
        <w:rPr>
          <w:color w:val="000000"/>
          <w:sz w:val="22"/>
          <w:szCs w:val="22"/>
        </w:rPr>
        <w:t xml:space="preserve">Covering traditional applications (REST APIs &amp; front ends) and AI workloads</w:t>
      </w:r>
    </w:p>
    <w:p>
      <w:pPr>
        <w:spacing w:after="0"/>
      </w:pPr>
      <w:r>
        <w:rPr>
          <w:color w:val="000000"/>
          <w:sz w:val="22"/>
          <w:szCs w:val="22"/>
        </w:rPr>
        <w:t xml:space="preserve">powered by Azure Machine Learning and Azure AI Foundry.</w:t>
      </w:r>
    </w:p>
    <w:p>
      <w:pPr>
        <w:spacing w:after="500"/>
      </w:pP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tblGrid>
      <w:tr>
        <w:tc>
          <w:tcPr>
            <w:tcW w:type="dxa" w:w="23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0"/>
              <w:jc w:val="left"/>
            </w:pPr>
            <w:r>
              <w:rPr>
                <w:b/>
                <w:bCs/>
                <w:color w:val="000000"/>
                <w:sz w:val="19"/>
                <w:szCs w:val="19"/>
              </w:rPr>
              <w:t xml:space="preserve">Prepared by</w:t>
            </w:r>
          </w:p>
        </w:tc>
        <w:tc>
          <w:tcPr>
            <w:tcW w:type="dxa" w:w="43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MLOps Lead (Platform &amp; Engineering Standards)</w:t>
            </w:r>
          </w:p>
        </w:tc>
      </w:tr>
      <w:tr>
        <w:tc>
          <w:tcPr>
            <w:tcW w:type="dxa" w:w="23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0"/>
              <w:jc w:val="left"/>
            </w:pPr>
            <w:r>
              <w:rPr>
                <w:b/>
                <w:bCs/>
                <w:color w:val="000000"/>
                <w:sz w:val="19"/>
                <w:szCs w:val="19"/>
              </w:rPr>
              <w:t xml:space="preserve">Audience</w:t>
            </w:r>
          </w:p>
        </w:tc>
        <w:tc>
          <w:tcPr>
            <w:tcW w:type="dxa" w:w="43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Engineering Management, Platform &amp; Application Teams</w:t>
            </w:r>
          </w:p>
        </w:tc>
      </w:tr>
      <w:tr>
        <w:tc>
          <w:tcPr>
            <w:tcW w:type="dxa" w:w="23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0"/>
              <w:jc w:val="left"/>
            </w:pPr>
            <w:r>
              <w:rPr>
                <w:b/>
                <w:bCs/>
                <w:color w:val="000000"/>
                <w:sz w:val="19"/>
                <w:szCs w:val="19"/>
              </w:rPr>
              <w:t xml:space="preserve">Document type</w:t>
            </w:r>
          </w:p>
        </w:tc>
        <w:tc>
          <w:tcPr>
            <w:tcW w:type="dxa" w:w="43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Engineering Standards &amp; Reference Blueprint</w:t>
            </w:r>
          </w:p>
        </w:tc>
      </w:tr>
      <w:tr>
        <w:tc>
          <w:tcPr>
            <w:tcW w:type="dxa" w:w="23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0"/>
              <w:jc w:val="left"/>
            </w:pPr>
            <w:r>
              <w:rPr>
                <w:b/>
                <w:bCs/>
                <w:color w:val="000000"/>
                <w:sz w:val="19"/>
                <w:szCs w:val="19"/>
              </w:rPr>
              <w:t xml:space="preserve">Version</w:t>
            </w:r>
          </w:p>
        </w:tc>
        <w:tc>
          <w:tcPr>
            <w:tcW w:type="dxa" w:w="43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1.0</w:t>
            </w:r>
          </w:p>
        </w:tc>
      </w:tr>
      <w:tr>
        <w:tc>
          <w:tcPr>
            <w:tcW w:type="dxa" w:w="23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0"/>
              <w:jc w:val="left"/>
            </w:pPr>
            <w:r>
              <w:rPr>
                <w:b/>
                <w:bCs/>
                <w:color w:val="000000"/>
                <w:sz w:val="19"/>
                <w:szCs w:val="19"/>
              </w:rPr>
              <w:t xml:space="preserve">Date</w:t>
            </w:r>
          </w:p>
        </w:tc>
        <w:tc>
          <w:tcPr>
            <w:tcW w:type="dxa" w:w="43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June 2026</w:t>
            </w:r>
          </w:p>
        </w:tc>
      </w:tr>
      <w:tr>
        <w:tc>
          <w:tcPr>
            <w:tcW w:type="dxa" w:w="23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0"/>
              <w:jc w:val="left"/>
            </w:pPr>
            <w:r>
              <w:rPr>
                <w:b/>
                <w:bCs/>
                <w:color w:val="000000"/>
                <w:sz w:val="19"/>
                <w:szCs w:val="19"/>
              </w:rPr>
              <w:t xml:space="preserve">Status</w:t>
            </w:r>
          </w:p>
        </w:tc>
        <w:tc>
          <w:tcPr>
            <w:tcW w:type="dxa" w:w="43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For management review and adoption</w:t>
            </w:r>
          </w:p>
        </w:tc>
      </w:tr>
    </w:tbl>
    <w:p>
      <w:pPr>
        <w:pageBreakBefore/>
        <w:spacing w:after="120"/>
      </w:pPr>
      <w:r>
        <w:rPr>
          <w:b/>
          <w:bCs/>
          <w:color w:val="1F3864"/>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Pr>
      <w:r>
        <w:t xml:space="preserve">1.  Executive Summary</w:t>
      </w:r>
    </w:p>
    <w:p>
      <w:pPr>
        <w:spacing w:after="140" w:line="276"/>
      </w:pPr>
      <w:r>
        <w:t xml:space="preserve">This document defines the standard methodologies, best practices, required configurations, prerequisites, and tooling for our new engineering platform. Because we are starting greenfield, we have an opportunity rare in established organisations: to set the right conventions once, encode them in templates and policy, and let every future team inherit a secure, repeatable, and observable delivery process by default.</w:t>
      </w:r>
    </w:p>
    <w:p>
      <w:pPr>
        <w:spacing w:after="140" w:line="276"/>
      </w:pPr>
      <w:r>
        <w:t xml:space="preserve">Our environment has three fixed anchors. First, the cloud platform is Microsoft Azure. Second, we already use Azure Repos for source control and Azure Pipelines for continuous integration. Third, the workloads divide into two families: traditional internal applications (REST APIs and front ends) and AI-enabled applications that consume models from Azure AI Foundry, alongside some custom machine-learning models. The strategy below builds a single shared delivery backbone that serves both families, and then adds the specialised practices that AI workloads require on top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0FB" w:sz="1"/>
              <w:left w:val="single" w:color="2E75B6" w:sz="18"/>
              <w:bottom w:val="single" w:color="EAF0FB" w:sz="1"/>
              <w:right w:val="single" w:color="EAF0FB" w:sz="1"/>
            </w:tcBorders>
            <w:shd w:fill="EAF0FB" w:val="clear"/>
            <w:tcMar>
              <w:top w:type="dxa" w:w="130"/>
              <w:left w:type="dxa" w:w="180"/>
              <w:bottom w:type="dxa" w:w="130"/>
              <w:right w:type="dxa" w:w="160"/>
            </w:tcMar>
          </w:tcPr>
          <w:p>
            <w:pPr>
              <w:spacing w:after="60"/>
            </w:pPr>
            <w:r>
              <w:rPr>
                <w:b/>
                <w:bCs/>
                <w:color w:val="1F3864"/>
                <w:sz w:val="20"/>
                <w:szCs w:val="20"/>
              </w:rPr>
              <w:t xml:space="preserve">The central recommendation in one sentence</w:t>
            </w:r>
          </w:p>
          <w:p>
            <w:pPr>
              <w:spacing w:after="0" w:line="268"/>
            </w:pPr>
            <w:r>
              <w:t xml:space="preserve">Standardise everything on </w:t>
            </w:r>
            <w:r>
              <w:rPr>
                <w:b/>
                <w:bCs/>
              </w:rPr>
              <w:t xml:space="preserve">YAML pipeline-as-code in Azure Pipelines</w:t>
            </w:r>
            <w:r>
              <w:t xml:space="preserve">, with infrastructure defined as code, secrets held in Key Vault, identity through Microsoft Entra workload identity federation, and a shared maturity model that lets traditional and AI workloads progress along the same track at their own pace.</w:t>
            </w:r>
          </w:p>
        </w:tc>
      </w:tr>
    </w:tbl>
    <w:p>
      <w:pPr>
        <w:spacing w:after="60" w:line="276"/>
      </w:pPr>
      <w:r>
        <w:t xml:space="preserve">Two distinctions run through the whole document and are worth stating up front. MLOps and GenAIOps are not the same discipline: MLOps centres on training, versioning, and retraining custom models as data drifts, whereas GenAIOps centres on selecting a foundation model, engineering prompts, grounding responses with our own data (RAG), and evaluating output quality. The platform must support both. The second distinction is between the platform team that owns the shared backbone and the application teams that consume it; the standards here are written so that the platform team provides paved roads and the application teams stay on them.</w:t>
      </w:r>
    </w:p>
    <w:p>
      <w:pPr>
        <w:pStyle w:val="Heading1"/>
      </w:pPr>
      <w:r>
        <w:t xml:space="preserve">2.  Scope, Context &amp; Assumptions</w:t>
      </w:r>
    </w:p>
    <w:p>
      <w:pPr>
        <w:pStyle w:val="Heading2"/>
      </w:pPr>
      <w:r>
        <w:t xml:space="preserve">2.1  In scope</w:t>
      </w:r>
    </w:p>
    <w:p>
      <w:pPr>
        <w:pStyle w:val="ListParagraph"/>
        <w:numPr>
          <w:ilvl w:val="0"/>
          <w:numId w:val="2"/>
        </w:numPr>
        <w:spacing w:after="80" w:line="268"/>
      </w:pPr>
      <w:r>
        <w:t xml:space="preserve">Source-control and branching standards on Azure Repos.</w:t>
      </w:r>
    </w:p>
    <w:p>
      <w:pPr>
        <w:pStyle w:val="ListParagraph"/>
        <w:numPr>
          <w:ilvl w:val="0"/>
          <w:numId w:val="2"/>
        </w:numPr>
        <w:spacing w:after="80" w:line="268"/>
      </w:pPr>
      <w:r>
        <w:t xml:space="preserve">CI/CD methodology and pipeline standards on Azure Pipelines.</w:t>
      </w:r>
    </w:p>
    <w:p>
      <w:pPr>
        <w:pStyle w:val="ListParagraph"/>
        <w:numPr>
          <w:ilvl w:val="0"/>
          <w:numId w:val="2"/>
        </w:numPr>
        <w:spacing w:after="80" w:line="268"/>
      </w:pPr>
      <w:r>
        <w:t xml:space="preserve">Environment topology, promotion flow, and release governance.</w:t>
      </w:r>
    </w:p>
    <w:p>
      <w:pPr>
        <w:pStyle w:val="ListParagraph"/>
        <w:numPr>
          <w:ilvl w:val="0"/>
          <w:numId w:val="2"/>
        </w:numPr>
        <w:spacing w:after="80" w:line="268"/>
      </w:pPr>
      <w:r>
        <w:t xml:space="preserve">Infrastructure as Code (IaC) standards and the Azure platform foundation (landing zone, identity, networking, governance).</w:t>
      </w:r>
    </w:p>
    <w:p>
      <w:pPr>
        <w:pStyle w:val="ListParagraph"/>
        <w:numPr>
          <w:ilvl w:val="0"/>
          <w:numId w:val="2"/>
        </w:numPr>
        <w:spacing w:after="80" w:line="268"/>
      </w:pPr>
      <w:r>
        <w:t xml:space="preserve">Delivery patterns for traditional applications: REST APIs and front ends.</w:t>
      </w:r>
    </w:p>
    <w:p>
      <w:pPr>
        <w:pStyle w:val="ListParagraph"/>
        <w:numPr>
          <w:ilvl w:val="0"/>
          <w:numId w:val="2"/>
        </w:numPr>
        <w:spacing w:after="80" w:line="268"/>
      </w:pPr>
      <w:r>
        <w:t xml:space="preserve">MLOps for custom machine-learning models on Azure Machine Learning.</w:t>
      </w:r>
    </w:p>
    <w:p>
      <w:pPr>
        <w:pStyle w:val="ListParagraph"/>
        <w:numPr>
          <w:ilvl w:val="0"/>
          <w:numId w:val="2"/>
        </w:numPr>
        <w:spacing w:after="80" w:line="268"/>
      </w:pPr>
      <w:r>
        <w:t xml:space="preserve">GenAIOps for applications consuming Azure AI Foundry models, including RAG and agent patterns.</w:t>
      </w:r>
    </w:p>
    <w:p>
      <w:pPr>
        <w:pStyle w:val="ListParagraph"/>
        <w:numPr>
          <w:ilvl w:val="0"/>
          <w:numId w:val="2"/>
        </w:numPr>
        <w:spacing w:after="80" w:line="268"/>
      </w:pPr>
      <w:r>
        <w:t xml:space="preserve">Security, secrets management, Responsible AI, observability, and the prerequisites and configurations each of these requires.</w:t>
      </w:r>
    </w:p>
    <w:p>
      <w:pPr>
        <w:pStyle w:val="Heading2"/>
      </w:pPr>
      <w:r>
        <w:t xml:space="preserve">2.2  Assumptions</w:t>
      </w:r>
    </w:p>
    <w:p>
      <w:pPr>
        <w:pStyle w:val="ListParagraph"/>
        <w:numPr>
          <w:ilvl w:val="0"/>
          <w:numId w:val="2"/>
        </w:numPr>
        <w:spacing w:after="80" w:line="268"/>
      </w:pPr>
      <w:r>
        <w:t xml:space="preserve">All workloads are internal-facing; public internet exposure is the exception, not the default, which lets us prefer private networking everywhere.</w:t>
      </w:r>
    </w:p>
    <w:p>
      <w:pPr>
        <w:pStyle w:val="ListParagraph"/>
        <w:numPr>
          <w:ilvl w:val="0"/>
          <w:numId w:val="2"/>
        </w:numPr>
        <w:spacing w:after="80" w:line="268"/>
      </w:pPr>
      <w:r>
        <w:t xml:space="preserve">We have, or can obtain, an Azure subscription structure suitable for separate non-production and production environments.</w:t>
      </w:r>
    </w:p>
    <w:p>
      <w:pPr>
        <w:pStyle w:val="ListParagraph"/>
        <w:numPr>
          <w:ilvl w:val="0"/>
          <w:numId w:val="2"/>
        </w:numPr>
        <w:spacing w:after="80" w:line="268"/>
      </w:pPr>
      <w:r>
        <w:t xml:space="preserve">Microsoft Entra ID is the identity provider for both human and workload identities.</w:t>
      </w:r>
    </w:p>
    <w:p>
      <w:pPr>
        <w:pStyle w:val="ListParagraph"/>
        <w:numPr>
          <w:ilvl w:val="0"/>
          <w:numId w:val="2"/>
        </w:numPr>
        <w:spacing w:after="80" w:line="268"/>
      </w:pPr>
      <w:r>
        <w:t xml:space="preserve">Engineering teams have entry-level DevOps familiarity (Git, CLIs, YAML) and a data-science capability for the ML workloads.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9E7" w:sz="1"/>
              <w:left w:val="single" w:color="D9601A" w:sz="18"/>
              <w:bottom w:val="single" w:color="FBE9E7" w:sz="1"/>
              <w:right w:val="single" w:color="FBE9E7" w:sz="1"/>
            </w:tcBorders>
            <w:shd w:fill="FBE9E7" w:val="clear"/>
            <w:tcMar>
              <w:top w:type="dxa" w:w="130"/>
              <w:left w:type="dxa" w:w="180"/>
              <w:bottom w:type="dxa" w:w="130"/>
              <w:right w:type="dxa" w:w="160"/>
            </w:tcMar>
          </w:tcPr>
          <w:p>
            <w:pPr>
              <w:spacing w:after="60"/>
            </w:pPr>
            <w:r>
              <w:rPr>
                <w:b/>
                <w:bCs/>
                <w:color w:val="1F3864"/>
                <w:sz w:val="20"/>
                <w:szCs w:val="20"/>
              </w:rPr>
              <w:t xml:space="preserve">A note on a recent Azure change you must plan around</w:t>
            </w:r>
          </w:p>
          <w:p>
            <w:pPr>
              <w:spacing w:after="0" w:line="268"/>
            </w:pPr>
            <w:r>
              <w:rPr>
                <w:b/>
                <w:bCs/>
              </w:rPr>
              <w:t xml:space="preserve">Prompt flow</w:t>
            </w:r>
            <w:r>
              <w:t xml:space="preserve"> — historically the orchestration tool for LLM apps in Azure Machine Learning — stopped active development on 20 April 2026 and is scheduled for full retirement on 20 April 2027, after which it becomes read-only. Microsoft's recommended path is to build new orchestration on the </w:t>
            </w:r>
            <w:r>
              <w:rPr>
                <w:b/>
                <w:bCs/>
              </w:rPr>
              <w:t xml:space="preserve">Microsoft Agent Framework</w:t>
            </w:r>
            <w:r>
              <w:t xml:space="preserve">. New GenAI work in this platform should target the Agent Framework and Azure AI Foundry directly rather than starting on prompt flow. This is reflected throughout Section 11.</w:t>
            </w:r>
          </w:p>
        </w:tc>
      </w:tr>
    </w:tbl>
    <w:p>
      <w:pPr>
        <w:pStyle w:val="Heading1"/>
      </w:pPr>
      <w:r>
        <w:t xml:space="preserve">3.  Guiding Principles</w:t>
      </w:r>
    </w:p>
    <w:p>
      <w:pPr>
        <w:spacing w:after="140" w:line="276"/>
      </w:pPr>
      <w:r>
        <w:t xml:space="preserve">Every specific standard later in the document traces back to one of these principles. When a future decision is ambiguous, resolve it in favour of the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Principle</w:t>
            </w:r>
          </w:p>
        </w:tc>
        <w:tc>
          <w:tcPr>
            <w:tcW w:type="dxa" w:w="67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What it means in practice</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Everything as code</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Pipelines, infrastructure, environments, and ML training are all defined in version-controlled files reviewed through pull requests — never configured by hand in a portal.</w:t>
            </w:r>
          </w:p>
        </w:tc>
      </w:tr>
      <w:tr>
        <w:tc>
          <w:tcPr>
            <w:tcW w:type="dxa" w:w="26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Paved roads over freedom</w:t>
            </w:r>
          </w:p>
        </w:tc>
        <w:tc>
          <w:tcPr>
            <w:tcW w:type="dxa" w:w="67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The platform team publishes reusable templates; application teams consume them. The easy path is the compliant path.</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Shift left on quality and security</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Linting, tests, secret scanning, dependency scanning, and IaC scanning run on every pull request, before merge.</w:t>
            </w:r>
          </w:p>
        </w:tc>
      </w:tr>
      <w:tr>
        <w:tc>
          <w:tcPr>
            <w:tcW w:type="dxa" w:w="26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Least privilege by default</w:t>
            </w:r>
          </w:p>
        </w:tc>
        <w:tc>
          <w:tcPr>
            <w:tcW w:type="dxa" w:w="67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Workloads authenticate with managed identities and federated credentials, not stored secrets. Human access is just-in-time and role-scoped.</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Private by default</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Internal workloads use private endpoints and private DNS. Public network access is explicitly justified, not assumed.</w:t>
            </w:r>
          </w:p>
        </w:tc>
      </w:tr>
      <w:tr>
        <w:tc>
          <w:tcPr>
            <w:tcW w:type="dxa" w:w="26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Reproducibility &amp; lineage</w:t>
            </w:r>
          </w:p>
        </w:tc>
        <w:tc>
          <w:tcPr>
            <w:tcW w:type="dxa" w:w="67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Any build, model, or deployment can be traced to a commit, a dataset version, and an environment definition.</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Progress through a maturity model</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Teams are not forced to be world-class on day one; they advance along a defined ladder (Section 16) at a sustainable pace.</w:t>
            </w:r>
          </w:p>
        </w:tc>
      </w:tr>
      <w:tr>
        <w:tc>
          <w:tcPr>
            <w:tcW w:type="dxa" w:w="26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Observability is not optional</w:t>
            </w:r>
          </w:p>
        </w:tc>
        <w:tc>
          <w:tcPr>
            <w:tcW w:type="dxa" w:w="67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Every workload emits logs, metrics, and traces to a central workspace from its first deployment.</w:t>
            </w:r>
          </w:p>
        </w:tc>
      </w:tr>
    </w:tbl>
    <w:p>
      <w:pPr>
        <w:pStyle w:val="Heading1"/>
      </w:pPr>
      <w:r>
        <w:t xml:space="preserve">4.  Reference Architecture Overview</w:t>
      </w:r>
    </w:p>
    <w:p>
      <w:pPr>
        <w:spacing w:after="140" w:line="276"/>
      </w:pPr>
      <w:r>
        <w:t xml:space="preserve">The platform is best understood as one shared delivery backbone feeding two specialised delivery tracks. The backbone is identical for both; the tracks differ in what they build and how they validate it.</w:t>
      </w:r>
    </w:p>
    <w:p>
      <w:pPr>
        <w:pStyle w:val="Heading2"/>
      </w:pPr>
      <w:r>
        <w:t xml:space="preserve">4.1  The shared backbone</w:t>
      </w:r>
    </w:p>
    <w:p>
      <w:pPr>
        <w:spacing w:after="140" w:line="276"/>
      </w:pPr>
      <w:r>
        <w:t xml:space="preserve">Azure Repos holds all code. A pull request triggers Azure Pipelines, which runs quality gates, produces a versioned artifact (a container image, a deployable package, or a registered model), and promotes that single artifact through non-production and production environments with approvals at each boundary. Infrastructure is provisioned by IaC pipelines from the same repositories. Microsoft Entra provides identity; Azure Key Vault holds secrets; Azure Monitor and Application Insights collect telemetry. Nothing in this paragraph is specific to AI — it is the foundation every workload sits on.</w:t>
      </w:r>
    </w:p>
    <w:p>
      <w:pPr>
        <w:pStyle w:val="Heading2"/>
      </w:pPr>
      <w:r>
        <w:t xml:space="preserve">4.2  Track A — traditional applications</w:t>
      </w:r>
    </w:p>
    <w:p>
      <w:pPr>
        <w:spacing w:after="140" w:line="276"/>
      </w:pPr>
      <w:r>
        <w:t xml:space="preserve">REST APIs and front ends are containerised, scanned, tested, and deployed to a managed Azure compute service (Azure Container Apps as the default; Azure App Service or AKS where justified). Validation is conventional: unit tests, integration tests, contract tests, and security scans.</w:t>
      </w:r>
    </w:p>
    <w:p>
      <w:pPr>
        <w:pStyle w:val="Heading2"/>
      </w:pPr>
      <w:r>
        <w:t xml:space="preserve">4.3  Track B — AI applications</w:t>
      </w:r>
    </w:p>
    <w:p>
      <w:pPr>
        <w:spacing w:after="140" w:line="276"/>
      </w:pPr>
      <w:r>
        <w:t xml:space="preserve">AI workloads add stages that traditional pipelines do not have. Custom models are trained and registered through Azure Machine Learning (MLOps). Applications that consume Azure AI Foundry models add prompt and orchestration versioning, automated quality evaluation, content-safety checks, and post-deployment drift and quality monitoring (GenAIOps). The crucial design choice is that these AI-specific stages are added to the same backbone — the same repos, the same pipelines engine, the same promotion model — rather than living in a parallel universe.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0FB" w:sz="1"/>
              <w:left w:val="single" w:color="2E75B6" w:sz="18"/>
              <w:bottom w:val="single" w:color="EAF0FB" w:sz="1"/>
              <w:right w:val="single" w:color="EAF0FB" w:sz="1"/>
            </w:tcBorders>
            <w:shd w:fill="EAF0FB" w:val="clear"/>
            <w:tcMar>
              <w:top w:type="dxa" w:w="130"/>
              <w:left w:type="dxa" w:w="180"/>
              <w:bottom w:type="dxa" w:w="130"/>
              <w:right w:type="dxa" w:w="160"/>
            </w:tcMar>
          </w:tcPr>
          <w:p>
            <w:pPr>
              <w:spacing w:after="60"/>
            </w:pPr>
            <w:r>
              <w:rPr>
                <w:b/>
                <w:bCs/>
                <w:color w:val="1F3864"/>
                <w:sz w:val="20"/>
                <w:szCs w:val="20"/>
              </w:rPr>
              <w:t xml:space="preserve">Why a single backbone matters</w:t>
            </w:r>
          </w:p>
          <w:p>
            <w:pPr>
              <w:spacing w:after="0" w:line="268"/>
            </w:pPr>
            <w:r>
              <w:rPr>
                <w:sz w:val="19"/>
                <w:szCs w:val="19"/>
              </w:rPr>
              <w:t xml:space="preserve">Many organisations end up with a polished software-delivery process and a completely separate, ad-hoc way of shipping models. That split is where reproducibility, security, and auditability break down. By treating a registered model or an evaluated prompt as just another versioned artifact promoted through the same gates, AI workloads inherit the platform's governance for free.</w:t>
            </w:r>
          </w:p>
        </w:tc>
      </w:tr>
    </w:tbl>
    <w:p>
      <w:pPr>
        <w:pStyle w:val="Heading1"/>
      </w:pPr>
      <w:r>
        <w:t xml:space="preserve">5.  Platform Foundation</w:t>
      </w:r>
    </w:p>
    <w:p>
      <w:pPr>
        <w:spacing w:after="140" w:line="276"/>
      </w:pPr>
      <w:r>
        <w:t xml:space="preserve">Before the first pipeline runs, the underlying Azure platform must be laid out correctly. Microsoft's prescriptive guidance here is the Cloud Adoption Framework (CAF) and the Azure landing zone accelerators, which deploy a management-group hierarchy, platform subscriptions, networking, policy, and logging as code.</w:t>
      </w:r>
    </w:p>
    <w:p>
      <w:pPr>
        <w:pStyle w:val="Heading2"/>
      </w:pPr>
      <w:r>
        <w:t xml:space="preserve">5.1  Landing zones</w:t>
      </w:r>
    </w:p>
    <w:p>
      <w:pPr>
        <w:spacing w:after="140" w:line="276"/>
      </w:pPr>
      <w:r>
        <w:t xml:space="preserve">Adopt the CAF enterprise-scale landing zone. The accelerator deploys roughly the bulk of an enterprise foundation — management-group hierarchy, platform subscriptions (management, identity, connectivity), hub networking, Azure Policy guardrails, centralised logging, and Microsoft Defender for Cloud — leaving the remainder as customisation for our specific compliance and connectivity needs. Per current Microsoft guidance, do not build a separate “AI landing zone” as a distinct branch of the hierarchy: AI is treated as just another workload that lands in an application landing zone, with the networking and identity wired correctly around it.</w:t>
      </w:r>
    </w:p>
    <w:p>
      <w:pPr>
        <w:pStyle w:val="Heading2"/>
      </w:pPr>
      <w:r>
        <w:t xml:space="preserve">5.2  Identity &amp; access (Microsoft Entra)</w:t>
      </w:r>
    </w:p>
    <w:p>
      <w:pPr>
        <w:pStyle w:val="ListParagraph"/>
        <w:numPr>
          <w:ilvl w:val="0"/>
          <w:numId w:val="2"/>
        </w:numPr>
        <w:spacing w:after="80" w:line="268"/>
      </w:pPr>
      <w:r>
        <w:t xml:space="preserve">Use managed identities for every workload that calls an Azure service; do not store service-principal secrets in application config.</w:t>
      </w:r>
    </w:p>
    <w:p>
      <w:pPr>
        <w:pStyle w:val="ListParagraph"/>
        <w:numPr>
          <w:ilvl w:val="0"/>
          <w:numId w:val="2"/>
        </w:numPr>
        <w:spacing w:after="80" w:line="268"/>
      </w:pPr>
      <w:r>
        <w:t xml:space="preserve">Use workload identity federation for pipeline service connections, so Azure Pipelines authenticates to Azure with short-lived federated tokens rather than long-lived secrets.</w:t>
      </w:r>
    </w:p>
    <w:p>
      <w:pPr>
        <w:pStyle w:val="ListParagraph"/>
        <w:numPr>
          <w:ilvl w:val="0"/>
          <w:numId w:val="2"/>
        </w:numPr>
        <w:spacing w:after="80" w:line="268"/>
      </w:pPr>
      <w:r>
        <w:t xml:space="preserve">Apply role-based access control (RBAC) scoped to the narrowest resource group or resource that works; prefer built-in roles, and grant human access just-in-time through Privileged Identity Management.</w:t>
      </w:r>
    </w:p>
    <w:p>
      <w:pPr>
        <w:pStyle w:val="Heading2"/>
      </w:pPr>
      <w:r>
        <w:t xml:space="preserve">5.3  Networking</w:t>
      </w:r>
    </w:p>
    <w:p>
      <w:pPr>
        <w:spacing w:after="60" w:line="276"/>
      </w:pPr>
      <w:r>
        <w:t xml:space="preserve">Because workloads are internal, default to a hub-and-spoke topology with private endpoints for PaaS services and private DNS zones for name resolution. AI workloads add a specific, easily-missed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5" w:sz="1"/>
              <w:left w:val="single" w:color="D9A400" w:sz="18"/>
              <w:bottom w:val="single" w:color="FFF6E5" w:sz="1"/>
              <w:right w:val="single" w:color="FFF6E5" w:sz="1"/>
            </w:tcBorders>
            <w:shd w:fill="FFF6E5" w:val="clear"/>
            <w:tcMar>
              <w:top w:type="dxa" w:w="130"/>
              <w:left w:type="dxa" w:w="180"/>
              <w:bottom w:type="dxa" w:w="130"/>
              <w:right w:type="dxa" w:w="160"/>
            </w:tcMar>
          </w:tcPr>
          <w:p>
            <w:pPr>
              <w:spacing w:after="60"/>
            </w:pPr>
            <w:r>
              <w:rPr>
                <w:b/>
                <w:bCs/>
                <w:color w:val="1F3864"/>
                <w:sz w:val="20"/>
                <w:szCs w:val="20"/>
              </w:rPr>
              <w:t xml:space="preserve">The Azure AI Foundry networking gotcha</w:t>
            </w:r>
          </w:p>
          <w:p>
            <w:pPr>
              <w:spacing w:after="0" w:line="268"/>
            </w:pPr>
            <w:r>
              <w:t xml:space="preserve">Azure AI Foundry's managed components have hard DNS requirements. The Foundry baseline architecture expects several private DNS zones to be wired before any Foundry agent or private endpoint will deploy — including the zone for </w:t>
            </w:r>
            <w:r>
              <w:rPr>
                <w:rFonts w:ascii="Consolas" w:cs="Consolas" w:eastAsia="Consolas" w:hAnsi="Consolas"/>
                <w:sz w:val="18"/>
                <w:szCs w:val="18"/>
              </w:rPr>
              <w:t xml:space="preserve">privatelink.services.ai.azure.com</w:t>
            </w:r>
            <w:r>
              <w:t xml:space="preserve">. The most common deployment failures are missing private DNS zones, public network access left enabled by default, and Azure Policy assignments that block a preview model dependency. Provision these zones in the landing zone IaC up front.</w:t>
            </w:r>
          </w:p>
        </w:tc>
      </w:tr>
    </w:tbl>
    <w:p>
      <w:pPr>
        <w:pStyle w:val="Heading2"/>
      </w:pPr>
      <w:r>
        <w:t xml:space="preserve">5.4  Governance</w:t>
      </w:r>
    </w:p>
    <w:p>
      <w:pPr>
        <w:pStyle w:val="ListParagraph"/>
        <w:numPr>
          <w:ilvl w:val="0"/>
          <w:numId w:val="2"/>
        </w:numPr>
        <w:spacing w:after="80" w:line="268"/>
      </w:pPr>
      <w:r>
        <w:t xml:space="preserve">Enforce guardrails with Azure Policy: required tags, allowed regions, deny public IPs on internal workloads, require encryption, and require diagnostic settings to the central Log Analytics workspace.</w:t>
      </w:r>
    </w:p>
    <w:p>
      <w:pPr>
        <w:pStyle w:val="ListParagraph"/>
        <w:numPr>
          <w:ilvl w:val="0"/>
          <w:numId w:val="2"/>
        </w:numPr>
        <w:spacing w:after="80" w:line="268"/>
      </w:pPr>
      <w:r>
        <w:t xml:space="preserve">Use resource tagging for cost allocation per team and per workload from day one — retrofitting tags later is painful.</w:t>
      </w:r>
    </w:p>
    <w:p>
      <w:pPr>
        <w:pStyle w:val="ListParagraph"/>
        <w:numPr>
          <w:ilvl w:val="0"/>
          <w:numId w:val="2"/>
        </w:numPr>
        <w:spacing w:after="80" w:line="268"/>
      </w:pPr>
      <w:r>
        <w:t xml:space="preserve">Centralise cost visibility with Microsoft Cost Management; AI workloads in particular need token-level cost attribution (Section 11).</w:t>
      </w:r>
    </w:p>
    <w:p>
      <w:pPr>
        <w:pStyle w:val="Heading1"/>
      </w:pPr>
      <w:r>
        <w:t xml:space="preserve">6.  Source Control Standards (Azure Repos)</w:t>
      </w:r>
    </w:p>
    <w:p>
      <w:pPr>
        <w:pStyle w:val="Heading2"/>
      </w:pPr>
      <w:r>
        <w:t xml:space="preserve">6.1  Branching strategy</w:t>
      </w:r>
    </w:p>
    <w:p>
      <w:pPr>
        <w:spacing w:after="140" w:line="276"/>
      </w:pPr>
      <w:r>
        <w:t xml:space="preserve">Adopt trunk-based development with short-lived feature branches. A long-lived main branch is always releasable; work happens on branches that live hours-to-days and merge back through pull requests. This suits CI/CD far better than long-lived release branches, which accumulate merge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Branch</w:t>
            </w:r>
          </w:p>
        </w:tc>
        <w:tc>
          <w:tcPr>
            <w:tcW w:type="dxa" w:w="37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Purpose</w:t>
            </w:r>
          </w:p>
        </w:tc>
        <w:tc>
          <w:tcPr>
            <w:tcW w:type="dxa" w:w="3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Rules</w:t>
            </w:r>
          </w:p>
        </w:tc>
      </w:tr>
      <w:tr>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main</w:t>
            </w:r>
          </w:p>
        </w:tc>
        <w:tc>
          <w:tcPr>
            <w:tcW w:type="dxa" w:w="37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Single source of truth; always deployable</w:t>
            </w:r>
          </w:p>
        </w:tc>
        <w:tc>
          <w:tcPr>
            <w:tcW w:type="dxa" w:w="37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Protected. No direct pushes. Merges only via approved PR.</w:t>
            </w:r>
          </w:p>
        </w:tc>
      </w:tr>
      <w:tr>
        <w:tc>
          <w:tcPr>
            <w:tcW w:type="dxa" w:w="19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feature/*</w:t>
            </w:r>
          </w:p>
        </w:tc>
        <w:tc>
          <w:tcPr>
            <w:tcW w:type="dxa" w:w="37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 single unit of work</w:t>
            </w:r>
          </w:p>
        </w:tc>
        <w:tc>
          <w:tcPr>
            <w:tcW w:type="dxa" w:w="37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Branch from main, short-lived, rebased/merged frequently.</w:t>
            </w:r>
          </w:p>
        </w:tc>
      </w:tr>
      <w:tr>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hotfix/*</w:t>
            </w:r>
          </w:p>
        </w:tc>
        <w:tc>
          <w:tcPr>
            <w:tcW w:type="dxa" w:w="37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Urgent production fix</w:t>
            </w:r>
          </w:p>
        </w:tc>
        <w:tc>
          <w:tcPr>
            <w:tcW w:type="dxa" w:w="37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Branch from main, fast-tracked PR, back-merged immediately.</w:t>
            </w:r>
          </w:p>
        </w:tc>
      </w:tr>
    </w:tbl>
    <w:p>
      <w:pPr>
        <w:pStyle w:val="Heading2"/>
      </w:pPr>
      <w:r>
        <w:t xml:space="preserve">6.2  Branch policies (configure on main)</w:t>
      </w:r>
    </w:p>
    <w:p>
      <w:pPr>
        <w:pStyle w:val="ListParagraph"/>
        <w:numPr>
          <w:ilvl w:val="0"/>
          <w:numId w:val="2"/>
        </w:numPr>
        <w:spacing w:after="80" w:line="268"/>
      </w:pPr>
      <w:r>
        <w:t xml:space="preserve">Require a minimum number of reviewer approvals (start at one; two for sensitive repos).</w:t>
      </w:r>
    </w:p>
    <w:p>
      <w:pPr>
        <w:pStyle w:val="ListParagraph"/>
        <w:numPr>
          <w:ilvl w:val="0"/>
          <w:numId w:val="2"/>
        </w:numPr>
        <w:spacing w:after="80" w:line="268"/>
      </w:pPr>
      <w:r>
        <w:t xml:space="preserve">Require linked work items so every change is traceable to a Boards item.</w:t>
      </w:r>
    </w:p>
    <w:p>
      <w:pPr>
        <w:pStyle w:val="ListParagraph"/>
        <w:numPr>
          <w:ilvl w:val="0"/>
          <w:numId w:val="2"/>
        </w:numPr>
        <w:spacing w:after="80" w:line="268"/>
      </w:pPr>
      <w:r>
        <w:t xml:space="preserve">Require all PR-triggered build validations to pass before merge.</w:t>
      </w:r>
    </w:p>
    <w:p>
      <w:pPr>
        <w:pStyle w:val="ListParagraph"/>
        <w:numPr>
          <w:ilvl w:val="0"/>
          <w:numId w:val="2"/>
        </w:numPr>
        <w:spacing w:after="80" w:line="268"/>
      </w:pPr>
      <w:r>
        <w:t xml:space="preserve">Reset approvals when new commits are pushed; require resolution of all comments.</w:t>
      </w:r>
    </w:p>
    <w:p>
      <w:pPr>
        <w:pStyle w:val="ListParagraph"/>
        <w:numPr>
          <w:ilvl w:val="0"/>
          <w:numId w:val="2"/>
        </w:numPr>
        <w:spacing w:after="80" w:line="268"/>
      </w:pPr>
      <w:r>
        <w:t xml:space="preserve">Enforce a linear history with squash or rebase merges to keep main readable.</w:t>
      </w:r>
    </w:p>
    <w:p>
      <w:pPr>
        <w:pStyle w:val="Heading2"/>
      </w:pPr>
      <w:r>
        <w:t xml:space="preserve">6.3  Repository structure</w:t>
      </w:r>
    </w:p>
    <w:p>
      <w:pPr>
        <w:spacing w:after="140" w:line="276"/>
      </w:pPr>
      <w:r>
        <w:t xml:space="preserve">Standardise the layout so any engineer can navigate any repo. A typical application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2E75B6" w:sz="6"/>
              <w:bottom w:val="single" w:color="D0D0D0" w:sz="1"/>
              <w:right w:val="single" w:color="D0D0D0" w:sz="1"/>
            </w:tcBorders>
            <w:shd w:fill="F4F4F4" w:val="clear"/>
            <w:tcMar>
              <w:top w:type="dxa" w:w="100"/>
              <w:left w:type="dxa" w:w="160"/>
              <w:bottom w:type="dxa" w:w="100"/>
              <w:right w:type="dxa" w:w="120"/>
            </w:tcMar>
          </w:tcPr>
          <w:p>
            <w:pPr>
              <w:spacing w:after="20" w:line="240"/>
            </w:pPr>
            <w:r>
              <w:rPr>
                <w:rFonts w:ascii="Consolas" w:cs="Consolas" w:eastAsia="Consolas" w:hAnsi="Consolas"/>
                <w:color w:val="1A1A1A"/>
                <w:sz w:val="18"/>
                <w:szCs w:val="18"/>
              </w:rPr>
              <w:t xml:space="preserve">repo-root/</w:t>
            </w:r>
          </w:p>
          <w:p>
            <w:pPr>
              <w:spacing w:after="20" w:line="240"/>
            </w:pPr>
            <w:r>
              <w:rPr>
                <w:rFonts w:ascii="Consolas" w:cs="Consolas" w:eastAsia="Consolas" w:hAnsi="Consolas"/>
                <w:color w:val="1A1A1A"/>
                <w:sz w:val="18"/>
                <w:szCs w:val="18"/>
              </w:rPr>
              <w:t xml:space="preserve">  src/                  # application or model source</w:t>
            </w:r>
          </w:p>
          <w:p>
            <w:pPr>
              <w:spacing w:after="20" w:line="240"/>
            </w:pPr>
            <w:r>
              <w:rPr>
                <w:rFonts w:ascii="Consolas" w:cs="Consolas" w:eastAsia="Consolas" w:hAnsi="Consolas"/>
                <w:color w:val="1A1A1A"/>
                <w:sz w:val="18"/>
                <w:szCs w:val="18"/>
              </w:rPr>
              <w:t xml:space="preserve">  tests/                # unit / integration / evaluation tests</w:t>
            </w:r>
          </w:p>
          <w:p>
            <w:pPr>
              <w:spacing w:after="20" w:line="240"/>
            </w:pPr>
            <w:r>
              <w:rPr>
                <w:rFonts w:ascii="Consolas" w:cs="Consolas" w:eastAsia="Consolas" w:hAnsi="Consolas"/>
                <w:color w:val="1A1A1A"/>
                <w:sz w:val="18"/>
                <w:szCs w:val="18"/>
              </w:rPr>
              <w:t xml:space="preserve">  infra/                # Bicep or Terraform IaC</w:t>
            </w:r>
          </w:p>
          <w:p>
            <w:pPr>
              <w:spacing w:after="20" w:line="240"/>
            </w:pPr>
            <w:r>
              <w:rPr>
                <w:rFonts w:ascii="Consolas" w:cs="Consolas" w:eastAsia="Consolas" w:hAnsi="Consolas"/>
                <w:color w:val="1A1A1A"/>
                <w:sz w:val="18"/>
                <w:szCs w:val="18"/>
              </w:rPr>
              <w:t xml:space="preserve">  pipelines/            # azure-pipelines.yml + templates</w:t>
            </w:r>
          </w:p>
          <w:p>
            <w:pPr>
              <w:spacing w:after="20" w:line="240"/>
            </w:pPr>
            <w:r>
              <w:rPr>
                <w:rFonts w:ascii="Consolas" w:cs="Consolas" w:eastAsia="Consolas" w:hAnsi="Consolas"/>
                <w:color w:val="1A1A1A"/>
                <w:sz w:val="18"/>
                <w:szCs w:val="18"/>
              </w:rPr>
              <w:t xml:space="preserve">  .azuredevops/         # PR templates, policies-as-docs</w:t>
            </w:r>
          </w:p>
          <w:p>
            <w:pPr>
              <w:spacing w:after="20" w:line="240"/>
            </w:pPr>
            <w:r>
              <w:rPr>
                <w:rFonts w:ascii="Consolas" w:cs="Consolas" w:eastAsia="Consolas" w:hAnsi="Consolas"/>
                <w:color w:val="1A1A1A"/>
                <w:sz w:val="18"/>
                <w:szCs w:val="18"/>
              </w:rPr>
              <w:t xml:space="preserve">  environments/         # per-env config (non-prod, prod)</w:t>
            </w:r>
          </w:p>
          <w:p>
            <w:pPr>
              <w:spacing w:after="0" w:line="240"/>
            </w:pPr>
            <w:r>
              <w:rPr>
                <w:rFonts w:ascii="Consolas" w:cs="Consolas" w:eastAsia="Consolas" w:hAnsi="Consolas"/>
                <w:color w:val="1A1A1A"/>
                <w:sz w:val="18"/>
                <w:szCs w:val="18"/>
              </w:rPr>
              <w:t xml:space="preserve">  README.md  CODEOWNERS  .gitignore</w:t>
            </w:r>
          </w:p>
        </w:tc>
      </w:tr>
    </w:tbl>
    <w:p>
      <w:pPr>
        <w:pStyle w:val="ListParagraph"/>
        <w:numPr>
          <w:ilvl w:val="0"/>
          <w:numId w:val="2"/>
        </w:numPr>
        <w:spacing w:after="80" w:line="268"/>
      </w:pPr>
      <w:r>
        <w:t xml:space="preserve">Keep IaC in the same repo as the code it provisions where practical, so infrastructure and application versions move together.</w:t>
      </w:r>
    </w:p>
    <w:p>
      <w:pPr>
        <w:pStyle w:val="ListParagraph"/>
        <w:numPr>
          <w:ilvl w:val="0"/>
          <w:numId w:val="2"/>
        </w:numPr>
        <w:spacing w:after="80" w:line="268"/>
      </w:pPr>
      <w:r>
        <w:t xml:space="preserve">Use a CODEOWNERS file to route reviews automatically; never commit secrets — enforce with pre-commit hooks and pipeline secret scanning.</w:t>
      </w:r>
    </w:p>
    <w:p>
      <w:pPr>
        <w:pStyle w:val="Heading1"/>
      </w:pPr>
      <w:r>
        <w:t xml:space="preserve">7.  CI/CD Standards (Azure Pipelines)</w:t>
      </w:r>
    </w:p>
    <w:p>
      <w:pPr>
        <w:pStyle w:val="Heading2"/>
      </w:pPr>
      <w:r>
        <w:t xml:space="preserve">7.1  Pipeline-as-code, always YAML</w:t>
      </w:r>
    </w:p>
    <w:p>
      <w:pPr>
        <w:spacing w:after="140" w:line="276"/>
      </w:pPr>
      <w:r>
        <w:t xml:space="preserve">All pipelines are YAML, version-controlled beside the code. The classic visual-editor/release pipelines are not used for new work — they are not reviewable in a PR and drift from the codebase. Common logic (build, scan, deploy steps) lives in reusable template files that the platform team owns and application pipelines reference.</w:t>
      </w:r>
    </w:p>
    <w:p>
      <w:pPr>
        <w:pStyle w:val="Heading2"/>
      </w:pPr>
      <w:r>
        <w:t xml:space="preserve">7.2  The standard multi-stage shape</w:t>
      </w:r>
    </w:p>
    <w:p>
      <w:pPr>
        <w:spacing w:after="140" w:line="276"/>
      </w:pPr>
      <w:r>
        <w:t xml:space="preserve">Every pipeline follows the same stage skeleton, so behaviour is predictable across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2E75B6" w:sz="6"/>
              <w:bottom w:val="single" w:color="D0D0D0" w:sz="1"/>
              <w:right w:val="single" w:color="D0D0D0" w:sz="1"/>
            </w:tcBorders>
            <w:shd w:fill="F4F4F4" w:val="clear"/>
            <w:tcMar>
              <w:top w:type="dxa" w:w="100"/>
              <w:left w:type="dxa" w:w="160"/>
              <w:bottom w:type="dxa" w:w="100"/>
              <w:right w:type="dxa" w:w="120"/>
            </w:tcMar>
          </w:tcPr>
          <w:p>
            <w:pPr>
              <w:spacing w:after="20" w:line="240"/>
            </w:pPr>
            <w:r>
              <w:rPr>
                <w:rFonts w:ascii="Consolas" w:cs="Consolas" w:eastAsia="Consolas" w:hAnsi="Consolas"/>
                <w:color w:val="1A1A1A"/>
                <w:sz w:val="18"/>
                <w:szCs w:val="18"/>
              </w:rPr>
              <w:t xml:space="preserve">trigger: [ main ]</w:t>
            </w:r>
          </w:p>
          <w:p>
            <w:pPr>
              <w:spacing w:after="20" w:line="240"/>
            </w:pPr>
            <w:r>
              <w:rPr>
                <w:rFonts w:ascii="Consolas" w:cs="Consolas" w:eastAsia="Consolas" w:hAnsi="Consolas"/>
                <w:color w:val="1A1A1A"/>
                <w:sz w:val="18"/>
                <w:szCs w:val="18"/>
              </w:rPr>
              <w:t xml:space="preserve">stages:</w:t>
            </w:r>
          </w:p>
          <w:p>
            <w:pPr>
              <w:spacing w:after="20" w:line="240"/>
            </w:pPr>
            <w:r>
              <w:rPr>
                <w:rFonts w:ascii="Consolas" w:cs="Consolas" w:eastAsia="Consolas" w:hAnsi="Consolas"/>
                <w:color w:val="1A1A1A"/>
                <w:sz w:val="18"/>
                <w:szCs w:val="18"/>
              </w:rPr>
              <w:t xml:space="preserve">  - stage: Validate     # lint, unit tests, secret + dependency + IaC scan</w:t>
            </w:r>
          </w:p>
          <w:p>
            <w:pPr>
              <w:spacing w:after="20" w:line="240"/>
            </w:pPr>
            <w:r>
              <w:rPr>
                <w:rFonts w:ascii="Consolas" w:cs="Consolas" w:eastAsia="Consolas" w:hAnsi="Consolas"/>
                <w:color w:val="1A1A1A"/>
                <w:sz w:val="18"/>
                <w:szCs w:val="18"/>
              </w:rPr>
              <w:t xml:space="preserve">  - stage: Build        # produce ONE immutable artifact (image / package / model)</w:t>
            </w:r>
          </w:p>
          <w:p>
            <w:pPr>
              <w:spacing w:after="20" w:line="240"/>
            </w:pPr>
            <w:r>
              <w:rPr>
                <w:rFonts w:ascii="Consolas" w:cs="Consolas" w:eastAsia="Consolas" w:hAnsi="Consolas"/>
                <w:color w:val="1A1A1A"/>
                <w:sz w:val="18"/>
                <w:szCs w:val="18"/>
              </w:rPr>
              <w:t xml:space="preserve">  - stage: Deploy_NonProd</w:t>
            </w:r>
          </w:p>
          <w:p>
            <w:pPr>
              <w:spacing w:after="20" w:line="240"/>
            </w:pPr>
            <w:r>
              <w:rPr>
                <w:rFonts w:ascii="Consolas" w:cs="Consolas" w:eastAsia="Consolas" w:hAnsi="Consolas"/>
                <w:color w:val="1A1A1A"/>
                <w:sz w:val="18"/>
                <w:szCs w:val="18"/>
              </w:rPr>
              <w:t xml:space="preserve">      environment: nonprod      # gates + checks attach here</w:t>
            </w:r>
          </w:p>
          <w:p>
            <w:pPr>
              <w:spacing w:after="20" w:line="240"/>
            </w:pPr>
            <w:r>
              <w:rPr>
                <w:rFonts w:ascii="Consolas" w:cs="Consolas" w:eastAsia="Consolas" w:hAnsi="Consolas"/>
                <w:color w:val="1A1A1A"/>
                <w:sz w:val="18"/>
                <w:szCs w:val="18"/>
              </w:rPr>
              <w:t xml:space="preserve">  - stage: Test_NonProd # integration / smoke / (for AI) evaluation gates</w:t>
            </w:r>
          </w:p>
          <w:p>
            <w:pPr>
              <w:spacing w:after="20" w:line="240"/>
            </w:pPr>
            <w:r>
              <w:rPr>
                <w:rFonts w:ascii="Consolas" w:cs="Consolas" w:eastAsia="Consolas" w:hAnsi="Consolas"/>
                <w:color w:val="1A1A1A"/>
                <w:sz w:val="18"/>
                <w:szCs w:val="18"/>
              </w:rPr>
              <w:t xml:space="preserve">  - stage: Deploy_Prod</w:t>
            </w:r>
          </w:p>
          <w:p>
            <w:pPr>
              <w:spacing w:after="0" w:line="240"/>
            </w:pPr>
            <w:r>
              <w:rPr>
                <w:rFonts w:ascii="Consolas" w:cs="Consolas" w:eastAsia="Consolas" w:hAnsi="Consolas"/>
                <w:color w:val="1A1A1A"/>
                <w:sz w:val="18"/>
                <w:szCs w:val="18"/>
              </w:rPr>
              <w:t xml:space="preserve">      environment: prod         # requires manual approval check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0FB" w:sz="1"/>
              <w:left w:val="single" w:color="2E75B6" w:sz="18"/>
              <w:bottom w:val="single" w:color="EAF0FB" w:sz="1"/>
              <w:right w:val="single" w:color="EAF0FB" w:sz="1"/>
            </w:tcBorders>
            <w:shd w:fill="EAF0FB" w:val="clear"/>
            <w:tcMar>
              <w:top w:type="dxa" w:w="130"/>
              <w:left w:type="dxa" w:w="180"/>
              <w:bottom w:type="dxa" w:w="130"/>
              <w:right w:type="dxa" w:w="160"/>
            </w:tcMar>
          </w:tcPr>
          <w:p>
            <w:pPr>
              <w:spacing w:after="60"/>
            </w:pPr>
            <w:r>
              <w:rPr>
                <w:b/>
                <w:bCs/>
                <w:color w:val="1F3864"/>
                <w:sz w:val="20"/>
                <w:szCs w:val="20"/>
              </w:rPr>
              <w:t xml:space="preserve">Build once, promote the same artifact</w:t>
            </w:r>
          </w:p>
          <w:p>
            <w:pPr>
              <w:spacing w:after="0" w:line="268"/>
            </w:pPr>
            <w:r>
              <w:rPr>
                <w:sz w:val="19"/>
                <w:szCs w:val="19"/>
              </w:rPr>
              <w:t xml:space="preserve">The artifact built in the Build stage is the exact artifact deployed to production. We never rebuild per environment — rebuilding reintroduces the risk that what was tested is not what ships. Environment differences are injected as configuration at deploy time, not baked into separate builds.</w:t>
            </w:r>
          </w:p>
        </w:tc>
      </w:tr>
    </w:tbl>
    <w:p>
      <w:pPr>
        <w:pStyle w:val="Heading2"/>
      </w:pPr>
      <w:r>
        <w:t xml:space="preserve">7.3  Environments, approvals &amp; checks</w:t>
      </w:r>
    </w:p>
    <w:p>
      <w:pPr>
        <w:pStyle w:val="ListParagraph"/>
        <w:numPr>
          <w:ilvl w:val="0"/>
          <w:numId w:val="2"/>
        </w:numPr>
        <w:spacing w:after="80" w:line="268"/>
      </w:pPr>
      <w:r>
        <w:t xml:space="preserve">Model each deployment target as an Azure Pipelines Environment. Attach approval checks, business-hours checks, and (for prod) required-reviewer gates to the environment, not the YAML — so governance is centrally managed.</w:t>
      </w:r>
    </w:p>
    <w:p>
      <w:pPr>
        <w:pStyle w:val="ListParagraph"/>
        <w:numPr>
          <w:ilvl w:val="0"/>
          <w:numId w:val="2"/>
        </w:numPr>
        <w:spacing w:after="80" w:line="268"/>
      </w:pPr>
      <w:r>
        <w:t xml:space="preserve">Production deployments require explicit human approval; non-production can be automatic on a green build.</w:t>
      </w:r>
    </w:p>
    <w:p>
      <w:pPr>
        <w:pStyle w:val="ListParagraph"/>
        <w:numPr>
          <w:ilvl w:val="0"/>
          <w:numId w:val="2"/>
        </w:numPr>
        <w:spacing w:after="80" w:line="268"/>
      </w:pPr>
      <w:r>
        <w:t xml:space="preserve">Use deployment strategies (rolling, canary, or blue-green) appropriate to the workload; default to rolling for internal APIs.</w:t>
      </w:r>
    </w:p>
    <w:p>
      <w:pPr>
        <w:pStyle w:val="Heading2"/>
      </w:pPr>
      <w:r>
        <w:t xml:space="preserve">7.4  Service connections via workload identity federation</w:t>
      </w:r>
    </w:p>
    <w:p>
      <w:pPr>
        <w:spacing w:after="140" w:line="276"/>
      </w:pPr>
      <w:r>
        <w:t xml:space="preserve">Pipeline-to-Azure authentication uses workload identity federation rather than a service principal secret. This removes a long-lived credential from the platform entirely and is the current recommended practice. Scope each service connection to a single environment and project.</w:t>
      </w:r>
    </w:p>
    <w:p>
      <w:pPr>
        <w:pStyle w:val="Heading2"/>
      </w:pPr>
      <w:r>
        <w:t xml:space="preserve">7.5  Quality gates that run on every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60"/>
        <w:gridCol w:w="350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Gate</w:t>
            </w:r>
          </w:p>
        </w:tc>
        <w:tc>
          <w:tcPr>
            <w:tcW w:type="dxa" w:w="3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Tool family</w:t>
            </w:r>
          </w:p>
        </w:tc>
        <w:tc>
          <w:tcPr>
            <w:tcW w:type="dxa" w:w="35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Blocks merge if…</w:t>
            </w:r>
          </w:p>
        </w:tc>
      </w:tr>
      <w:tr>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Lint / format</w:t>
            </w:r>
          </w:p>
        </w:tc>
        <w:tc>
          <w:tcPr>
            <w:tcW w:type="dxa" w:w="35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Language linters, editorconfig</w:t>
            </w:r>
          </w:p>
        </w:tc>
        <w:tc>
          <w:tcPr>
            <w:tcW w:type="dxa" w:w="35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Style or static-analysis violations</w:t>
            </w:r>
          </w:p>
        </w:tc>
      </w:tr>
      <w:tr>
        <w:tc>
          <w:tcPr>
            <w:tcW w:type="dxa" w:w="23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Unit tests + coverage</w:t>
            </w:r>
          </w:p>
        </w:tc>
        <w:tc>
          <w:tcPr>
            <w:tcW w:type="dxa" w:w="35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pytest / Jest / etc.</w:t>
            </w:r>
          </w:p>
        </w:tc>
        <w:tc>
          <w:tcPr>
            <w:tcW w:type="dxa" w:w="35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Tests fail or coverage drops below threshold</w:t>
            </w:r>
          </w:p>
        </w:tc>
      </w:tr>
      <w:tr>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Secret scanning</w:t>
            </w:r>
          </w:p>
        </w:tc>
        <w:tc>
          <w:tcPr>
            <w:tcW w:type="dxa" w:w="35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Built-in / Defender for DevOps</w:t>
            </w:r>
          </w:p>
        </w:tc>
        <w:tc>
          <w:tcPr>
            <w:tcW w:type="dxa" w:w="35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A credential is detected in the diff</w:t>
            </w:r>
          </w:p>
        </w:tc>
      </w:tr>
      <w:tr>
        <w:tc>
          <w:tcPr>
            <w:tcW w:type="dxa" w:w="23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Dependency scanning</w:t>
            </w:r>
          </w:p>
        </w:tc>
        <w:tc>
          <w:tcPr>
            <w:tcW w:type="dxa" w:w="35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Dependabot / Defender, SCA</w:t>
            </w:r>
          </w:p>
        </w:tc>
        <w:tc>
          <w:tcPr>
            <w:tcW w:type="dxa" w:w="35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 known-vulnerable package is introduced</w:t>
            </w:r>
          </w:p>
        </w:tc>
      </w:tr>
      <w:tr>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IaC scanning</w:t>
            </w:r>
          </w:p>
        </w:tc>
        <w:tc>
          <w:tcPr>
            <w:tcW w:type="dxa" w:w="35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PSRule / checkov / tfsec</w:t>
            </w:r>
          </w:p>
        </w:tc>
        <w:tc>
          <w:tcPr>
            <w:tcW w:type="dxa" w:w="35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Infrastructure breaks a security baseline</w:t>
            </w:r>
          </w:p>
        </w:tc>
      </w:tr>
      <w:tr>
        <w:tc>
          <w:tcPr>
            <w:tcW w:type="dxa" w:w="23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Container scanning</w:t>
            </w:r>
          </w:p>
        </w:tc>
        <w:tc>
          <w:tcPr>
            <w:tcW w:type="dxa" w:w="35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Trivy / Defender for Containers</w:t>
            </w:r>
          </w:p>
        </w:tc>
        <w:tc>
          <w:tcPr>
            <w:tcW w:type="dxa" w:w="35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Base image has critical CVEs</w:t>
            </w:r>
          </w:p>
        </w:tc>
      </w:tr>
    </w:tbl>
    <w:p>
      <w:pPr>
        <w:pStyle w:val="Heading1"/>
      </w:pPr>
      <w:r>
        <w:t xml:space="preserve">8.  Environment &amp; Promotion Strategy</w:t>
      </w:r>
    </w:p>
    <w:p>
      <w:pPr>
        <w:spacing w:after="140" w:line="276"/>
      </w:pPr>
      <w:r>
        <w:t xml:space="preserve">Use a minimum of two isolated environments — non-production and production — each in its own subscription or resource group with its own identities and secrets. Larger programmes add a dedicated integration or staging tier. The promotion flow is strictly one-directional and 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2400"/>
        <w:gridCol w:w="1800"/>
      </w:tblGrid>
      <w:tr>
        <w:trPr>
          <w:tblHeader/>
        </w:trPr>
        <w:tc>
          <w:tcPr>
            <w:tcW w:type="dxa" w:w="20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Environment</w:t>
            </w:r>
          </w:p>
        </w:tc>
        <w:tc>
          <w:tcPr>
            <w:tcW w:type="dxa" w:w="31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Purpose</w:t>
            </w:r>
          </w:p>
        </w:tc>
        <w:tc>
          <w:tcPr>
            <w:tcW w:type="dxa" w:w="24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Deploy trigger</w:t>
            </w:r>
          </w:p>
        </w:tc>
        <w:tc>
          <w:tcPr>
            <w:tcW w:type="dxa" w:w="18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Data</w:t>
            </w:r>
          </w:p>
        </w:tc>
      </w:tr>
      <w:tr>
        <w:tc>
          <w:tcPr>
            <w:tcW w:type="dxa" w:w="2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Dev / Non-prod</w:t>
            </w:r>
          </w:p>
        </w:tc>
        <w:tc>
          <w:tcPr>
            <w:tcW w:type="dxa" w:w="31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Integration, automated testing, evaluation</w:t>
            </w:r>
          </w:p>
        </w:tc>
        <w:tc>
          <w:tcPr>
            <w:tcW w:type="dxa" w:w="24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Automatic on green build of main</w:t>
            </w:r>
          </w:p>
        </w:tc>
        <w:tc>
          <w:tcPr>
            <w:tcW w:type="dxa" w:w="18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Synthetic or masked</w:t>
            </w:r>
          </w:p>
        </w:tc>
      </w:tr>
      <w:tr>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Staging (optional)</w:t>
            </w:r>
          </w:p>
        </w:tc>
        <w:tc>
          <w:tcPr>
            <w:tcW w:type="dxa" w:w="31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Production-like validation, UAT</w:t>
            </w:r>
          </w:p>
        </w:tc>
        <w:tc>
          <w:tcPr>
            <w:tcW w:type="dxa" w:w="24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Automatic, then UAT sign-off</w:t>
            </w:r>
          </w:p>
        </w:tc>
        <w:tc>
          <w:tcPr>
            <w:tcW w:type="dxa" w:w="18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Masked production-like</w:t>
            </w:r>
          </w:p>
        </w:tc>
      </w:tr>
      <w:tr>
        <w:tc>
          <w:tcPr>
            <w:tcW w:type="dxa" w:w="2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Production</w:t>
            </w:r>
          </w:p>
        </w:tc>
        <w:tc>
          <w:tcPr>
            <w:tcW w:type="dxa" w:w="31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Live internal users</w:t>
            </w:r>
          </w:p>
        </w:tc>
        <w:tc>
          <w:tcPr>
            <w:tcW w:type="dxa" w:w="24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Manual approval gate</w:t>
            </w:r>
          </w:p>
        </w:tc>
        <w:tc>
          <w:tcPr>
            <w:tcW w:type="dxa" w:w="18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Live</w:t>
            </w:r>
          </w:p>
        </w:tc>
      </w:tr>
    </w:tbl>
    <w:p>
      <w:pPr>
        <w:pStyle w:val="ListParagraph"/>
        <w:numPr>
          <w:ilvl w:val="0"/>
          <w:numId w:val="2"/>
        </w:numPr>
        <w:spacing w:after="80" w:line="268"/>
      </w:pPr>
      <w:r>
        <w:t xml:space="preserve">Each environment is provisioned by the same IaC with different parameter files — never by hand.</w:t>
      </w:r>
    </w:p>
    <w:p>
      <w:pPr>
        <w:pStyle w:val="ListParagraph"/>
        <w:numPr>
          <w:ilvl w:val="0"/>
          <w:numId w:val="2"/>
        </w:numPr>
        <w:spacing w:after="80" w:line="268"/>
      </w:pPr>
      <w:r>
        <w:t xml:space="preserve">Configuration and secrets differ per environment and are resolved at deploy time from environment-scoped Key Vaults and App Configuration.</w:t>
      </w:r>
    </w:p>
    <w:p>
      <w:pPr>
        <w:pStyle w:val="ListParagraph"/>
        <w:numPr>
          <w:ilvl w:val="0"/>
          <w:numId w:val="2"/>
        </w:numPr>
        <w:spacing w:after="80" w:line="268"/>
      </w:pPr>
      <w:r>
        <w:t xml:space="preserve">No human has standing write access to production; changes flow only through the pipeline.</w:t>
      </w:r>
    </w:p>
    <w:p>
      <w:pPr>
        <w:pStyle w:val="Heading1"/>
      </w:pPr>
      <w:r>
        <w:t xml:space="preserve">9.  Infrastructure as Code</w:t>
      </w:r>
    </w:p>
    <w:p>
      <w:pPr>
        <w:spacing w:after="140" w:line="276"/>
      </w:pPr>
      <w:r>
        <w:t xml:space="preserve">All Azure resources are declared as code and deployed by pipelines. For an Azure-only estate the default is Bicep, using Azure Verified Modules (AVM) — Microsoft-maintained, tested modules that are now generally available — as the building blocks. Teams with existing Terraform expertise or multi-cloud needs may use Terraform with the AzureRM provider; both are first-class in the landing-zone and MLOps accelerators.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Decision</w:t>
            </w:r>
          </w:p>
        </w:tc>
        <w:tc>
          <w:tcPr>
            <w:tcW w:type="dxa" w:w="3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Default</w:t>
            </w:r>
          </w:p>
        </w:tc>
        <w:tc>
          <w:tcPr>
            <w:tcW w:type="dxa" w:w="36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Rationale</w:t>
            </w:r>
          </w:p>
        </w:tc>
      </w:tr>
      <w:tr>
        <w:tc>
          <w:tcPr>
            <w:tcW w:type="dxa" w:w="2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IaC language</w:t>
            </w:r>
          </w:p>
        </w:tc>
        <w:tc>
          <w:tcPr>
            <w:tcW w:type="dxa" w:w="35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Bicep + Azure Verified Modules</w:t>
            </w:r>
          </w:p>
        </w:tc>
        <w:tc>
          <w:tcPr>
            <w:tcW w:type="dxa" w:w="36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Native to Azure, fastest path, no state file to manage</w:t>
            </w:r>
          </w:p>
        </w:tc>
      </w:tr>
      <w:tr>
        <w:tc>
          <w:tcPr>
            <w:tcW w:type="dxa" w:w="22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Alternative</w:t>
            </w:r>
          </w:p>
        </w:tc>
        <w:tc>
          <w:tcPr>
            <w:tcW w:type="dxa" w:w="35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Terraform + AzureRM</w:t>
            </w:r>
          </w:p>
        </w:tc>
        <w:tc>
          <w:tcPr>
            <w:tcW w:type="dxa" w:w="36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When multi-cloud or existing Terraform skills dominate</w:t>
            </w:r>
          </w:p>
        </w:tc>
      </w:tr>
      <w:tr>
        <w:tc>
          <w:tcPr>
            <w:tcW w:type="dxa" w:w="2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State (Terraform)</w:t>
            </w:r>
          </w:p>
        </w:tc>
        <w:tc>
          <w:tcPr>
            <w:tcW w:type="dxa" w:w="35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Storage backend with state locking</w:t>
            </w:r>
          </w:p>
        </w:tc>
        <w:tc>
          <w:tcPr>
            <w:tcW w:type="dxa" w:w="36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Centralised, locked, recoverable state</w:t>
            </w:r>
          </w:p>
        </w:tc>
      </w:tr>
      <w:tr>
        <w:tc>
          <w:tcPr>
            <w:tcW w:type="dxa" w:w="22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Validation</w:t>
            </w:r>
          </w:p>
        </w:tc>
        <w:tc>
          <w:tcPr>
            <w:tcW w:type="dxa" w:w="35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what-if / plan preview in PR</w:t>
            </w:r>
          </w:p>
        </w:tc>
        <w:tc>
          <w:tcPr>
            <w:tcW w:type="dxa" w:w="36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Reviewers see the exact change before merge</w:t>
            </w:r>
          </w:p>
        </w:tc>
      </w:tr>
      <w:tr>
        <w:tc>
          <w:tcPr>
            <w:tcW w:type="dxa" w:w="2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Promotion</w:t>
            </w:r>
          </w:p>
        </w:tc>
        <w:tc>
          <w:tcPr>
            <w:tcW w:type="dxa" w:w="35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Same templates, per-env parameter files</w:t>
            </w:r>
          </w:p>
        </w:tc>
        <w:tc>
          <w:tcPr>
            <w:tcW w:type="dxa" w:w="36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Environment parity guaranteed by construction</w:t>
            </w:r>
          </w:p>
        </w:tc>
      </w:tr>
    </w:tbl>
    <w:p>
      <w:pPr>
        <w:pStyle w:val="ListParagraph"/>
        <w:numPr>
          <w:ilvl w:val="0"/>
          <w:numId w:val="2"/>
        </w:numPr>
        <w:spacing w:after="80" w:line="268"/>
      </w:pPr>
      <w:r>
        <w:t xml:space="preserve">IaC changes go through the same PR + scan + approval flow as application code.</w:t>
      </w:r>
    </w:p>
    <w:p>
      <w:pPr>
        <w:pStyle w:val="ListParagraph"/>
        <w:numPr>
          <w:ilvl w:val="0"/>
          <w:numId w:val="2"/>
        </w:numPr>
        <w:spacing w:after="80" w:line="268"/>
      </w:pPr>
      <w:r>
        <w:t xml:space="preserve">Run a what-if (Bicep) or plan (Terraform) step in the pipeline and surface the diff on the PR before any apply.</w:t>
      </w:r>
    </w:p>
    <w:p>
      <w:pPr>
        <w:pStyle w:val="Heading1"/>
      </w:pPr>
      <w:r>
        <w:t xml:space="preserve">10.  Track A — Traditional Applications (REST APIs &amp; Front Ends)</w:t>
      </w:r>
    </w:p>
    <w:p>
      <w:pPr>
        <w:pStyle w:val="Heading2"/>
      </w:pPr>
      <w:r>
        <w:t xml:space="preserve">10.1  Deployment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rPr>
          <w:tblHeader/>
        </w:trPr>
        <w:tc>
          <w:tcPr>
            <w:tcW w:type="dxa" w:w="25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Target</w:t>
            </w:r>
          </w:p>
        </w:tc>
        <w:tc>
          <w:tcPr>
            <w:tcW w:type="dxa" w:w="33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Use it for</w:t>
            </w:r>
          </w:p>
        </w:tc>
        <w:tc>
          <w:tcPr>
            <w:tcW w:type="dxa" w:w="35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Why</w:t>
            </w:r>
          </w:p>
        </w:tc>
      </w:tr>
      <w:tr>
        <w:tc>
          <w:tcPr>
            <w:tcW w:type="dxa" w:w="25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Container Apps</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Default for containerised APIs and microservices</w:t>
            </w:r>
          </w:p>
        </w:tc>
        <w:tc>
          <w:tcPr>
            <w:tcW w:type="dxa" w:w="35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Serverless scale-to-zero, built-in ingress, Dapr, KEDA; least operational overhead</w:t>
            </w:r>
          </w:p>
        </w:tc>
      </w:tr>
      <w:tr>
        <w:tc>
          <w:tcPr>
            <w:tcW w:type="dxa" w:w="25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App Service</w:t>
            </w:r>
          </w:p>
        </w:tc>
        <w:tc>
          <w:tcPr>
            <w:tcW w:type="dxa" w:w="33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Simple web apps and APIs not yet containerised</w:t>
            </w:r>
          </w:p>
        </w:tc>
        <w:tc>
          <w:tcPr>
            <w:tcW w:type="dxa" w:w="35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Fastest path for classic web workloads, easy slots for blue-green</w:t>
            </w:r>
          </w:p>
        </w:tc>
      </w:tr>
      <w:tr>
        <w:tc>
          <w:tcPr>
            <w:tcW w:type="dxa" w:w="25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Kubernetes Service</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Complex workloads needing fine-grained control</w:t>
            </w:r>
          </w:p>
        </w:tc>
        <w:tc>
          <w:tcPr>
            <w:tcW w:type="dxa" w:w="35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Maximum control; justified only when Container Apps is insufficient</w:t>
            </w:r>
          </w:p>
        </w:tc>
      </w:tr>
      <w:tr>
        <w:tc>
          <w:tcPr>
            <w:tcW w:type="dxa" w:w="25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Static Web Apps</w:t>
            </w:r>
          </w:p>
        </w:tc>
        <w:tc>
          <w:tcPr>
            <w:tcW w:type="dxa" w:w="33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SPA / static front ends</w:t>
            </w:r>
          </w:p>
        </w:tc>
        <w:tc>
          <w:tcPr>
            <w:tcW w:type="dxa" w:w="35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Global delivery, integrated auth, preview environments per PR</w:t>
            </w:r>
          </w:p>
        </w:tc>
      </w:tr>
    </w:tbl>
    <w:p>
      <w:pPr>
        <w:pStyle w:val="Heading2"/>
      </w:pPr>
      <w:r>
        <w:t xml:space="preserve">10.2  Containerisation standards</w:t>
      </w:r>
    </w:p>
    <w:p>
      <w:pPr>
        <w:pStyle w:val="ListParagraph"/>
        <w:numPr>
          <w:ilvl w:val="0"/>
          <w:numId w:val="2"/>
        </w:numPr>
        <w:spacing w:after="80" w:line="268"/>
      </w:pPr>
      <w:r>
        <w:t xml:space="preserve">Use multi-stage Dockerfiles: a build stage and a minimal runtime stage, so images stay small and free of build tooling.</w:t>
      </w:r>
    </w:p>
    <w:p>
      <w:pPr>
        <w:pStyle w:val="ListParagraph"/>
        <w:numPr>
          <w:ilvl w:val="0"/>
          <w:numId w:val="2"/>
        </w:numPr>
        <w:spacing w:after="80" w:line="268"/>
      </w:pPr>
      <w:r>
        <w:t xml:space="preserve">Pin base images by digest, run as a non-root user, and scan every image in the pipeline before it reaches a registry.</w:t>
      </w:r>
    </w:p>
    <w:p>
      <w:pPr>
        <w:pStyle w:val="ListParagraph"/>
        <w:numPr>
          <w:ilvl w:val="0"/>
          <w:numId w:val="2"/>
        </w:numPr>
        <w:spacing w:after="80" w:line="268"/>
      </w:pPr>
      <w:r>
        <w:t xml:space="preserve">Push images to Azure Container Registry with content trust; tag with the build ID and the Git SHA for traceability.</w:t>
      </w:r>
    </w:p>
    <w:p>
      <w:pPr>
        <w:pStyle w:val="Heading2"/>
      </w:pPr>
      <w:r>
        <w:t xml:space="preserve">10.3  Configuration, secrets &amp; testing</w:t>
      </w:r>
    </w:p>
    <w:p>
      <w:pPr>
        <w:pStyle w:val="ListParagraph"/>
        <w:numPr>
          <w:ilvl w:val="0"/>
          <w:numId w:val="2"/>
        </w:numPr>
        <w:spacing w:after="80" w:line="268"/>
      </w:pPr>
      <w:r>
        <w:t xml:space="preserve">Resolve secrets at runtime from Key Vault via managed identity; never bake them into images or commit them.</w:t>
      </w:r>
    </w:p>
    <w:p>
      <w:pPr>
        <w:pStyle w:val="ListParagraph"/>
        <w:numPr>
          <w:ilvl w:val="0"/>
          <w:numId w:val="2"/>
        </w:numPr>
        <w:spacing w:after="80" w:line="268"/>
      </w:pPr>
      <w:r>
        <w:t xml:space="preserve">Hold non-secret config in Azure App Configuration with per-environment labels and feature flags.</w:t>
      </w:r>
    </w:p>
    <w:p>
      <w:pPr>
        <w:pStyle w:val="ListParagraph"/>
        <w:numPr>
          <w:ilvl w:val="0"/>
          <w:numId w:val="2"/>
        </w:numPr>
        <w:spacing w:after="80" w:line="268"/>
      </w:pPr>
      <w:r>
        <w:t xml:space="preserve">Validate with the layered test pyramid: many unit tests, fewer integration tests, a thin layer of end-to-end smoke tests, plus contract tests for APIs.</w:t>
      </w:r>
    </w:p>
    <w:p>
      <w:pPr>
        <w:pStyle w:val="Heading1"/>
      </w:pPr>
      <w:r>
        <w:t xml:space="preserve">11.  Track B — MLOps &amp; GenAIOps for AI Applications</w:t>
      </w:r>
    </w:p>
    <w:p>
      <w:pPr>
        <w:spacing w:after="140" w:line="276"/>
      </w:pPr>
      <w:r>
        <w:t xml:space="preserve">This section is the core of the management request: the methodologies, configurations, prerequisites, tools, services, and dependencies for AI pipelines, plus the reference implementations to follow. The AI track reuses the entire shared backbone and adds the AI-specific practices below.</w:t>
      </w:r>
    </w:p>
    <w:p>
      <w:pPr>
        <w:pStyle w:val="Heading2"/>
      </w:pPr>
      <w:r>
        <w:t xml:space="preserve">11.1  MLOps and GenAIOps are different disciplines</w:t>
      </w:r>
    </w:p>
    <w:p>
      <w:pPr>
        <w:spacing w:after="140" w:line="276"/>
      </w:pPr>
      <w:r>
        <w:t xml:space="preserve">Both apply DevOps and DataOps discipline to AI, and both pursue the same outcome — repeatable processes with consistent results and models that stay accurate over time. But the centre of gravity differs, and the platform must support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Dimension</w:t>
            </w:r>
          </w:p>
        </w:tc>
        <w:tc>
          <w:tcPr>
            <w:tcW w:type="dxa" w:w="36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MLOps (custom models)</w:t>
            </w:r>
          </w:p>
        </w:tc>
        <w:tc>
          <w:tcPr>
            <w:tcW w:type="dxa" w:w="36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GenAIOps (Foundry / LLM apps)</w:t>
            </w:r>
          </w:p>
        </w:tc>
      </w:tr>
      <w:tr>
        <w:tc>
          <w:tcPr>
            <w:tcW w:type="dxa" w:w="2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Core activity</w:t>
            </w:r>
          </w:p>
        </w:tc>
        <w:tc>
          <w:tcPr>
            <w:tcW w:type="dxa" w:w="3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Train, version, and retrain models on our data</w:t>
            </w:r>
          </w:p>
        </w:tc>
        <w:tc>
          <w:tcPr>
            <w:tcW w:type="dxa" w:w="3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Select a model, engineer prompts, ground with RAG</w:t>
            </w:r>
          </w:p>
        </w:tc>
      </w:tr>
      <w:tr>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Primary artifact</w:t>
            </w:r>
          </w:p>
        </w:tc>
        <w:tc>
          <w:tcPr>
            <w:tcW w:type="dxa" w:w="368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 registered, versioned model</w:t>
            </w:r>
          </w:p>
        </w:tc>
        <w:tc>
          <w:tcPr>
            <w:tcW w:type="dxa" w:w="368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 versioned prompt + orchestration + index config</w:t>
            </w:r>
          </w:p>
        </w:tc>
      </w:tr>
      <w:tr>
        <w:tc>
          <w:tcPr>
            <w:tcW w:type="dxa" w:w="2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What 'drift' means</w:t>
            </w:r>
          </w:p>
        </w:tc>
        <w:tc>
          <w:tcPr>
            <w:tcW w:type="dxa" w:w="3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Data distribution shifts → retrain</w:t>
            </w:r>
          </w:p>
        </w:tc>
        <w:tc>
          <w:tcPr>
            <w:tcW w:type="dxa" w:w="3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Quality / grounding degrades → re-evaluate, re-tune prompt or data</w:t>
            </w:r>
          </w:p>
        </w:tc>
      </w:tr>
      <w:tr>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Validation</w:t>
            </w:r>
          </w:p>
        </w:tc>
        <w:tc>
          <w:tcPr>
            <w:tcW w:type="dxa" w:w="368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Accuracy / metric thresholds on a test set</w:t>
            </w:r>
          </w:p>
        </w:tc>
        <w:tc>
          <w:tcPr>
            <w:tcW w:type="dxa" w:w="368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Automated quality, groundedness &amp; safety evaluation</w:t>
            </w:r>
          </w:p>
        </w:tc>
      </w:tr>
      <w:tr>
        <w:tc>
          <w:tcPr>
            <w:tcW w:type="dxa" w:w="2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home</w:t>
            </w:r>
          </w:p>
        </w:tc>
        <w:tc>
          <w:tcPr>
            <w:tcW w:type="dxa" w:w="3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Machine Learning</w:t>
            </w:r>
          </w:p>
        </w:tc>
        <w:tc>
          <w:tcPr>
            <w:tcW w:type="dxa" w:w="3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AI Foundry (Microsoft Foundry)</w:t>
            </w:r>
          </w:p>
        </w:tc>
      </w:tr>
    </w:tbl>
    <w:p>
      <w:pPr>
        <w:pStyle w:val="Heading2"/>
      </w:pPr>
      <w:r>
        <w:t xml:space="preserve">11.2  MLOps lifecycle for custom models (Azure Machine Learning)</w:t>
      </w:r>
    </w:p>
    <w:p>
      <w:pPr>
        <w:spacing w:after="140" w:line="276"/>
      </w:pPr>
      <w:r>
        <w:t xml:space="preserve">Custom models follow a closed loop driven by code and data, fully automated through Azure Pipelines and Azure ML pipelines:</w:t>
      </w:r>
    </w:p>
    <w:p>
      <w:pPr>
        <w:pStyle w:val="ListParagraph"/>
        <w:numPr>
          <w:ilvl w:val="0"/>
          <w:numId w:val="3"/>
        </w:numPr>
        <w:spacing w:after="80" w:line="268"/>
      </w:pPr>
      <w:r>
        <w:t xml:space="preserve">Data preparation — aggregate, clean, transform, and version datasets as Azure ML data assets so every training run is reproducible.</w:t>
      </w:r>
    </w:p>
    <w:p>
      <w:pPr>
        <w:pStyle w:val="ListParagraph"/>
        <w:numPr>
          <w:ilvl w:val="0"/>
          <w:numId w:val="3"/>
        </w:numPr>
        <w:spacing w:after="80" w:line="268"/>
      </w:pPr>
      <w:r>
        <w:t xml:space="preserve">Training — run an Azure ML pipeline on managed compute; track every run, parameter, and metric in MLflow (the native experiment-tracking standard).</w:t>
      </w:r>
    </w:p>
    <w:p>
      <w:pPr>
        <w:pStyle w:val="ListParagraph"/>
        <w:numPr>
          <w:ilvl w:val="0"/>
          <w:numId w:val="3"/>
        </w:numPr>
        <w:spacing w:after="80" w:line="268"/>
      </w:pPr>
      <w:r>
        <w:t xml:space="preserve">Evaluation &amp; registration — if metrics clear the agreed threshold, register the model in the Azure ML model registry with full lineage to the commit and dataset.</w:t>
      </w:r>
    </w:p>
    <w:p>
      <w:pPr>
        <w:pStyle w:val="ListParagraph"/>
        <w:numPr>
          <w:ilvl w:val="0"/>
          <w:numId w:val="3"/>
        </w:numPr>
        <w:spacing w:after="80" w:line="268"/>
      </w:pPr>
      <w:r>
        <w:t xml:space="preserve">Deployment — promote the registered model to an Azure ML managed online endpoint (real-time) or batch endpoint, through the same non-prod → prod gates.</w:t>
      </w:r>
    </w:p>
    <w:p>
      <w:pPr>
        <w:pStyle w:val="ListParagraph"/>
        <w:numPr>
          <w:ilvl w:val="0"/>
          <w:numId w:val="3"/>
        </w:numPr>
        <w:spacing w:after="80" w:line="268"/>
      </w:pPr>
      <w:r>
        <w:t xml:space="preserve">Monitoring &amp; retraining — monitor data drift and model performance; a drift signal or schedule triggers the training pipeline again, closing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0FB" w:sz="1"/>
              <w:left w:val="single" w:color="2E75B6" w:sz="18"/>
              <w:bottom w:val="single" w:color="EAF0FB" w:sz="1"/>
              <w:right w:val="single" w:color="EAF0FB" w:sz="1"/>
            </w:tcBorders>
            <w:shd w:fill="EAF0FB" w:val="clear"/>
            <w:tcMar>
              <w:top w:type="dxa" w:w="130"/>
              <w:left w:type="dxa" w:w="180"/>
              <w:bottom w:type="dxa" w:w="130"/>
              <w:right w:type="dxa" w:w="160"/>
            </w:tcMar>
          </w:tcPr>
          <w:p>
            <w:pPr>
              <w:spacing w:after="60"/>
            </w:pPr>
            <w:r>
              <w:rPr>
                <w:b/>
                <w:bCs/>
                <w:color w:val="1F3864"/>
                <w:sz w:val="20"/>
                <w:szCs w:val="20"/>
              </w:rPr>
              <w:t xml:space="preserve">Standards for the MLOps loop</w:t>
            </w:r>
          </w:p>
          <w:p>
            <w:pPr>
              <w:spacing w:after="0" w:line="268"/>
            </w:pPr>
            <w:r>
              <w:t xml:space="preserve">Use </w:t>
            </w:r>
            <w:r>
              <w:rPr>
                <w:b/>
                <w:bCs/>
              </w:rPr>
              <w:t xml:space="preserve">MLflow</w:t>
            </w:r>
            <w:r>
              <w:t xml:space="preserve"> for experiment tracking, model registration, and versioning of data and model assets — it is the auditability backbone. Define the training pipeline as code, register models only through the pipeline (never by hand), and gate registration on metric thresholds so an underperforming model can never be promoted.</w:t>
            </w:r>
          </w:p>
        </w:tc>
      </w:tr>
    </w:tbl>
    <w:p>
      <w:pPr>
        <w:pStyle w:val="Heading2"/>
      </w:pPr>
      <w:r>
        <w:t xml:space="preserve">11.3  GenAIOps for Foundry-backed applications</w:t>
      </w:r>
    </w:p>
    <w:p>
      <w:pPr>
        <w:spacing w:after="140" w:line="276"/>
      </w:pPr>
      <w:r>
        <w:t xml:space="preserve">Applications that consume Azure AI Foundry models replace 'training' with model selection, prompt engineering, and grounding. The operating loop is define → build &amp; customise → evaluate → deploy → monitor.</w:t>
      </w:r>
    </w:p>
    <w:p>
      <w:pPr>
        <w:pStyle w:val="ListParagraph"/>
        <w:numPr>
          <w:ilvl w:val="0"/>
          <w:numId w:val="2"/>
        </w:numPr>
        <w:spacing w:after="80" w:line="268"/>
      </w:pPr>
      <w:r>
        <w:t xml:space="preserve">Model selection — evaluate candidates from the Foundry model catalogue against cost, latency, and quality for the specific task; record the chosen model and version as configuration.</w:t>
      </w:r>
    </w:p>
    <w:p>
      <w:pPr>
        <w:pStyle w:val="ListParagraph"/>
        <w:numPr>
          <w:ilvl w:val="0"/>
          <w:numId w:val="2"/>
        </w:numPr>
        <w:spacing w:after="80" w:line="268"/>
      </w:pPr>
      <w:r>
        <w:t xml:space="preserve">Build &amp; customise — implement orchestration (RAG, tools, multi-step agents). For new work, build orchestration on the Microsoft Agent Framework SDK; deploy the orchestrator to the same compute the rest of the application uses (commonly Azure Container Apps).</w:t>
      </w:r>
    </w:p>
    <w:p>
      <w:pPr>
        <w:pStyle w:val="ListParagraph"/>
        <w:numPr>
          <w:ilvl w:val="0"/>
          <w:numId w:val="2"/>
        </w:numPr>
        <w:spacing w:after="80" w:line="268"/>
      </w:pPr>
      <w:r>
        <w:t xml:space="preserve">Grounding (RAG) — manage the vector index, schema, and data-pipeline logic as versioned assets; changes to an index are deployments, gated like any other.</w:t>
      </w:r>
    </w:p>
    <w:p>
      <w:pPr>
        <w:pStyle w:val="ListParagraph"/>
        <w:numPr>
          <w:ilvl w:val="0"/>
          <w:numId w:val="2"/>
        </w:numPr>
        <w:spacing w:after="80" w:line="268"/>
      </w:pPr>
      <w:r>
        <w:t xml:space="preserve">Evaluation — run automated evaluations for relevance, groundedness, coherence, and safety on a curated test set as a pipeline gate, exactly where a traditional pipeline runs integration tests.</w:t>
      </w:r>
    </w:p>
    <w:p>
      <w:pPr>
        <w:pStyle w:val="ListParagraph"/>
        <w:numPr>
          <w:ilvl w:val="0"/>
          <w:numId w:val="2"/>
        </w:numPr>
        <w:spacing w:after="80" w:line="268"/>
      </w:pPr>
      <w:r>
        <w:t xml:space="preserve">Deploy — promote the prompt + orchestration + index configuration as one versioned unit through non-prod and prod.</w:t>
      </w:r>
    </w:p>
    <w:p>
      <w:pPr>
        <w:pStyle w:val="ListParagraph"/>
        <w:numPr>
          <w:ilvl w:val="0"/>
          <w:numId w:val="2"/>
        </w:numPr>
        <w:spacing w:after="80" w:line="268"/>
      </w:pPr>
      <w:r>
        <w:t xml:space="preserve">Monitor — track quality, groundedness, latency, token consumption, and content-safety signals in production; regressions trigger re-evaluation and prompt or data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9E7" w:sz="1"/>
              <w:left w:val="single" w:color="D9601A" w:sz="18"/>
              <w:bottom w:val="single" w:color="FBE9E7" w:sz="1"/>
              <w:right w:val="single" w:color="FBE9E7" w:sz="1"/>
            </w:tcBorders>
            <w:shd w:fill="FBE9E7" w:val="clear"/>
            <w:tcMar>
              <w:top w:type="dxa" w:w="130"/>
              <w:left w:type="dxa" w:w="180"/>
              <w:bottom w:type="dxa" w:w="130"/>
              <w:right w:type="dxa" w:w="160"/>
            </w:tcMar>
          </w:tcPr>
          <w:p>
            <w:pPr>
              <w:spacing w:after="60"/>
            </w:pPr>
            <w:r>
              <w:rPr>
                <w:b/>
                <w:bCs/>
                <w:color w:val="1F3864"/>
                <w:sz w:val="20"/>
                <w:szCs w:val="20"/>
              </w:rPr>
              <w:t xml:space="preserve">Plan for the prompt flow retirement</w:t>
            </w:r>
          </w:p>
          <w:p>
            <w:pPr>
              <w:spacing w:after="0" w:line="268"/>
            </w:pPr>
            <w:r>
              <w:t xml:space="preserve">If any proof-of-concept already uses prompt flow, schedule migration to the </w:t>
            </w:r>
            <w:r>
              <w:rPr>
                <w:b/>
                <w:bCs/>
              </w:rPr>
              <w:t xml:space="preserve">Microsoft Agent Framework</w:t>
            </w:r>
            <w:r>
              <w:t xml:space="preserve"> before 20 April 2027. New GenAI work should not start on prompt flow. Treat this as a standing architectural constraint, not a one-off note.</w:t>
            </w:r>
          </w:p>
        </w:tc>
      </w:tr>
    </w:tbl>
    <w:p>
      <w:pPr>
        <w:pStyle w:val="Heading2"/>
      </w:pPr>
      <w:r>
        <w:t xml:space="preserve">11.4  Tools, services &amp; dependencies for AI pipelines</w:t>
      </w:r>
    </w:p>
    <w:p>
      <w:pPr>
        <w:spacing w:after="140" w:line="276"/>
      </w:pPr>
      <w:r>
        <w:t xml:space="preserve">The following are the services, tools, and dependencies an AI pipeline draws on. Items marked Track make clear whether they serve custom-model MLOps, Foundry GenAIOps, or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Service / tool</w:t>
            </w:r>
          </w:p>
        </w:tc>
        <w:tc>
          <w:tcPr>
            <w:tcW w:type="dxa" w:w="43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Role in the AI pipeline</w:t>
            </w:r>
          </w:p>
        </w:tc>
        <w:tc>
          <w:tcPr>
            <w:tcW w:type="dxa" w:w="20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Track</w:t>
            </w:r>
          </w:p>
        </w:tc>
      </w:tr>
      <w:tr>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Machine Learning</w:t>
            </w:r>
          </w:p>
        </w:tc>
        <w:tc>
          <w:tcPr>
            <w:tcW w:type="dxa" w:w="4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Training pipelines, compute, model registry, managed endpoints</w:t>
            </w:r>
          </w:p>
        </w:tc>
        <w:tc>
          <w:tcPr>
            <w:tcW w:type="dxa" w:w="2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MLOps</w:t>
            </w:r>
          </w:p>
        </w:tc>
      </w:tr>
      <w:tr>
        <w:tc>
          <w:tcPr>
            <w:tcW w:type="dxa" w:w="3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AI Foundry (Microsoft Foundry)</w:t>
            </w:r>
          </w:p>
        </w:tc>
        <w:tc>
          <w:tcPr>
            <w:tcW w:type="dxa" w:w="43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Model catalogue, deployment, agent service, evaluation, safety</w:t>
            </w:r>
          </w:p>
        </w:tc>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GenAIOps</w:t>
            </w:r>
          </w:p>
        </w:tc>
      </w:tr>
      <w:tr>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MLflow</w:t>
            </w:r>
          </w:p>
        </w:tc>
        <w:tc>
          <w:tcPr>
            <w:tcW w:type="dxa" w:w="4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Experiment tracking, model &amp; asset versioning, lineage</w:t>
            </w:r>
          </w:p>
        </w:tc>
        <w:tc>
          <w:tcPr>
            <w:tcW w:type="dxa" w:w="2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MLOps</w:t>
            </w:r>
          </w:p>
        </w:tc>
      </w:tr>
      <w:tr>
        <w:tc>
          <w:tcPr>
            <w:tcW w:type="dxa" w:w="3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Microsoft Agent Framework</w:t>
            </w:r>
          </w:p>
        </w:tc>
        <w:tc>
          <w:tcPr>
            <w:tcW w:type="dxa" w:w="43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Orchestration / agents for LLM apps (successor to prompt flow)</w:t>
            </w:r>
          </w:p>
        </w:tc>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GenAIOps</w:t>
            </w:r>
          </w:p>
        </w:tc>
      </w:tr>
      <w:tr>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AI Search</w:t>
            </w:r>
          </w:p>
        </w:tc>
        <w:tc>
          <w:tcPr>
            <w:tcW w:type="dxa" w:w="4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Vector index for retrieval-augmented generation (RAG)</w:t>
            </w:r>
          </w:p>
        </w:tc>
        <w:tc>
          <w:tcPr>
            <w:tcW w:type="dxa" w:w="2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GenAIOps</w:t>
            </w:r>
          </w:p>
        </w:tc>
      </w:tr>
      <w:tr>
        <w:tc>
          <w:tcPr>
            <w:tcW w:type="dxa" w:w="3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Container Registry</w:t>
            </w:r>
          </w:p>
        </w:tc>
        <w:tc>
          <w:tcPr>
            <w:tcW w:type="dxa" w:w="43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Stores training/inference and orchestrator container images</w:t>
            </w:r>
          </w:p>
        </w:tc>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Both</w:t>
            </w:r>
          </w:p>
        </w:tc>
      </w:tr>
      <w:tr>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Key Vault</w:t>
            </w:r>
          </w:p>
        </w:tc>
        <w:tc>
          <w:tcPr>
            <w:tcW w:type="dxa" w:w="4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Model keys, endpoint secrets, connection strings</w:t>
            </w:r>
          </w:p>
        </w:tc>
        <w:tc>
          <w:tcPr>
            <w:tcW w:type="dxa" w:w="2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Both</w:t>
            </w:r>
          </w:p>
        </w:tc>
      </w:tr>
      <w:tr>
        <w:tc>
          <w:tcPr>
            <w:tcW w:type="dxa" w:w="3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Storage / Data Lake</w:t>
            </w:r>
          </w:p>
        </w:tc>
        <w:tc>
          <w:tcPr>
            <w:tcW w:type="dxa" w:w="43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Versioned datasets, embeddings, evaluation sets</w:t>
            </w:r>
          </w:p>
        </w:tc>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Both</w:t>
            </w:r>
          </w:p>
        </w:tc>
      </w:tr>
      <w:tr>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Pipelines</w:t>
            </w:r>
          </w:p>
        </w:tc>
        <w:tc>
          <w:tcPr>
            <w:tcW w:type="dxa" w:w="4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Orchestrates the end-to-end CI/CD, including AI stages</w:t>
            </w:r>
          </w:p>
        </w:tc>
        <w:tc>
          <w:tcPr>
            <w:tcW w:type="dxa" w:w="2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Both</w:t>
            </w:r>
          </w:p>
        </w:tc>
      </w:tr>
      <w:tr>
        <w:tc>
          <w:tcPr>
            <w:tcW w:type="dxa" w:w="3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Monitor + App Insights</w:t>
            </w:r>
          </w:p>
        </w:tc>
        <w:tc>
          <w:tcPr>
            <w:tcW w:type="dxa" w:w="43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Telemetry, drift, quality, token-cost monitoring</w:t>
            </w:r>
          </w:p>
        </w:tc>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Both</w:t>
            </w:r>
          </w:p>
        </w:tc>
      </w:tr>
      <w:tr>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Bicep / Terraform (AVM)</w:t>
            </w:r>
          </w:p>
        </w:tc>
        <w:tc>
          <w:tcPr>
            <w:tcW w:type="dxa" w:w="4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Provisions every resource above as code</w:t>
            </w:r>
          </w:p>
        </w:tc>
        <w:tc>
          <w:tcPr>
            <w:tcW w:type="dxa" w:w="2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Both</w:t>
            </w:r>
          </w:p>
        </w:tc>
      </w:tr>
      <w:tr>
        <w:tc>
          <w:tcPr>
            <w:tcW w:type="dxa" w:w="3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Python + Azure ML / Foundry SDKs</w:t>
            </w:r>
          </w:p>
        </w:tc>
        <w:tc>
          <w:tcPr>
            <w:tcW w:type="dxa" w:w="43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Glue for training, evaluation, and deployment steps</w:t>
            </w:r>
          </w:p>
        </w:tc>
        <w:tc>
          <w:tcPr>
            <w:tcW w:type="dxa" w:w="2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Both</w:t>
            </w:r>
          </w:p>
        </w:tc>
      </w:tr>
    </w:tbl>
    <w:p>
      <w:pPr>
        <w:pStyle w:val="Heading2"/>
      </w:pPr>
      <w:r>
        <w:t xml:space="preserve">11.5  Mapping AI stages onto the standard pipeline</w:t>
      </w:r>
    </w:p>
    <w:p>
      <w:pPr>
        <w:spacing w:after="140" w:line="276"/>
      </w:pPr>
      <w:r>
        <w:t xml:space="preserve">The AI track does not invent a new pipeline shape; it slots specialised stages into the standard skeleton from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Standard stage</w:t>
            </w:r>
          </w:p>
        </w:tc>
        <w:tc>
          <w:tcPr>
            <w:tcW w:type="dxa" w:w="35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MLOps fills it with</w:t>
            </w:r>
          </w:p>
        </w:tc>
        <w:tc>
          <w:tcPr>
            <w:tcW w:type="dxa" w:w="35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GenAIOps fills it with</w:t>
            </w:r>
          </w:p>
        </w:tc>
      </w:tr>
      <w:tr>
        <w:tc>
          <w:tcPr>
            <w:tcW w:type="dxa" w:w="2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Validate</w:t>
            </w:r>
          </w:p>
        </w:tc>
        <w:tc>
          <w:tcPr>
            <w:tcW w:type="dxa" w:w="35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Data validation, code lint, unit tests</w:t>
            </w:r>
          </w:p>
        </w:tc>
        <w:tc>
          <w:tcPr>
            <w:tcW w:type="dxa" w:w="35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Prompt lint, orchestration unit tests, schema checks</w:t>
            </w:r>
          </w:p>
        </w:tc>
      </w:tr>
      <w:tr>
        <w:tc>
          <w:tcPr>
            <w:tcW w:type="dxa" w:w="22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Build</w:t>
            </w:r>
          </w:p>
        </w:tc>
        <w:tc>
          <w:tcPr>
            <w:tcW w:type="dxa" w:w="358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Train → evaluate → register model</w:t>
            </w:r>
          </w:p>
        </w:tc>
        <w:tc>
          <w:tcPr>
            <w:tcW w:type="dxa" w:w="358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Package prompt + orchestration + index config</w:t>
            </w:r>
          </w:p>
        </w:tc>
      </w:tr>
      <w:tr>
        <w:tc>
          <w:tcPr>
            <w:tcW w:type="dxa" w:w="2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Test (non-prod)</w:t>
            </w:r>
          </w:p>
        </w:tc>
        <w:tc>
          <w:tcPr>
            <w:tcW w:type="dxa" w:w="35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Metric thresholds on hold-out data</w:t>
            </w:r>
          </w:p>
        </w:tc>
        <w:tc>
          <w:tcPr>
            <w:tcW w:type="dxa" w:w="35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Automated quality, groundedness &amp; safety evaluation</w:t>
            </w:r>
          </w:p>
        </w:tc>
      </w:tr>
      <w:tr>
        <w:tc>
          <w:tcPr>
            <w:tcW w:type="dxa" w:w="22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Deploy (prod)</w:t>
            </w:r>
          </w:p>
        </w:tc>
        <w:tc>
          <w:tcPr>
            <w:tcW w:type="dxa" w:w="358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Promote model to managed endpoint</w:t>
            </w:r>
          </w:p>
        </w:tc>
        <w:tc>
          <w:tcPr>
            <w:tcW w:type="dxa" w:w="358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Promote orchestrator + endpoint config</w:t>
            </w:r>
          </w:p>
        </w:tc>
      </w:tr>
      <w:tr>
        <w:tc>
          <w:tcPr>
            <w:tcW w:type="dxa" w:w="2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Monitor</w:t>
            </w:r>
          </w:p>
        </w:tc>
        <w:tc>
          <w:tcPr>
            <w:tcW w:type="dxa" w:w="35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Data &amp; model drift detection</w:t>
            </w:r>
          </w:p>
        </w:tc>
        <w:tc>
          <w:tcPr>
            <w:tcW w:type="dxa" w:w="35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Quality, safety &amp; token-cost monitoring</w:t>
            </w:r>
          </w:p>
        </w:tc>
      </w:tr>
    </w:tbl>
    <w:p>
      <w:pPr>
        <w:pStyle w:val="Heading2"/>
      </w:pPr>
      <w:r>
        <w:t xml:space="preserve">11.6  Responsible AI &amp; content safety</w:t>
      </w:r>
    </w:p>
    <w:p>
      <w:pPr>
        <w:pStyle w:val="ListParagraph"/>
        <w:numPr>
          <w:ilvl w:val="0"/>
          <w:numId w:val="2"/>
        </w:numPr>
        <w:spacing w:after="80" w:line="268"/>
      </w:pPr>
      <w:r>
        <w:t xml:space="preserve">Run content-safety checks on inputs and outputs of generative endpoints; treat a safety regression as a release blocker.</w:t>
      </w:r>
    </w:p>
    <w:p>
      <w:pPr>
        <w:pStyle w:val="ListParagraph"/>
        <w:numPr>
          <w:ilvl w:val="0"/>
          <w:numId w:val="2"/>
        </w:numPr>
        <w:spacing w:after="80" w:line="268"/>
      </w:pPr>
      <w:r>
        <w:t xml:space="preserve">Maintain evaluation datasets and quality thresholds as versioned, reviewed assets — they are the AI equivalent of a test suite.</w:t>
      </w:r>
    </w:p>
    <w:p>
      <w:pPr>
        <w:pStyle w:val="ListParagraph"/>
        <w:numPr>
          <w:ilvl w:val="0"/>
          <w:numId w:val="2"/>
        </w:numPr>
        <w:spacing w:after="80" w:line="268"/>
      </w:pPr>
      <w:r>
        <w:t xml:space="preserve">Keep auditable lineage from a production response back to the model version, prompt version, and grounding data that produced it.</w:t>
      </w:r>
    </w:p>
    <w:p>
      <w:pPr>
        <w:pStyle w:val="Heading1"/>
      </w:pPr>
      <w:r>
        <w:t xml:space="preserve">12.  Security, Secrets &amp; Responsible AI</w:t>
      </w:r>
    </w:p>
    <w:p>
      <w:pPr>
        <w:pStyle w:val="ListParagraph"/>
        <w:numPr>
          <w:ilvl w:val="0"/>
          <w:numId w:val="2"/>
        </w:numPr>
        <w:spacing w:after="80" w:line="268"/>
      </w:pPr>
      <w:r>
        <w:t xml:space="preserve">Secrets live only in Azure Key Vault, scoped per environment, accessed by workloads through managed identity. No secrets in repos, images, or pipeline variables in plain text.</w:t>
      </w:r>
    </w:p>
    <w:p>
      <w:pPr>
        <w:pStyle w:val="ListParagraph"/>
        <w:numPr>
          <w:ilvl w:val="0"/>
          <w:numId w:val="2"/>
        </w:numPr>
        <w:spacing w:after="80" w:line="268"/>
      </w:pPr>
      <w:r>
        <w:t xml:space="preserve">Enable Microsoft Defender for Cloud and Defender for DevOps across subscriptions and repositories for posture management and pipeline security.</w:t>
      </w:r>
    </w:p>
    <w:p>
      <w:pPr>
        <w:pStyle w:val="ListParagraph"/>
        <w:numPr>
          <w:ilvl w:val="0"/>
          <w:numId w:val="2"/>
        </w:numPr>
        <w:spacing w:after="80" w:line="268"/>
      </w:pPr>
      <w:r>
        <w:t xml:space="preserve">Secret, dependency, container, and IaC scanning are mandatory PR gates (Section 7.5).</w:t>
      </w:r>
    </w:p>
    <w:p>
      <w:pPr>
        <w:pStyle w:val="ListParagraph"/>
        <w:numPr>
          <w:ilvl w:val="0"/>
          <w:numId w:val="2"/>
        </w:numPr>
        <w:spacing w:after="80" w:line="268"/>
      </w:pPr>
      <w:r>
        <w:t xml:space="preserve">Apply least-privilege RBAC and just-in-time elevation; production has no standing human write access.</w:t>
      </w:r>
    </w:p>
    <w:p>
      <w:pPr>
        <w:pStyle w:val="ListParagraph"/>
        <w:numPr>
          <w:ilvl w:val="0"/>
          <w:numId w:val="2"/>
        </w:numPr>
        <w:spacing w:after="80" w:line="268"/>
      </w:pPr>
      <w:r>
        <w:t xml:space="preserve">For AI specifically, add Responsible AI controls: content safety, evaluation gates, and lineage as described in Section 11.6.</w:t>
      </w:r>
    </w:p>
    <w:p>
      <w:pPr>
        <w:pStyle w:val="Heading1"/>
      </w:pPr>
      <w:r>
        <w:t xml:space="preserve">13.  Observability &amp; Monitoring</w:t>
      </w:r>
    </w:p>
    <w:p>
      <w:pPr>
        <w:spacing w:after="140" w:line="276"/>
      </w:pPr>
      <w:r>
        <w:t xml:space="preserve">Every workload sends telemetry to a central Log Analytics workspace from its first deployment; this is enforced by Azure Policy. Standardise on three signal types and add AI-specific signals on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760"/>
        <w:gridCol w:w="290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Signal</w:t>
            </w:r>
          </w:p>
        </w:tc>
        <w:tc>
          <w:tcPr>
            <w:tcW w:type="dxa" w:w="37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Tool</w:t>
            </w:r>
          </w:p>
        </w:tc>
        <w:tc>
          <w:tcPr>
            <w:tcW w:type="dxa" w:w="2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Applies to</w:t>
            </w:r>
          </w:p>
        </w:tc>
      </w:tr>
      <w:tr>
        <w:tc>
          <w:tcPr>
            <w:tcW w:type="dxa" w:w="27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Logs</w:t>
            </w:r>
          </w:p>
        </w:tc>
        <w:tc>
          <w:tcPr>
            <w:tcW w:type="dxa" w:w="37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Monitor / Log Analytics</w:t>
            </w:r>
          </w:p>
        </w:tc>
        <w:tc>
          <w:tcPr>
            <w:tcW w:type="dxa" w:w="2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All workloads</w:t>
            </w:r>
          </w:p>
        </w:tc>
      </w:tr>
      <w:tr>
        <w:tc>
          <w:tcPr>
            <w:tcW w:type="dxa" w:w="27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Metrics &amp; alerts</w:t>
            </w:r>
          </w:p>
        </w:tc>
        <w:tc>
          <w:tcPr>
            <w:tcW w:type="dxa" w:w="37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Monitor metrics + alert rules</w:t>
            </w:r>
          </w:p>
        </w:tc>
        <w:tc>
          <w:tcPr>
            <w:tcW w:type="dxa" w:w="29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All workloads</w:t>
            </w:r>
          </w:p>
        </w:tc>
      </w:tr>
      <w:tr>
        <w:tc>
          <w:tcPr>
            <w:tcW w:type="dxa" w:w="27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Distributed traces</w:t>
            </w:r>
          </w:p>
        </w:tc>
        <w:tc>
          <w:tcPr>
            <w:tcW w:type="dxa" w:w="37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Application Insights (OpenTelemetry)</w:t>
            </w:r>
          </w:p>
        </w:tc>
        <w:tc>
          <w:tcPr>
            <w:tcW w:type="dxa" w:w="2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All workloads</w:t>
            </w:r>
          </w:p>
        </w:tc>
      </w:tr>
      <w:tr>
        <w:tc>
          <w:tcPr>
            <w:tcW w:type="dxa" w:w="27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Model &amp; data drift</w:t>
            </w:r>
          </w:p>
        </w:tc>
        <w:tc>
          <w:tcPr>
            <w:tcW w:type="dxa" w:w="37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ML monitoring</w:t>
            </w:r>
          </w:p>
        </w:tc>
        <w:tc>
          <w:tcPr>
            <w:tcW w:type="dxa" w:w="29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MLOps</w:t>
            </w:r>
          </w:p>
        </w:tc>
      </w:tr>
      <w:tr>
        <w:tc>
          <w:tcPr>
            <w:tcW w:type="dxa" w:w="27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Quality, safety &amp; token cost</w:t>
            </w:r>
          </w:p>
        </w:tc>
        <w:tc>
          <w:tcPr>
            <w:tcW w:type="dxa" w:w="37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Foundry evaluation + App Insights</w:t>
            </w:r>
          </w:p>
        </w:tc>
        <w:tc>
          <w:tcPr>
            <w:tcW w:type="dxa" w:w="2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GenAIOps</w:t>
            </w:r>
          </w:p>
        </w:tc>
      </w:tr>
    </w:tbl>
    <w:p>
      <w:pPr>
        <w:pStyle w:val="ListParagraph"/>
        <w:numPr>
          <w:ilvl w:val="0"/>
          <w:numId w:val="2"/>
        </w:numPr>
        <w:spacing w:after="80" w:line="268"/>
      </w:pPr>
      <w:r>
        <w:t xml:space="preserve">Define service-level objectives (SLOs) per workload and alert on error budgets, not just raw errors.</w:t>
      </w:r>
    </w:p>
    <w:p>
      <w:pPr>
        <w:pStyle w:val="ListParagraph"/>
        <w:numPr>
          <w:ilvl w:val="0"/>
          <w:numId w:val="2"/>
        </w:numPr>
        <w:spacing w:after="80" w:line="268"/>
      </w:pPr>
      <w:r>
        <w:t xml:space="preserve">For AI workloads, dashboard token consumption and cost per feature so spend is attributable and controllable.</w:t>
      </w:r>
    </w:p>
    <w:p>
      <w:pPr>
        <w:pStyle w:val="Heading1"/>
      </w:pPr>
      <w:r>
        <w:t xml:space="preserve">14.  Required Configurations &amp; Prerequisites</w:t>
      </w:r>
    </w:p>
    <w:p>
      <w:pPr>
        <w:spacing w:after="140" w:line="276"/>
      </w:pPr>
      <w:r>
        <w:t xml:space="preserve">This checklist is the platform team's setup work before application teams onboard. It is ordered so that each item builds on the previous.</w:t>
      </w:r>
    </w:p>
    <w:p>
      <w:pPr>
        <w:pStyle w:val="Heading2"/>
      </w:pPr>
      <w:r>
        <w:t xml:space="preserve">14.1  Platform prerequisites</w:t>
      </w:r>
    </w:p>
    <w:p>
      <w:pPr>
        <w:pStyle w:val="ListParagraph"/>
        <w:numPr>
          <w:ilvl w:val="0"/>
          <w:numId w:val="4"/>
        </w:numPr>
        <w:spacing w:after="80" w:line="268"/>
      </w:pPr>
      <w:r>
        <w:t xml:space="preserve">Azure subscription structure with separate non-prod and prod, under a CAF management-group hierarchy.</w:t>
      </w:r>
    </w:p>
    <w:p>
      <w:pPr>
        <w:pStyle w:val="ListParagraph"/>
        <w:numPr>
          <w:ilvl w:val="0"/>
          <w:numId w:val="4"/>
        </w:numPr>
        <w:spacing w:after="80" w:line="268"/>
      </w:pPr>
      <w:r>
        <w:t xml:space="preserve">Microsoft Entra tenant configured; groups and RBAC role assignments defined; Privileged Identity Management enabled.</w:t>
      </w:r>
    </w:p>
    <w:p>
      <w:pPr>
        <w:pStyle w:val="ListParagraph"/>
        <w:numPr>
          <w:ilvl w:val="0"/>
          <w:numId w:val="4"/>
        </w:numPr>
        <w:spacing w:after="80" w:line="268"/>
      </w:pPr>
      <w:r>
        <w:t xml:space="preserve">Landing zone deployed via the CAF accelerator (Bicep/AVM or Terraform), including hub networking, policy, and central logging.</w:t>
      </w:r>
    </w:p>
    <w:p>
      <w:pPr>
        <w:pStyle w:val="ListParagraph"/>
        <w:numPr>
          <w:ilvl w:val="0"/>
          <w:numId w:val="4"/>
        </w:numPr>
        <w:spacing w:after="80" w:line="268"/>
      </w:pPr>
      <w:r>
        <w:t xml:space="preserve">Private DNS zones provisioned — including the Azure AI Foundry zones (e.g. services.ai.azure.com) — before any AI workload deploys.</w:t>
      </w:r>
    </w:p>
    <w:p>
      <w:pPr>
        <w:pStyle w:val="ListParagraph"/>
        <w:numPr>
          <w:ilvl w:val="0"/>
          <w:numId w:val="4"/>
        </w:numPr>
        <w:spacing w:after="80" w:line="268"/>
      </w:pPr>
      <w:r>
        <w:t xml:space="preserve">Azure Key Vault, Azure Container Registry, and Log Analytics workspace provisioned per environment.</w:t>
      </w:r>
    </w:p>
    <w:p>
      <w:pPr>
        <w:pStyle w:val="Heading2"/>
      </w:pPr>
      <w:r>
        <w:t xml:space="preserve">14.2  DevOps prerequisites</w:t>
      </w:r>
    </w:p>
    <w:p>
      <w:pPr>
        <w:pStyle w:val="ListParagraph"/>
        <w:numPr>
          <w:ilvl w:val="0"/>
          <w:numId w:val="5"/>
        </w:numPr>
        <w:spacing w:after="80" w:line="268"/>
      </w:pPr>
      <w:r>
        <w:t xml:space="preserve">Azure DevOps organisation and project with Repos and Pipelines enabled; branch policies configured on main.</w:t>
      </w:r>
    </w:p>
    <w:p>
      <w:pPr>
        <w:pStyle w:val="ListParagraph"/>
        <w:numPr>
          <w:ilvl w:val="0"/>
          <w:numId w:val="5"/>
        </w:numPr>
        <w:spacing w:after="80" w:line="268"/>
      </w:pPr>
      <w:r>
        <w:t xml:space="preserve">Pipeline service connections using workload identity federation, one per environment, least-privilege scoped.</w:t>
      </w:r>
    </w:p>
    <w:p>
      <w:pPr>
        <w:pStyle w:val="ListParagraph"/>
        <w:numPr>
          <w:ilvl w:val="0"/>
          <w:numId w:val="5"/>
        </w:numPr>
        <w:spacing w:after="80" w:line="268"/>
      </w:pPr>
      <w:r>
        <w:t xml:space="preserve">Shared pipeline template repository published by the platform team (build, scan, deploy templates).</w:t>
      </w:r>
    </w:p>
    <w:p>
      <w:pPr>
        <w:pStyle w:val="ListParagraph"/>
        <w:numPr>
          <w:ilvl w:val="0"/>
          <w:numId w:val="5"/>
        </w:numPr>
        <w:spacing w:after="80" w:line="268"/>
      </w:pPr>
      <w:r>
        <w:t xml:space="preserve">Azure Pipelines Environments created for each target with approval and security checks attached.</w:t>
      </w:r>
    </w:p>
    <w:p>
      <w:pPr>
        <w:pStyle w:val="Heading2"/>
      </w:pPr>
      <w:r>
        <w:t xml:space="preserve">14.3  AI / ML prerequisites</w:t>
      </w:r>
    </w:p>
    <w:p>
      <w:pPr>
        <w:pStyle w:val="ListParagraph"/>
        <w:numPr>
          <w:ilvl w:val="0"/>
          <w:numId w:val="6"/>
        </w:numPr>
        <w:spacing w:after="80" w:line="268"/>
      </w:pPr>
      <w:r>
        <w:t xml:space="preserve">Azure Machine Learning workspace provisioned by IaC, with managed compute and managed identity.</w:t>
      </w:r>
    </w:p>
    <w:p>
      <w:pPr>
        <w:pStyle w:val="ListParagraph"/>
        <w:numPr>
          <w:ilvl w:val="0"/>
          <w:numId w:val="6"/>
        </w:numPr>
        <w:spacing w:after="80" w:line="268"/>
      </w:pPr>
      <w:r>
        <w:t xml:space="preserve">MLflow tracking configured against the workspace as the experiment-tracking standard.</w:t>
      </w:r>
    </w:p>
    <w:p>
      <w:pPr>
        <w:pStyle w:val="ListParagraph"/>
        <w:numPr>
          <w:ilvl w:val="0"/>
          <w:numId w:val="6"/>
        </w:numPr>
        <w:spacing w:after="80" w:line="268"/>
      </w:pPr>
      <w:r>
        <w:t xml:space="preserve">Azure AI Foundry project provisioned, with the required model deployments and Azure AI Search for RAG where needed.</w:t>
      </w:r>
    </w:p>
    <w:p>
      <w:pPr>
        <w:pStyle w:val="ListParagraph"/>
        <w:numPr>
          <w:ilvl w:val="0"/>
          <w:numId w:val="6"/>
        </w:numPr>
        <w:spacing w:after="80" w:line="268"/>
      </w:pPr>
      <w:r>
        <w:t xml:space="preserve">Evaluation datasets, quality thresholds, and content-safety policy defined and versioned.</w:t>
      </w:r>
    </w:p>
    <w:p>
      <w:pPr>
        <w:pStyle w:val="ListParagraph"/>
        <w:numPr>
          <w:ilvl w:val="0"/>
          <w:numId w:val="6"/>
        </w:numPr>
        <w:spacing w:after="80" w:line="268"/>
      </w:pPr>
      <w:r>
        <w:t xml:space="preserve">Orchestration standardised on the Microsoft Agent Framework for new GenAI work.</w:t>
      </w:r>
    </w:p>
    <w:p>
      <w:pPr>
        <w:pStyle w:val="Heading1"/>
      </w:pPr>
      <w:r>
        <w:t xml:space="preserve">15.  Reference Implementations &amp; Documentation</w:t>
      </w:r>
    </w:p>
    <w:p>
      <w:pPr>
        <w:spacing w:after="140" w:line="276"/>
      </w:pPr>
      <w:r>
        <w:t xml:space="preserve">We are not inventing these patterns from scratch. Microsoft publishes production-grade accelerators and architecture guidance that we adopt and customise. The most relevant are below; the MLOps v2 accelerator and the Azure DevOps demo repo are the recommended starting points for the AI track.</w:t>
      </w:r>
    </w:p>
    <w:p>
      <w:pPr>
        <w:pStyle w:val="Heading2"/>
      </w:pPr>
      <w:r>
        <w:t xml:space="preserve">15.1  Solution accelerators (clone &amp; customise)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Resource</w:t>
            </w:r>
          </w:p>
        </w:tc>
        <w:tc>
          <w:tcPr>
            <w:tcW w:type="dxa" w:w="63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What it gives us</w:t>
            </w:r>
          </w:p>
        </w:tc>
      </w:tr>
      <w:tr>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76"/>
            </w:pPr>
            <w:hyperlink w:history="1" r:id="rIdcxbysk1milnns1gtzbcio">
              <w:r>
                <w:rPr>
                  <w:rStyle w:val="Hyperlink"/>
                </w:rPr>
                <w:t xml:space="preserve">Azure/mlops-v2</w:t>
              </w:r>
            </w:hyperlink>
          </w:p>
        </w:tc>
        <w:tc>
          <w:tcPr>
            <w:tcW w:type="dxa" w:w="6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Enterprise-ready, modular end-to-end MLOps templates for Azure ML; GitHub Actions and Azure DevOps variants. Primary accelerator for the MLOps track.</w:t>
            </w:r>
          </w:p>
        </w:tc>
      </w:tr>
      <w:tr>
        <w:tc>
          <w:tcPr>
            <w:tcW w:type="dxa" w:w="3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76"/>
            </w:pPr>
            <w:hyperlink w:history="1" r:id="rIdakngqb3gilcfdsa1jufcs">
              <w:r>
                <w:rPr>
                  <w:rStyle w:val="Hyperlink"/>
                </w:rPr>
                <w:t xml:space="preserve">Azure/mlops-v2-ado-demo</w:t>
              </w:r>
            </w:hyperlink>
          </w:p>
        </w:tc>
        <w:tc>
          <w:tcPr>
            <w:tcW w:type="dxa" w:w="63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The Azure DevOps demo repo referenced by Microsoft's 'Set up MLOps with Azure DevOps' guide — import directly into Azure Repos to bootstrap.</w:t>
            </w:r>
          </w:p>
        </w:tc>
      </w:tr>
      <w:tr>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76"/>
            </w:pPr>
            <w:hyperlink w:history="1" r:id="rIdgqlyvtqe4ta5eatzchz52">
              <w:r>
                <w:rPr>
                  <w:rStyle w:val="Hyperlink"/>
                </w:rPr>
                <w:t xml:space="preserve">Azure/mlops-templates</w:t>
              </w:r>
            </w:hyperlink>
          </w:p>
        </w:tc>
        <w:tc>
          <w:tcPr>
            <w:tcW w:type="dxa" w:w="6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Reusable, repeatable pipeline step templates for Azure DevOps (CLI &amp; SDK) and GitHub Actions.</w:t>
            </w:r>
          </w:p>
        </w:tc>
      </w:tr>
      <w:tr>
        <w:tc>
          <w:tcPr>
            <w:tcW w:type="dxa" w:w="3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76"/>
            </w:pPr>
            <w:hyperlink w:history="1" r:id="rId2w-lokppjuxer2esuruqw">
              <w:r>
                <w:rPr>
                  <w:rStyle w:val="Hyperlink"/>
                </w:rPr>
                <w:t xml:space="preserve">Azure/AI-Landing-Zones</w:t>
              </w:r>
            </w:hyperlink>
          </w:p>
        </w:tc>
        <w:tc>
          <w:tcPr>
            <w:tcW w:type="dxa" w:w="63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Secure, scalable reference architecture and IaC (Bicep/Terraform on AVM) for AI apps and agents built around Azure AI Foundry.</w:t>
            </w:r>
          </w:p>
        </w:tc>
      </w:tr>
      <w:tr>
        <w:tc>
          <w:tcPr>
            <w:tcW w:type="dxa" w:w="3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76"/>
            </w:pPr>
            <w:hyperlink w:history="1" r:id="rIda7kyjm21qsxwaxs2mmqs-">
              <w:r>
                <w:rPr>
                  <w:rStyle w:val="Hyperlink"/>
                </w:rPr>
                <w:t xml:space="preserve">microsoft/azureml-ops-accelerator</w:t>
              </w:r>
            </w:hyperlink>
          </w:p>
        </w:tc>
        <w:tc>
          <w:tcPr>
            <w:tcW w:type="dxa" w:w="6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Documentation-led guided accelerator (patterns + IaC + AML artifacts) for a baseline MLOps implementation, organised by role and project stage.</w:t>
            </w:r>
          </w:p>
        </w:tc>
      </w:tr>
      <w:tr>
        <w:tc>
          <w:tcPr>
            <w:tcW w:type="dxa" w:w="30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76"/>
            </w:pPr>
            <w:hyperlink w:history="1" r:id="rIdxogc1nsclcmvdubinr7ye">
              <w:r>
                <w:rPr>
                  <w:rStyle w:val="Hyperlink"/>
                </w:rPr>
                <w:t xml:space="preserve">microsoft/MLOpsPython</w:t>
              </w:r>
            </w:hyperlink>
          </w:p>
        </w:tc>
        <w:tc>
          <w:tcPr>
            <w:tcW w:type="dxa" w:w="63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Classic reference for CI/CD and a retraining pipeline for Python models on Azure DevOps + Azure ML.</w:t>
            </w:r>
          </w:p>
        </w:tc>
      </w:tr>
    </w:tbl>
    <w:p>
      <w:pPr>
        <w:pStyle w:val="Heading2"/>
      </w:pPr>
      <w:r>
        <w:t xml:space="preserve">15.2  Microsoft guidance &amp;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Resource</w:t>
            </w:r>
          </w:p>
        </w:tc>
        <w:tc>
          <w:tcPr>
            <w:tcW w:type="dxa" w:w="57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What it covers</w:t>
            </w:r>
          </w:p>
        </w:tc>
      </w:tr>
      <w:tr>
        <w:tc>
          <w:tcPr>
            <w:tcW w:type="dxa" w:w="36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76"/>
            </w:pPr>
            <w:hyperlink w:history="1" r:id="rIdvws_r1ftkxkqp3twnef-p">
              <w:r>
                <w:rPr>
                  <w:rStyle w:val="Hyperlink"/>
                </w:rPr>
                <w:t xml:space="preserve">Set up MLOps with Azure DevOps</w:t>
              </w:r>
            </w:hyperlink>
          </w:p>
        </w:tc>
        <w:tc>
          <w:tcPr>
            <w:tcW w:type="dxa" w:w="57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Step-by-step setup of the MLOps v2 accelerator inside Azure Repos + Pipelines.</w:t>
            </w:r>
          </w:p>
        </w:tc>
      </w:tr>
      <w:tr>
        <w:tc>
          <w:tcPr>
            <w:tcW w:type="dxa" w:w="36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76"/>
            </w:pPr>
            <w:hyperlink w:history="1" r:id="rIdkgtv_5beytoowgyyfg5kt">
              <w:r>
                <w:rPr>
                  <w:rStyle w:val="Hyperlink"/>
                </w:rPr>
                <w:t xml:space="preserve">MLOps &amp; GenAIOps — Well-Architected Framework</w:t>
              </w:r>
            </w:hyperlink>
          </w:p>
        </w:tc>
        <w:tc>
          <w:tcPr>
            <w:tcW w:type="dxa" w:w="57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Authoritative operational practices across the AI lifecycle for both disciplines.</w:t>
            </w:r>
          </w:p>
        </w:tc>
      </w:tr>
      <w:tr>
        <w:tc>
          <w:tcPr>
            <w:tcW w:type="dxa" w:w="36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76"/>
            </w:pPr>
            <w:hyperlink w:history="1" r:id="rIdpl76w9vwb8xgnmhhccuep">
              <w:r>
                <w:rPr>
                  <w:rStyle w:val="Hyperlink"/>
                </w:rPr>
                <w:t xml:space="preserve">GenAIOps for organisations with MLOps investments</w:t>
              </w:r>
            </w:hyperlink>
          </w:p>
        </w:tc>
        <w:tc>
          <w:tcPr>
            <w:tcW w:type="dxa" w:w="57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How to extend an existing MLOps practice to generative AI on Foundry.</w:t>
            </w:r>
          </w:p>
        </w:tc>
      </w:tr>
      <w:tr>
        <w:tc>
          <w:tcPr>
            <w:tcW w:type="dxa" w:w="36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76"/>
            </w:pPr>
            <w:hyperlink w:history="1" r:id="rIdn7_yoygsurvdo1cdysptq">
              <w:r>
                <w:rPr>
                  <w:rStyle w:val="Hyperlink"/>
                </w:rPr>
                <w:t xml:space="preserve">GenAIOps maturity model</w:t>
              </w:r>
            </w:hyperlink>
          </w:p>
        </w:tc>
        <w:tc>
          <w:tcPr>
            <w:tcW w:type="dxa" w:w="57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The maturity ladder we use in Section 16 to assess and advance capability.</w:t>
            </w:r>
          </w:p>
        </w:tc>
      </w:tr>
      <w:tr>
        <w:tc>
          <w:tcPr>
            <w:tcW w:type="dxa" w:w="36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76"/>
            </w:pPr>
            <w:hyperlink w:history="1" r:id="rIdoqhcaomhfetvlfm145gpf">
              <w:r>
                <w:rPr>
                  <w:rStyle w:val="Hyperlink"/>
                </w:rPr>
                <w:t xml:space="preserve">Cloud Adoption Framework — landing zones</w:t>
              </w:r>
            </w:hyperlink>
          </w:p>
        </w:tc>
        <w:tc>
          <w:tcPr>
            <w:tcW w:type="dxa" w:w="57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The foundation for the platform layout in Section 5.</w:t>
            </w:r>
          </w:p>
        </w:tc>
      </w:tr>
      <w:tr>
        <w:tc>
          <w:tcPr>
            <w:tcW w:type="dxa" w:w="36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76"/>
            </w:pPr>
            <w:hyperlink w:history="1" r:id="rIdttqtzl2dus97lz3ge2yv8">
              <w:r>
                <w:rPr>
                  <w:rStyle w:val="Hyperlink"/>
                </w:rPr>
                <w:t xml:space="preserve">Azure Verified Modules</w:t>
              </w:r>
            </w:hyperlink>
          </w:p>
        </w:tc>
        <w:tc>
          <w:tcPr>
            <w:tcW w:type="dxa" w:w="57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The supported IaC building blocks for Bicep and Terraform.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0FB" w:sz="1"/>
              <w:left w:val="single" w:color="2E75B6" w:sz="18"/>
              <w:bottom w:val="single" w:color="EAF0FB" w:sz="1"/>
              <w:right w:val="single" w:color="EAF0FB" w:sz="1"/>
            </w:tcBorders>
            <w:shd w:fill="EAF0FB" w:val="clear"/>
            <w:tcMar>
              <w:top w:type="dxa" w:w="130"/>
              <w:left w:type="dxa" w:w="180"/>
              <w:bottom w:type="dxa" w:w="130"/>
              <w:right w:type="dxa" w:w="160"/>
            </w:tcMar>
          </w:tcPr>
          <w:p>
            <w:pPr>
              <w:spacing w:after="60"/>
            </w:pPr>
            <w:r>
              <w:rPr>
                <w:b/>
                <w:bCs/>
                <w:color w:val="1F3864"/>
                <w:sz w:val="20"/>
                <w:szCs w:val="20"/>
              </w:rPr>
              <w:t xml:space="preserve">Team enablement</w:t>
            </w:r>
          </w:p>
          <w:p>
            <w:pPr>
              <w:spacing w:after="0" w:line="268"/>
            </w:pPr>
            <w:r>
              <w:t xml:space="preserve">Microsoft's </w:t>
            </w:r>
            <w:r>
              <w:rPr>
                <w:b/>
                <w:bCs/>
              </w:rPr>
              <w:t xml:space="preserve">AI-300: Azure Machine Learning Operations Engineer Associate</w:t>
            </w:r>
            <w:r>
              <w:t xml:space="preserve"> certification (and the AI-300T00 course) now covers exactly this scope — MLOps with Azure ML and GenAIOps with Foundry, using IaC, CI/CD, and observability. It is a good structured upskilling target for the AI-track engineers.</w:t>
            </w:r>
          </w:p>
        </w:tc>
      </w:tr>
    </w:tbl>
    <w:p>
      <w:pPr>
        <w:pStyle w:val="Heading1"/>
      </w:pPr>
      <w:r>
        <w:t xml:space="preserve">16.  Maturity Model &amp; Adoption Roadmap</w:t>
      </w:r>
    </w:p>
    <w:p>
      <w:pPr>
        <w:spacing w:after="140" w:line="276"/>
      </w:pPr>
      <w:r>
        <w:t xml:space="preserve">We adopt Microsoft's GenAIOps/MLOps maturity model so progress is measurable rather than aspirational. Teams self-assess and advance one level at a time; the platform team's job is to make the next level the path of least resistance.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Level</w:t>
            </w:r>
          </w:p>
        </w:tc>
        <w:tc>
          <w:tcPr>
            <w:tcW w:type="dxa" w:w="66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Characterised by</w:t>
            </w:r>
          </w:p>
        </w:tc>
      </w:tr>
      <w:tr>
        <w:tc>
          <w:tcPr>
            <w:tcW w:type="dxa" w:w="27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0 – Manual / ad hoc</w:t>
            </w:r>
          </w:p>
        </w:tc>
        <w:tc>
          <w:tcPr>
            <w:tcW w:type="dxa" w:w="66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Notebooks and manual deployments; no versioning of data or models</w:t>
            </w:r>
          </w:p>
        </w:tc>
      </w:tr>
      <w:tr>
        <w:tc>
          <w:tcPr>
            <w:tcW w:type="dxa" w:w="27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1 – Repeatable</w:t>
            </w:r>
          </w:p>
        </w:tc>
        <w:tc>
          <w:tcPr>
            <w:tcW w:type="dxa" w:w="66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Code in Repos, basic CI, manual approvals; some experiment tracking</w:t>
            </w:r>
          </w:p>
        </w:tc>
      </w:tr>
      <w:tr>
        <w:tc>
          <w:tcPr>
            <w:tcW w:type="dxa" w:w="27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2 – Automated</w:t>
            </w:r>
          </w:p>
        </w:tc>
        <w:tc>
          <w:tcPr>
            <w:tcW w:type="dxa" w:w="66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Full CI/CD, IaC, automated training/evaluation gates, environment promotion</w:t>
            </w:r>
          </w:p>
        </w:tc>
      </w:tr>
      <w:tr>
        <w:tc>
          <w:tcPr>
            <w:tcW w:type="dxa" w:w="27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3 – Optimised</w:t>
            </w:r>
          </w:p>
        </w:tc>
        <w:tc>
          <w:tcPr>
            <w:tcW w:type="dxa" w:w="66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Automated retraining/re-evaluation on drift, full lineage, cost &amp; quality monitoring in production</w:t>
            </w:r>
          </w:p>
        </w:tc>
      </w:tr>
    </w:tbl>
    <w:p>
      <w:pPr>
        <w:pStyle w:val="Heading2"/>
      </w:pPr>
      <w:r>
        <w:t xml:space="preserve">16.1  Suggested adoption sequence</w:t>
      </w:r>
    </w:p>
    <w:p>
      <w:pPr>
        <w:pStyle w:val="ListParagraph"/>
        <w:numPr>
          <w:ilvl w:val="0"/>
          <w:numId w:val="7"/>
        </w:numPr>
        <w:spacing w:after="80" w:line="268"/>
      </w:pPr>
      <w:r>
        <w:t xml:space="preserve">Stand up the platform foundation: landing zone, identity, networking, policy, central logging (Section 5, 14.1).</w:t>
      </w:r>
    </w:p>
    <w:p>
      <w:pPr>
        <w:pStyle w:val="ListParagraph"/>
        <w:numPr>
          <w:ilvl w:val="0"/>
          <w:numId w:val="7"/>
        </w:numPr>
        <w:spacing w:after="80" w:line="268"/>
      </w:pPr>
      <w:r>
        <w:t xml:space="preserve">Establish the shared backbone: Repos standards, YAML pipeline templates, environments, workload identity federation (Sections 6–7, 14.2).</w:t>
      </w:r>
    </w:p>
    <w:p>
      <w:pPr>
        <w:pStyle w:val="ListParagraph"/>
        <w:numPr>
          <w:ilvl w:val="0"/>
          <w:numId w:val="7"/>
        </w:numPr>
        <w:spacing w:after="80" w:line="268"/>
      </w:pPr>
      <w:r>
        <w:t xml:space="preserve">Onboard one traditional application end-to-end to prove the backbone (Section 10).</w:t>
      </w:r>
    </w:p>
    <w:p>
      <w:pPr>
        <w:pStyle w:val="ListParagraph"/>
        <w:numPr>
          <w:ilvl w:val="0"/>
          <w:numId w:val="7"/>
        </w:numPr>
        <w:spacing w:after="80" w:line="268"/>
      </w:pPr>
      <w:r>
        <w:t xml:space="preserve">Bootstrap the MLOps track from the mlops-v2 accelerator with one custom model; add MLflow and registration gates (Section 11.2).</w:t>
      </w:r>
    </w:p>
    <w:p>
      <w:pPr>
        <w:pStyle w:val="ListParagraph"/>
        <w:numPr>
          <w:ilvl w:val="0"/>
          <w:numId w:val="7"/>
        </w:numPr>
        <w:spacing w:after="80" w:line="268"/>
      </w:pPr>
      <w:r>
        <w:t xml:space="preserve">Bootstrap the GenAIOps track with one Foundry-backed app on the Agent Framework; add evaluation and safety gates (Section 11.3).</w:t>
      </w:r>
    </w:p>
    <w:p>
      <w:pPr>
        <w:pStyle w:val="ListParagraph"/>
        <w:numPr>
          <w:ilvl w:val="0"/>
          <w:numId w:val="7"/>
        </w:numPr>
        <w:spacing w:after="80" w:line="268"/>
      </w:pPr>
      <w:r>
        <w:t xml:space="preserve">Layer in production monitoring, drift/quality signals, and cost attribution; iterate teams up the maturity ladder (Sections 13, 16).</w:t>
      </w:r>
    </w:p>
    <w:p>
      <w:pPr>
        <w:pStyle w:val="Heading1"/>
      </w:pPr>
      <w:r>
        <w:t xml:space="preserve">17.  Tooling Summary</w:t>
      </w:r>
    </w:p>
    <w:p>
      <w:pPr>
        <w:spacing w:after="140" w:line="276"/>
      </w:pPr>
      <w:r>
        <w:t xml:space="preserve">Consolidated view of the standard toolchain across both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Capability</w:t>
            </w:r>
          </w:p>
        </w:tc>
        <w:tc>
          <w:tcPr>
            <w:tcW w:type="dxa" w:w="61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0"/>
              <w:jc w:val="left"/>
            </w:pPr>
            <w:r>
              <w:rPr>
                <w:b/>
                <w:bCs/>
                <w:color w:val="FFFFFF"/>
                <w:sz w:val="19"/>
                <w:szCs w:val="19"/>
              </w:rPr>
              <w:t xml:space="preserve">Standard tool / service</w:t>
            </w:r>
          </w:p>
        </w:tc>
      </w:tr>
      <w:tr>
        <w:tc>
          <w:tcPr>
            <w:tcW w:type="dxa" w:w="3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Source control</w:t>
            </w:r>
          </w:p>
        </w:tc>
        <w:tc>
          <w:tcPr>
            <w:tcW w:type="dxa" w:w="61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Repos (Git), trunk-based</w:t>
            </w:r>
          </w:p>
        </w:tc>
      </w:tr>
      <w:tr>
        <w:tc>
          <w:tcPr>
            <w:tcW w:type="dxa" w:w="32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CI/CD</w:t>
            </w:r>
          </w:p>
        </w:tc>
        <w:tc>
          <w:tcPr>
            <w:tcW w:type="dxa" w:w="61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Pipelines (YAML, multi-stage, templated)</w:t>
            </w:r>
          </w:p>
        </w:tc>
      </w:tr>
      <w:tr>
        <w:tc>
          <w:tcPr>
            <w:tcW w:type="dxa" w:w="3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Work tracking</w:t>
            </w:r>
          </w:p>
        </w:tc>
        <w:tc>
          <w:tcPr>
            <w:tcW w:type="dxa" w:w="61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Boards (linked to PRs)</w:t>
            </w:r>
          </w:p>
        </w:tc>
      </w:tr>
      <w:tr>
        <w:tc>
          <w:tcPr>
            <w:tcW w:type="dxa" w:w="32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Infrastructure as Code</w:t>
            </w:r>
          </w:p>
        </w:tc>
        <w:tc>
          <w:tcPr>
            <w:tcW w:type="dxa" w:w="61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Bicep + Azure Verified Modules (Terraform alternative)</w:t>
            </w:r>
          </w:p>
        </w:tc>
      </w:tr>
      <w:tr>
        <w:tc>
          <w:tcPr>
            <w:tcW w:type="dxa" w:w="3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Identity</w:t>
            </w:r>
          </w:p>
        </w:tc>
        <w:tc>
          <w:tcPr>
            <w:tcW w:type="dxa" w:w="61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Microsoft Entra; managed identities; workload identity federation</w:t>
            </w:r>
          </w:p>
        </w:tc>
      </w:tr>
      <w:tr>
        <w:tc>
          <w:tcPr>
            <w:tcW w:type="dxa" w:w="32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Secrets</w:t>
            </w:r>
          </w:p>
        </w:tc>
        <w:tc>
          <w:tcPr>
            <w:tcW w:type="dxa" w:w="61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Key Vault (per environment)</w:t>
            </w:r>
          </w:p>
        </w:tc>
      </w:tr>
      <w:tr>
        <w:tc>
          <w:tcPr>
            <w:tcW w:type="dxa" w:w="3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Configuration</w:t>
            </w:r>
          </w:p>
        </w:tc>
        <w:tc>
          <w:tcPr>
            <w:tcW w:type="dxa" w:w="61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App Configuration + feature flags</w:t>
            </w:r>
          </w:p>
        </w:tc>
      </w:tr>
      <w:tr>
        <w:tc>
          <w:tcPr>
            <w:tcW w:type="dxa" w:w="32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Container registry</w:t>
            </w:r>
          </w:p>
        </w:tc>
        <w:tc>
          <w:tcPr>
            <w:tcW w:type="dxa" w:w="61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Container Registry</w:t>
            </w:r>
          </w:p>
        </w:tc>
      </w:tr>
      <w:tr>
        <w:tc>
          <w:tcPr>
            <w:tcW w:type="dxa" w:w="3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Compute (traditional)</w:t>
            </w:r>
          </w:p>
        </w:tc>
        <w:tc>
          <w:tcPr>
            <w:tcW w:type="dxa" w:w="61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Container Apps (default); App Service; AKS</w:t>
            </w:r>
          </w:p>
        </w:tc>
      </w:tr>
      <w:tr>
        <w:tc>
          <w:tcPr>
            <w:tcW w:type="dxa" w:w="32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ML platform</w:t>
            </w:r>
          </w:p>
        </w:tc>
        <w:tc>
          <w:tcPr>
            <w:tcW w:type="dxa" w:w="61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Machine Learning + MLflow</w:t>
            </w:r>
          </w:p>
        </w:tc>
      </w:tr>
      <w:tr>
        <w:tc>
          <w:tcPr>
            <w:tcW w:type="dxa" w:w="3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GenAI platform</w:t>
            </w:r>
          </w:p>
        </w:tc>
        <w:tc>
          <w:tcPr>
            <w:tcW w:type="dxa" w:w="61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AI Foundry + Microsoft Agent Framework</w:t>
            </w:r>
          </w:p>
        </w:tc>
      </w:tr>
      <w:tr>
        <w:tc>
          <w:tcPr>
            <w:tcW w:type="dxa" w:w="32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RAG / search</w:t>
            </w:r>
          </w:p>
        </w:tc>
        <w:tc>
          <w:tcPr>
            <w:tcW w:type="dxa" w:w="61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AI Search</w:t>
            </w:r>
          </w:p>
        </w:tc>
      </w:tr>
      <w:tr>
        <w:tc>
          <w:tcPr>
            <w:tcW w:type="dxa" w:w="3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Security posture</w:t>
            </w:r>
          </w:p>
        </w:tc>
        <w:tc>
          <w:tcPr>
            <w:tcW w:type="dxa" w:w="61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0"/>
              <w:jc w:val="left"/>
            </w:pPr>
            <w:r>
              <w:rPr>
                <w:b w:val="false"/>
                <w:bCs w:val="false"/>
                <w:color w:val="000000"/>
                <w:sz w:val="19"/>
                <w:szCs w:val="19"/>
              </w:rPr>
              <w:t xml:space="preserve">Microsoft Defender for Cloud / for DevOps</w:t>
            </w:r>
          </w:p>
        </w:tc>
      </w:tr>
      <w:tr>
        <w:tc>
          <w:tcPr>
            <w:tcW w:type="dxa" w:w="320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Observability</w:t>
            </w:r>
          </w:p>
        </w:tc>
        <w:tc>
          <w:tcPr>
            <w:tcW w:type="dxa" w:w="6160"/>
            <w:tcBorders>
              <w:top w:val="single" w:color="BFBFBF" w:sz="1"/>
              <w:left w:val="single" w:color="BFBFBF" w:sz="1"/>
              <w:bottom w:val="single" w:color="BFBFBF" w:sz="1"/>
              <w:right w:val="single" w:color="BFBFBF" w:sz="1"/>
            </w:tcBorders>
            <w:shd w:fill="F2F5FB"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Azure Monitor, Log Analytics, Application Insights</w:t>
            </w:r>
          </w:p>
        </w:tc>
      </w:tr>
    </w:tbl>
    <w:p>
      <w:pPr>
        <w:spacing w:after="160"/>
      </w:pPr>
    </w:p>
    <w:p>
      <w:pPr>
        <w:pBdr>
          <w:top w:val="single" w:color="2E75B6" w:sz="6" w:space="6"/>
        </w:pBdr>
        <w:spacing w:after="0" w:before="120"/>
      </w:pPr>
      <w:r>
        <w:rPr>
          <w:i/>
          <w:iCs/>
          <w:color w:val="595959"/>
          <w:sz w:val="18"/>
          <w:szCs w:val="18"/>
        </w:rPr>
        <w:t xml:space="preserve">End of document — v1.0, June 2026. Prepared for management review and platform adoption.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360"/>
      </w:tabs>
    </w:pPr>
    <w:r>
      <w:rPr>
        <w:color w:val="595959"/>
        <w:sz w:val="16"/>
        <w:szCs w:val="16"/>
      </w:rPr>
      <w:t xml:space="preserve">Internal — For management review</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360"/>
      </w:tabs>
      <w:spacing w:after="0"/>
    </w:pPr>
    <w:r>
      <w:rPr>
        <w:color w:val="595959"/>
        <w:sz w:val="16"/>
        <w:szCs w:val="16"/>
      </w:rPr>
      <w:t xml:space="preserve">DevOps &amp; MLOps Standards and Best Practices</w:t>
    </w:r>
    <w:r>
      <w:rPr>
        <w:color w:val="595959"/>
        <w:sz w:val="16"/>
        <w:szCs w:val="16"/>
      </w:rPr>
      <w:t xml:space="preserve">	Azure Platform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color w:val="2E75B6"/>
      </w:r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2F3" w:sz="8"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9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xbysk1milnns1gtzbcio" Type="http://schemas.openxmlformats.org/officeDocument/2006/relationships/hyperlink" Target="https://github.com/Azure/mlops-v2" TargetMode="External"/><Relationship Id="rIdakngqb3gilcfdsa1jufcs" Type="http://schemas.openxmlformats.org/officeDocument/2006/relationships/hyperlink" Target="https://github.com/Azure/mlops-v2-ado-demo" TargetMode="External"/><Relationship Id="rIdgqlyvtqe4ta5eatzchz52" Type="http://schemas.openxmlformats.org/officeDocument/2006/relationships/hyperlink" Target="https://github.com/Azure/mlops-templates" TargetMode="External"/><Relationship Id="rId2w-lokppjuxer2esuruqw" Type="http://schemas.openxmlformats.org/officeDocument/2006/relationships/hyperlink" Target="https://github.com/Azure/AI-Landing-Zones" TargetMode="External"/><Relationship Id="rIda7kyjm21qsxwaxs2mmqs-" Type="http://schemas.openxmlformats.org/officeDocument/2006/relationships/hyperlink" Target="https://github.com/microsoft/azureml-ops-accelerator" TargetMode="External"/><Relationship Id="rIdxogc1nsclcmvdubinr7ye" Type="http://schemas.openxmlformats.org/officeDocument/2006/relationships/hyperlink" Target="https://github.com/microsoft/MLOpsPython" TargetMode="External"/><Relationship Id="rIdvws_r1ftkxkqp3twnef-p" Type="http://schemas.openxmlformats.org/officeDocument/2006/relationships/hyperlink" Target="https://learn.microsoft.com/azure/machine-learning/how-to-setup-mlops-azureml" TargetMode="External"/><Relationship Id="rIdkgtv_5beytoowgyyfg5kt" Type="http://schemas.openxmlformats.org/officeDocument/2006/relationships/hyperlink" Target="https://learn.microsoft.com/azure/well-architected/ai/mlops-genaiops" TargetMode="External"/><Relationship Id="rIdpl76w9vwb8xgnmhhccuep" Type="http://schemas.openxmlformats.org/officeDocument/2006/relationships/hyperlink" Target="https://learn.microsoft.com/azure/architecture/ai-ml/guide/genaiops-for-mlops" TargetMode="External"/><Relationship Id="rIdn7_yoygsurvdo1cdysptq" Type="http://schemas.openxmlformats.org/officeDocument/2006/relationships/hyperlink" Target="https://learn.microsoft.com/azure/machine-learning/prompt-flow/concept-llmops-maturity" TargetMode="External"/><Relationship Id="rIdoqhcaomhfetvlfm145gpf" Type="http://schemas.openxmlformats.org/officeDocument/2006/relationships/hyperlink" Target="https://learn.microsoft.com/azure/cloud-adoption-framework/ready/landing-zone/" TargetMode="External"/><Relationship Id="rIdttqtzl2dus97lz3ge2yv8" Type="http://schemas.openxmlformats.org/officeDocument/2006/relationships/hyperlink" Target="https://azure.github.io/Azure-Verified-Modules/"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&amp; MLOps Standards and Best Practices</dc:title>
  <dc:creator>MLOps Lead</dc:creator>
  <cp:lastModifiedBy>Un-named</cp:lastModifiedBy>
  <cp:revision>1</cp:revision>
  <dcterms:created xsi:type="dcterms:W3CDTF">2026-06-08T15:04:23.701Z</dcterms:created>
  <dcterms:modified xsi:type="dcterms:W3CDTF">2026-06-08T15:04:23.701Z</dcterms:modified>
</cp:coreProperties>
</file>

<file path=docProps/custom.xml><?xml version="1.0" encoding="utf-8"?>
<Properties xmlns="http://schemas.openxmlformats.org/officeDocument/2006/custom-properties" xmlns:vt="http://schemas.openxmlformats.org/officeDocument/2006/docPropsVTypes"/>
</file>