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Plan - Riverside General Hospital</w:t>
      </w:r>
    </w:p>
    <w:p>
      <w:r>
        <w:t>Account plan for Riverside General Hospital, Boston MA. Owner: account team East.</w:t>
      </w:r>
    </w:p>
    <w:p>
      <w:pPr>
        <w:pStyle w:val="Heading1"/>
      </w:pPr>
      <w:r>
        <w:t>Key facts</w:t>
      </w:r>
    </w:p>
    <w:p>
      <w:r>
        <w:t>Riverside's formulary committee meets on the first Tuesday of each quarter. Procurement requires three weeks to review contracts above $100,000.</w:t>
      </w:r>
    </w:p>
    <w:p>
      <w:pPr>
        <w:pStyle w:val="Heading1"/>
      </w:pPr>
      <w:r>
        <w:t>Current priorities</w:t>
      </w:r>
    </w:p>
    <w:p>
      <w:r>
        <w:t>Oncology Formulary Listing: target the January committee. Close Date should match that meeting date.</w:t>
      </w:r>
    </w:p>
    <w:p>
      <w:pPr>
        <w:pStyle w:val="Heading1"/>
      </w:pPr>
      <w:r>
        <w:t>Next steps</w:t>
      </w:r>
    </w:p>
    <w:p>
      <w:r>
        <w:t>Schedule a Value Proposition meeting with the Head of Pharmacy and submit the formulary dossier two weeks before the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Plan - Riverside General Hospital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