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Close Date and Forecasting Policy</w:t>
      </w:r>
    </w:p>
    <w:p>
      <w:r>
        <w:t>Version 2.0, owned by Sales Operations and Finance.</w:t>
      </w:r>
    </w:p>
    <w:p>
      <w:pPr>
        <w:pStyle w:val="Heading1"/>
      </w:pPr>
      <w:r>
        <w:t>What Close Date means</w:t>
      </w:r>
    </w:p>
    <w:p>
      <w:r>
        <w:t>Close Date is the date you expect the contract to be signed or the formulary listing to be approved. It is required on every Opportunity and decides which forecast quarter the deal counts in.</w:t>
      </w:r>
    </w:p>
    <w:p>
      <w:pPr>
        <w:pStyle w:val="Heading1"/>
      </w:pPr>
      <w:r>
        <w:t>Rules for open Opportunities</w:t>
      </w:r>
    </w:p>
    <w:p>
      <w:r>
        <w:t>An open Opportunity must never have a Close Date in the past. If the expected date passes, update the Close Date before your weekly forecast call and add a note in Next Step explaining the delay. Opportunities with past Close Dates are flagged as overdue in the pipeline report.</w:t>
      </w:r>
    </w:p>
    <w:p>
      <w:pPr>
        <w:pStyle w:val="Heading1"/>
      </w:pPr>
      <w:r>
        <w:t>Choosing a realistic date</w:t>
      </w:r>
    </w:p>
    <w:p>
      <w:r>
        <w:t>Use the date of the next formulary committee meeting when a listing is required; otherwise use the procurement sign-off date agreed with the buyer. Do not use the last day of the quarter as a placeholder.</w:t>
      </w:r>
    </w:p>
    <w:p>
      <w:pPr>
        <w:pStyle w:val="Heading1"/>
      </w:pPr>
      <w:r>
        <w:t>Closed Opportunities</w:t>
      </w:r>
    </w:p>
    <w:p>
      <w:r>
        <w:t>When you mark an Opportunity Closed Won or Closed Lost, set the Close Date to the actual signature or decision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 Date and Forecasting Policy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