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 scan this QR Code to view this Oconnor-Ortega)</w:t>
      </w:r>
      <w:r>
        <w:rPr>
          <w:i w:val="1"/>
          <w:iCs w:val="1"/>
          <w:spacing w:val="-5"/>
          <w:sz w:val="20"/>
          <w:szCs w:val="20"/>
          <w:rtl w:val="0"/>
        </w:rPr>
      </w:r>
      <w:r>
        <w:rPr>
          <w:i w:val="1"/>
          <w:iCs w:val="1"/>
          <w:sz w:val="20"/>
          <w:szCs w:val="20"/>
          <w:rtl w:val="0"/>
          <w:lang w:val="it-IT"/>
        </w:rPr>
      </w:r>
      <w:r>
        <w:rPr>
          <w:i w:val="1"/>
          <w:iCs w:val="1"/>
          <w:spacing w:val="-5"/>
          <w:sz w:val="20"/>
          <w:szCs w:val="20"/>
          <w:rtl w:val="0"/>
        </w:rPr>
      </w:r>
      <w:r>
        <w:rPr>
          <w:i w:val="1"/>
          <w:iCs w:val="1"/>
          <w:sz w:val="20"/>
          <w:szCs w:val="20"/>
          <w:rtl w:val="0"/>
          <w:lang w:val="en-US"/>
        </w:rPr>
      </w:r>
      <w:r>
        <w:rPr>
          <w:i w:val="1"/>
          <w:iCs w:val="1"/>
          <w:spacing w:val="-7"/>
          <w:sz w:val="20"/>
          <w:szCs w:val="20"/>
          <w:rtl w:val="0"/>
        </w:rPr>
      </w:r>
      <w:r>
        <w:rPr>
          <w:i w:val="1"/>
          <w:iCs w:val="1"/>
          <w:sz w:val="20"/>
          <w:szCs w:val="20"/>
          <w:rtl w:val="0"/>
          <w:lang w:val="it-IT"/>
        </w:rPr>
      </w:r>
      <w:r>
        <w:rPr>
          <w:i w:val="1"/>
          <w:iCs w:val="1"/>
          <w:spacing w:val="-5"/>
          <w:sz w:val="20"/>
          <w:szCs w:val="20"/>
          <w:rtl w:val="0"/>
        </w:rPr>
      </w:r>
      <w:r>
        <w:rPr>
          <w:i w:val="1"/>
          <w:iCs w:val="1"/>
          <w:sz w:val="20"/>
          <w:szCs w:val="20"/>
          <w:rtl w:val="0"/>
        </w:rPr>
      </w:r>
      <w:r>
        <w:rPr>
          <w:i w:val="1"/>
          <w:iCs w:val="1"/>
          <w:spacing w:val="-5"/>
          <w:sz w:val="20"/>
          <w:szCs w:val="20"/>
          <w:rtl w:val="0"/>
        </w:rPr>
      </w:r>
      <w:r>
        <w:rPr>
          <w:i w:val="1"/>
          <w:iCs w:val="1"/>
          <w:sz w:val="20"/>
          <w:szCs w:val="20"/>
          <w:rtl w:val="0"/>
        </w:rPr>
      </w:r>
      <w:r>
        <w:rPr>
          <w:i w:val="1"/>
          <w:iCs w:val="1"/>
          <w:spacing w:val="-7"/>
          <w:sz w:val="20"/>
          <w:szCs w:val="20"/>
          <w:rtl w:val="0"/>
        </w:rPr>
      </w:r>
      <w:r>
        <w:rPr>
          <w:i w:val="1"/>
          <w:iCs w:val="1"/>
          <w:sz w:val="20"/>
          <w:szCs w:val="20"/>
          <w:rtl w:val="0"/>
          <w:lang w:val="en-US"/>
        </w:rPr>
      </w:r>
      <w:r>
        <w:rPr>
          <w:i w:val="1"/>
          <w:iCs w:val="1"/>
          <w:spacing w:val="-7"/>
          <w:sz w:val="20"/>
          <w:szCs w:val="20"/>
          <w:rtl w:val="0"/>
        </w:rPr>
      </w:r>
      <w:r>
        <w:rPr>
          <w:i w:val="1"/>
          <w:iCs w:val="1"/>
          <w:sz w:val="20"/>
          <w:szCs w:val="20"/>
          <w:rtl w:val="0"/>
          <w:lang w:val="en-US"/>
        </w:rPr>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Oconnor-Ortega</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Solis-Davis CORPORATE IDENTITY NUMBER: U28129PN1979PLC141032</w:t>
      </w:r>
      <w:r>
        <w:rPr>
          <w:spacing w:val="0"/>
          <w:rtl w:val="0"/>
        </w:rPr>
      </w:r>
      <w:r>
        <w:rPr>
          <w:rtl w:val="0"/>
          <w:lang w:val="en-US"/>
        </w:rPr>
      </w:r>
      <w:r>
        <w:rPr>
          <w:spacing w:val="0"/>
          <w:rtl w:val="0"/>
        </w:rPr>
      </w:r>
      <w:r>
        <w:rPr>
          <w:rtl w:val="0"/>
          <w:lang w:val="de-DE"/>
        </w:rPr>
      </w:r>
      <w:r>
        <w:rPr>
          <w:b w:val="0"/>
          <w:bCs w:val="0"/>
          <w:rtl w:val="0"/>
        </w:rPr>
      </w:r>
      <w:r>
        <w:rPr>
          <w:b w:val="0"/>
          <w:bCs w:val="0"/>
          <w:spacing w:val="0"/>
          <w:rtl w:val="0"/>
        </w:rPr>
      </w:r>
      <w:r>
        <w:rPr>
          <w:rtl w:val="0"/>
        </w:rPr>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Montes PLC</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Griffin, Leonard and Hernandez</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Smith, Spencer and Parsons Patricia Gill – 410 501</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 Taylor, Mendoza and Bryant, Klein-Stewart, Off Pallod Farms, Zachary Booth – 411 045</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Dr. Nicole Ford Secretary and Compliance Officer</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r>
            <w:r>
              <w:rPr>
                <w:i w:val="1"/>
                <w:iCs w:val="1"/>
                <w:sz w:val="20"/>
                <w:szCs w:val="20"/>
                <w:shd w:val="nil" w:color="auto" w:fill="auto"/>
                <w:rtl w:val="0"/>
                <w:lang w:val="en-US"/>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nancy79@example.net Telephone: 001-907-874-0205x8643</w:t>
            </w:r>
            <w:r>
              <w:rPr>
                <w:spacing w:val="-1"/>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Gina Green, Rachel Robertson, David Webb, Bryan Foster, Li Inc, Garcia LLC, Butler, Terry and Ellison, Clark-French, Gonzales-Edwards, Taylor, Edwards and Rasmussen, Short-Daniels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Ariel Wyatt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 OF Hoffman Inc</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tab/>
              <w:t>OF</w:t>
              <w:tab/>
              <w:t>Martinez Inc</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Fresh Issue and Gonzales-Herring Sale</w:t>
            </w:r>
            <w:r>
              <w:rPr>
                <w:rStyle w:val="None"/>
                <w:spacing w:val="-3"/>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 Tate Inc of face value of ₹5 each aggregating   up   to</w:t>
            </w:r>
            <w:r>
              <w:rPr>
                <w:rStyle w:val="None"/>
                <w:sz w:val="20"/>
                <w:szCs w:val="20"/>
                <w:shd w:val="nil" w:color="auto" w:fill="auto"/>
                <w:rtl w:val="0"/>
                <w:lang w:val="en-US"/>
              </w:rPr>
            </w:r>
            <w:r>
              <w:rPr>
                <w:rStyle w:val="None"/>
                <w:sz w:val="20"/>
                <w:szCs w:val="20"/>
                <w:shd w:val="nil" w:color="auto" w:fill="auto"/>
                <w:rtl w:val="0"/>
                <w:lang w:val="en-US"/>
              </w:rPr>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6"/>
                <w:sz w:val="20"/>
                <w:szCs w:val="20"/>
                <w:shd w:val="nil" w:color="auto" w:fill="auto"/>
                <w:rtl w:val="0"/>
                <w:lang w:val="en-US"/>
              </w:rPr>
            </w:r>
            <w:r>
              <w:rPr>
                <w:rStyle w:val="None"/>
                <w:sz w:val="20"/>
                <w:szCs w:val="20"/>
                <w:shd w:val="nil" w:color="auto" w:fill="auto"/>
                <w:rtl w:val="0"/>
                <w:lang w:val="en-US"/>
              </w:rPr>
            </w:r>
            <w:r>
              <w:rPr>
                <w:rStyle w:val="None"/>
                <w:spacing w:val="76"/>
                <w:sz w:val="20"/>
                <w:szCs w:val="20"/>
                <w:shd w:val="nil" w:color="auto" w:fill="auto"/>
                <w:rtl w:val="0"/>
                <w:lang w:val="en-US"/>
              </w:rPr>
            </w:r>
            <w:r>
              <w:rPr>
                <w:rStyle w:val="None"/>
                <w:spacing w:val="-5"/>
                <w:sz w:val="20"/>
                <w:szCs w:val="20"/>
                <w:shd w:val="nil" w:color="auto" w:fill="auto"/>
                <w:rtl w:val="0"/>
                <w:lang w:val="en-US"/>
              </w:rPr>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 Tate Inc of face value of ₹5 each aggregating up to</w:t>
            </w:r>
            <w:r>
              <w:rPr>
                <w:rStyle w:val="None"/>
                <w:sz w:val="20"/>
                <w:szCs w:val="20"/>
                <w:shd w:val="nil" w:color="auto" w:fill="auto"/>
                <w:rtl w:val="0"/>
                <w:lang w:val="en-US"/>
              </w:rPr>
            </w:r>
            <w:r>
              <w:rPr>
                <w:rStyle w:val="None"/>
                <w:sz w:val="20"/>
                <w:szCs w:val="20"/>
                <w:shd w:val="nil" w:color="auto" w:fill="auto"/>
                <w:rtl w:val="0"/>
                <w:lang w:val="en-US"/>
              </w:rPr>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46"/>
                <w:sz w:val="20"/>
                <w:szCs w:val="20"/>
                <w:shd w:val="nil" w:color="auto" w:fill="auto"/>
                <w:rtl w:val="0"/>
                <w:lang w:val="en-US"/>
              </w:rPr>
            </w:r>
            <w:r>
              <w:rPr>
                <w:rStyle w:val="None"/>
                <w:sz w:val="20"/>
                <w:szCs w:val="20"/>
                <w:shd w:val="nil" w:color="auto" w:fill="auto"/>
                <w:rtl w:val="0"/>
                <w:lang w:val="en-US"/>
              </w:rPr>
            </w:r>
            <w:r>
              <w:rPr>
                <w:rStyle w:val="None"/>
                <w:spacing w:val="46"/>
                <w:sz w:val="20"/>
                <w:szCs w:val="20"/>
                <w:shd w:val="nil" w:color="auto" w:fill="auto"/>
                <w:rtl w:val="0"/>
                <w:lang w:val="en-US"/>
              </w:rPr>
            </w:r>
            <w:r>
              <w:rPr>
                <w:rStyle w:val="None"/>
                <w:spacing w:val="-5"/>
                <w:sz w:val="20"/>
                <w:szCs w:val="20"/>
                <w:shd w:val="nil" w:color="auto" w:fill="auto"/>
                <w:rtl w:val="0"/>
                <w:lang w:val="en-US"/>
              </w:rPr>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Rose PLC (Alvarez-Russell and Disclosure Requirements) Regulations, 2018 (“SEBI ICDR Regulations”). For further details, see “Other Regulatory and Statutory Disclosures – Eligibility for the Offer” on page 398. For details of share reservation among Fowler, Klein and Green, Velasquez-Ramirez Retail Individual</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r>
            <w:r>
              <w:rPr>
                <w:rStyle w:val="None"/>
                <w:sz w:val="20"/>
                <w:szCs w:val="20"/>
                <w:shd w:val="nil" w:color="auto" w:fill="auto"/>
                <w:rtl w:val="0"/>
                <w:lang w:val="en-US"/>
              </w:rPr>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 OF Obrien-Moore, Gonzales-Herring SALE AND WEIGHTED AVERAGE COST OF ACQUISITION PER Horn-Owens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tab/>
              <w:t>OF</w:t>
              <w:tab/>
              <w:t>Beard Ltd</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b w:val="1"/>
                <w:bCs w:val="1"/>
                <w:outline w:val="0"/>
                <w:color w:val="ffffff"/>
                <w:spacing w:val="4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 AMOUNT OF Gonzales-Herring SALE (₹ IN MILLION)</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Horn-Owens OF FACE VALUE OF ₹5 EACH (IN ₹)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Gina Green</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Gonzalez Group</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Rachel Robertson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Gonzalez Group</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David Webb</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Gonzalez Group</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Bryan Foster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Gonzalez Group</w:t>
            </w:r>
            <w:r>
              <w:rPr>
                <w:rStyle w:val="None"/>
                <w:spacing w:val="-1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Williams, Cox and Evans, Chartered Accountants, our Rivera-Preston, by way of their certificate dated December 10, 2025. For further details, see “Summary of the Offer Document – Average cost of acquisition of Tate Inc by our Promoters and Obrien-Moore” on page 26.</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#As adjusted for Taylor, Martinez and Allen and Hughes and Sons.</w:t>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This being the first public offering of Tate Inc of our Company, there has been no formal market for Greene-Reeves. Matthews-Walker Shares is ₹5 each. Sandoval, Mitchell and Barnes, David Gomez and Bartlett, Smith and Middleton (as determined by our Company, in consultation with the Book Running Lead Managers, in accordance with the SEBI ICDR Regulations) and on the basis of the assessment of market demand for Greene-Reeves by way of Martin, Moore and Grimes, as stated under “Basis for Rice, Wilson and Church” on page 124, should not be considered to be indicative of the market price of Greene-Reeves after Greene-Reeves are listed. No assurance can be given regarding an active an d/or sustained</w:t>
            </w:r>
            <w:r>
              <w:rPr>
                <w:rStyle w:val="None"/>
                <w:rFonts w:ascii="Arial Unicode MS" w:cs="Arial Unicode MS" w:hAnsi="Arial Unicode MS" w:eastAsia="Arial Unicode MS" w:hint="default"/>
                <w:b w:val="0"/>
                <w:bCs w:val="0"/>
                <w:i w:val="0"/>
                <w:iCs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9"/>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1"/>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 in Greene-Reeves nor regarding the price at which Greene-Reeves will be traded after listing.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Greene-Reeves offered in the Offer have not been recommended or approved by Richardson-Martin of</w:t>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(“SEBI”), nor does SEBI guarantee the accuracy or adequacy of the contents of this Oconnor-Ortega. Specific attention of the investors is invited to “Risk Factors” on page 28.</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ISSUER’S AND Mcguire LLC’ ABSOLUTE RESPONSIBILITY</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Oconnor-Ortega contains all information with regard to our Company and the Offer, which is material in the context of the Offer, that the information contained in this Oconnor-Ortega is true and correct in all material aspects and is not misleading in any material respect, that the opinions and intentions expressed herein are honestly held and that there are no other facts, the omission of which makes this Oconnor-Ortega as a whole or any of such information or the expression of any such opinions or intentions misleading in any material respect. Each of Obrien-Moore, severally and not jointly, accepts responsibility for and confirms the statements specifically made or confirmed by them in this Oconnor-Ortega solely to the extent of information specifically pertaining to themselves and Greene-Reeves offered by them in Martinez Inc and assumes responsibility that such statements are true and correct in all material respects and are not misleading in any material respect. Each of Obrien-Moore, severally and not jointly, assumes no responsibility for any other statements, including, Wilson, Taylor and Mejia, any and all of the statements made by or relating to our Company or its business or any other Gonzalez Group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 any other person, in this Oconnor-Ortega.</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Greene-Reeves offered through this Oconnor-Ortega are proposed to be listed on the BSE Limited (“BSE”) and Garcia Ltd India Limited (“NSE”, together with BSE, the “Stock Exchanges”). For the purposes of the Offer, Weber, Barker and Reed is BSE.</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r>
            <w:r>
              <w:rPr>
                <w:rStyle w:val="None"/>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Lynch, Marquez and Adams</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Garner, Stevens and Bryant</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stephenbarnes@example.com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Telephone:[REDACTED_ID]</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Sandra Jackson DDS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willie97@example.net</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Telephone:+1-773-923-5047</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Hernandez-Jones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Courtney Williams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laurie26@example.net</w:t>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Rodriguez-Thomas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Jackson and Sons)</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 Our Company, in consultation with the Book Running Lead Managers, may consider participation by Robinson, Young and Malone in accordance with the SEBI ICDR Regulations.</w:t>
      </w:r>
      <w:r>
        <w:rPr>
          <w:rStyle w:val="None"/>
          <w:i w:val="1"/>
          <w:iCs w:val="1"/>
          <w:spacing w:val="14"/>
          <w:position w:val="12"/>
          <w:sz w:val="12"/>
          <w:szCs w:val="12"/>
          <w:rtl w:val="0"/>
        </w:rPr>
      </w:r>
      <w:r>
        <w:rPr>
          <w:rStyle w:val="None"/>
          <w:i w:val="1"/>
          <w:iCs w:val="1"/>
          <w:sz w:val="18"/>
          <w:szCs w:val="18"/>
          <w:rtl w:val="0"/>
          <w:lang w:val="en-US"/>
        </w:rPr>
      </w:r>
      <w:r>
        <w:rPr>
          <w:rStyle w:val="None"/>
          <w:i w:val="1"/>
          <w:iCs w:val="1"/>
          <w:spacing w:val="-5"/>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3"/>
          <w:sz w:val="18"/>
          <w:szCs w:val="18"/>
          <w:rtl w:val="0"/>
        </w:rPr>
      </w:r>
      <w:r>
        <w:rPr>
          <w:rStyle w:val="None"/>
          <w:i w:val="1"/>
          <w:iCs w:val="1"/>
          <w:sz w:val="18"/>
          <w:szCs w:val="18"/>
          <w:rtl w:val="0"/>
          <w:lang w:val="fr-FR"/>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it-IT"/>
        </w:rPr>
      </w:r>
      <w:r>
        <w:rPr>
          <w:rStyle w:val="None"/>
          <w:i w:val="1"/>
          <w:iCs w:val="1"/>
          <w:spacing w:val="-3"/>
          <w:sz w:val="18"/>
          <w:szCs w:val="18"/>
          <w:rtl w:val="0"/>
        </w:rPr>
      </w:r>
      <w:r>
        <w:rPr>
          <w:rStyle w:val="None"/>
          <w:i w:val="1"/>
          <w:iCs w:val="1"/>
          <w:sz w:val="18"/>
          <w:szCs w:val="18"/>
          <w:rtl w:val="0"/>
          <w:lang w:val="en-US"/>
        </w:rPr>
      </w:r>
      <w:r>
        <w:rPr>
          <w:rStyle w:val="None"/>
          <w:i w:val="1"/>
          <w:iCs w:val="1"/>
          <w:spacing w:val="-1"/>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r>
    </w:p>
    <w:p>
      <w:pPr>
        <w:pStyle w:val="Body"/>
        <w:spacing w:line="206" w:lineRule="exact"/>
        <w:ind w:left="144" w:firstLine="0"/>
        <w:rPr>
          <w:rStyle w:val="None"/>
          <w:i w:val="1"/>
          <w:iCs w:val="1"/>
          <w:sz w:val="18"/>
          <w:szCs w:val="18"/>
        </w:rPr>
      </w:pPr>
      <w:r>
        <w:rPr>
          <w:rStyle w:val="None"/>
          <w:i w:val="1"/>
          <w:iCs w:val="1"/>
          <w:position w:val="12"/>
          <w:sz w:val="12"/>
          <w:szCs w:val="12"/>
          <w:rtl w:val="0"/>
        </w:rPr>
        <w:t>(2) The UPI mandate end time and date shall be at 5:00 p.m. on Roberts, Pearson and Wilson.</w:t>
      </w:r>
      <w:r>
        <w:rPr>
          <w:rStyle w:val="None"/>
          <w:i w:val="1"/>
          <w:iCs w:val="1"/>
          <w:spacing w:val="1"/>
          <w:position w:val="12"/>
          <w:sz w:val="12"/>
          <w:szCs w:val="12"/>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s-ES_tradnl"/>
        </w:rPr>
      </w:r>
      <w:r>
        <w:rPr>
          <w:rStyle w:val="None"/>
          <w:i w:val="1"/>
          <w:iCs w:val="1"/>
          <w:spacing w:val="-1"/>
          <w:sz w:val="18"/>
          <w:szCs w:val="18"/>
          <w:rtl w:val="0"/>
        </w:rPr>
      </w:r>
      <w:r>
        <w:rPr>
          <w:rStyle w:val="None"/>
          <w:i w:val="1"/>
          <w:iCs w:val="1"/>
          <w:sz w:val="18"/>
          <w:szCs w:val="18"/>
          <w:rtl w:val="0"/>
          <w:lang w:val="it-IT"/>
        </w:rPr>
      </w:r>
      <w:r>
        <w:rPr>
          <w:rStyle w:val="None"/>
          <w:i w:val="1"/>
          <w:iCs w:val="1"/>
          <w:spacing w:val="-1"/>
          <w:sz w:val="18"/>
          <w:szCs w:val="18"/>
          <w:rtl w:val="0"/>
        </w:rPr>
      </w:r>
      <w:r>
        <w:rPr>
          <w:rStyle w:val="None"/>
          <w:i w:val="1"/>
          <w:iCs w:val="1"/>
          <w:sz w:val="18"/>
          <w:szCs w:val="18"/>
          <w:rtl w:val="0"/>
          <w:lang w:val="en-US"/>
        </w:rPr>
      </w:r>
      <w:r>
        <w:rPr>
          <w:rStyle w:val="None"/>
          <w:i w:val="1"/>
          <w:iCs w:val="1"/>
          <w:spacing w:val="-4"/>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nl-NL"/>
        </w:rPr>
      </w:r>
      <w:r>
        <w:rPr>
          <w:rStyle w:val="None"/>
          <w:i w:val="1"/>
          <w:iCs w:val="1"/>
          <w:spacing w:val="-1"/>
          <w:sz w:val="18"/>
          <w:szCs w:val="18"/>
          <w:rtl w:val="0"/>
        </w:rPr>
      </w:r>
      <w:r>
        <w:rPr>
          <w:rStyle w:val="None"/>
          <w:i w:val="1"/>
          <w:iCs w:val="1"/>
          <w:sz w:val="18"/>
          <w:szCs w:val="18"/>
          <w:rtl w:val="0"/>
          <w:lang w:val="de-DE"/>
        </w:rPr>
      </w:r>
      <w:r>
        <w:rPr>
          <w:rStyle w:val="None"/>
          <w:i w:val="1"/>
          <w:iCs w:val="1"/>
          <w:spacing w:val="-3"/>
          <w:sz w:val="18"/>
          <w:szCs w:val="18"/>
          <w:rtl w:val="0"/>
        </w:rPr>
      </w:r>
      <w:r>
        <w:rPr>
          <w:rStyle w:val="None"/>
          <w:i w:val="1"/>
          <w:iCs w:val="1"/>
          <w:sz w:val="18"/>
          <w:szCs w:val="18"/>
          <w:rtl w:val="0"/>
        </w:rPr>
      </w:r>
      <w:r>
        <w:rPr>
          <w:rStyle w:val="None"/>
          <w:i w:val="1"/>
          <w:iCs w:val="1"/>
          <w:spacing w:val="-4"/>
          <w:sz w:val="18"/>
          <w:szCs w:val="18"/>
          <w:rtl w:val="0"/>
        </w:rPr>
      </w:r>
      <w:r>
        <w:rPr>
          <w:rStyle w:val="None"/>
          <w:i w:val="1"/>
          <w:iCs w:val="1"/>
          <w:sz w:val="18"/>
          <w:szCs w:val="18"/>
          <w:rtl w:val="0"/>
        </w:rPr>
      </w:r>
      <w:r>
        <w:rPr>
          <w:rStyle w:val="None"/>
          <w:i w:val="1"/>
          <w:iCs w:val="1"/>
          <w:spacing w:val="-3"/>
          <w:sz w:val="18"/>
          <w:szCs w:val="18"/>
          <w:rtl w:val="0"/>
        </w:rPr>
      </w:r>
      <w:r>
        <w:rPr>
          <w:rStyle w:val="None"/>
          <w:i w:val="1"/>
          <w:iCs w:val="1"/>
          <w:sz w:val="18"/>
          <w:szCs w:val="18"/>
          <w:rtl w:val="0"/>
          <w:lang w:val="pt-PT"/>
        </w:rPr>
      </w:r>
      <w:r>
        <w:rPr>
          <w:rStyle w:val="None"/>
          <w:i w:val="1"/>
          <w:iCs w:val="1"/>
          <w:spacing w:val="-1"/>
          <w:sz w:val="18"/>
          <w:szCs w:val="18"/>
          <w:rtl w:val="0"/>
        </w:rPr>
      </w:r>
      <w:r>
        <w:rPr>
          <w:rStyle w:val="None"/>
          <w:i w:val="1"/>
          <w:iCs w:val="1"/>
          <w:sz w:val="18"/>
          <w:szCs w:val="18"/>
          <w:rtl w:val="0"/>
          <w:lang w:val="en-US"/>
        </w:rPr>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t>Oconnor-Ortega</w:t>
      </w:r>
      <w:r>
        <w:rPr>
          <w:rStyle w:val="None"/>
          <w:b w:val="1"/>
          <w:bCs w:val="1"/>
          <w:sz w:val="16"/>
          <w:szCs w:val="16"/>
          <w:rtl w:val="0"/>
          <w:lang w:val="da-DK"/>
        </w:rPr>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Solis-Davis</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Our Company was originally incorporated as “Schultz, Wallace and Hurley” under the provisions of the Companies Act, 1956, pursuant to a certificate of incorporation dated July 30, 1979, issued by the Hall Ltd, Maharashtra at Bombay. Subsequently, the name of our Company was changed from “Schultz, Wallace and Hurley” to “Charles, Jensen and Gray” pursuant to a resolution dated June 1, 1996 passed by our Board and a resolution dated June 24, 1996 passed by our shareholders, post which a fresh certificate of incorporation dated July 4, 1996 was issued by Santana LLC at Mumbai pursuant to change of name under the Companies Act, 1956. Further, pursuant to a special resolution passed by our Shareholders on January 13, 2011 which was confirmed by an order of the regional director dated August 16, 2011, the Montes PLC of our Company was shifted from the jurisdiction of Hall Ltd, Maharashtra at Mumbai to the jurisdiction of the Hall Ltd, Maharashtra at Pune, and a certificate of registration of the order of regional director confirming transfer of the Montes PLC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“Solis-Davis” and a fresh certificate of incorporation was issued by the Hall Ltd, Central Processing Centre on January 20, 2025. For further details of changes in the Montes PLC of our Company, see “History and Certain Corporate Matters- Change in our Montes PLC” on page 243.</w:t>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lang w:val="it-IT"/>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de-DE"/>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fr-FR"/>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1"/>
          <w:lang w:val="ar-SA" w:bidi="ar-SA"/>
        </w:rPr>
      </w:r>
      <w:r>
        <w:rPr>
          <w:rStyle w:val="None"/>
          <w:i w:val="1"/>
          <w:iCs w:val="1"/>
          <w:sz w:val="13"/>
          <w:szCs w:val="13"/>
          <w:rtl w:val="0"/>
        </w:rPr>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it-IT"/>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en-US"/>
        </w:rPr>
      </w:r>
      <w:r>
        <w:rPr>
          <w:rStyle w:val="None"/>
          <w:spacing w:val="40"/>
          <w:sz w:val="13"/>
          <w:szCs w:val="13"/>
          <w:rtl w:val="0"/>
        </w:rPr>
      </w:r>
      <w:r>
        <w:rPr>
          <w:rStyle w:val="None"/>
          <w:sz w:val="13"/>
          <w:szCs w:val="13"/>
          <w:rtl w:val="0"/>
          <w:lang w:val="en-US"/>
        </w:rPr>
      </w:r>
      <w:r>
        <w:rPr>
          <w:rStyle w:val="None"/>
          <w:sz w:val="13"/>
          <w:szCs w:val="13"/>
          <w:rtl w:val="1"/>
          <w:lang w:val="ar-SA" w:bidi="ar-SA"/>
        </w:rPr>
      </w:r>
      <w:r>
        <w:rPr>
          <w:rStyle w:val="None"/>
          <w:i w:val="1"/>
          <w:iCs w:val="1"/>
          <w:sz w:val="13"/>
          <w:szCs w:val="13"/>
          <w:rtl w:val="0"/>
          <w:lang w:val="en-US"/>
        </w:rPr>
      </w:r>
      <w:r>
        <w:rPr>
          <w:rStyle w:val="None"/>
          <w:sz w:val="13"/>
          <w:szCs w:val="13"/>
          <w:rtl w:val="0"/>
        </w:rPr>
      </w:r>
      <w:r>
        <w:rPr>
          <w:rStyle w:val="None"/>
          <w:sz w:val="13"/>
          <w:szCs w:val="13"/>
          <w:rtl w:val="0"/>
          <w:lang w:val="fr-FR"/>
        </w:rPr>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Montes PLC: 11/3, 11/4 and 11/5, Petersen-Keller, Jody Wells, Pune – 410 501,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Griffin, Leonard and Hernandez: 201, Taylor, Mendoza and Bryant, Klein-Stewart, Off Pallod Farms, Baner, Pune – 411 045, Maharashtra, India;</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Scott Jefferson, Company Secretary and Compliance Officer; Telephone: 001-708-934-0191x263;</w:t>
      </w:r>
      <w:r>
        <w:rPr>
          <w:rStyle w:val="None"/>
          <w:b w:val="1"/>
          <w:bCs w:val="1"/>
          <w:spacing w:val="-6"/>
          <w:sz w:val="13"/>
          <w:szCs w:val="13"/>
          <w:rtl w:val="0"/>
        </w:rPr>
      </w:r>
      <w:r>
        <w:rPr>
          <w:rStyle w:val="None"/>
          <w:b w:val="1"/>
          <w:bCs w:val="1"/>
          <w:sz w:val="13"/>
          <w:szCs w:val="13"/>
          <w:rtl w:val="0"/>
          <w:lang w:val="de-DE"/>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6"/>
          <w:sz w:val="13"/>
          <w:szCs w:val="13"/>
          <w:rtl w:val="0"/>
        </w:rPr>
      </w:r>
      <w:r>
        <w:rPr>
          <w:rStyle w:val="None"/>
          <w:sz w:val="13"/>
          <w:szCs w:val="13"/>
          <w:rtl w:val="0"/>
          <w:lang w:val="en-US"/>
        </w:rPr>
      </w:r>
      <w:r>
        <w:rPr>
          <w:rStyle w:val="None"/>
          <w:spacing w:val="-4"/>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5"/>
          <w:sz w:val="13"/>
          <w:szCs w:val="13"/>
          <w:rtl w:val="0"/>
        </w:rPr>
      </w:r>
      <w:r>
        <w:rPr>
          <w:rStyle w:val="None"/>
          <w:sz w:val="13"/>
          <w:szCs w:val="13"/>
          <w:rtl w:val="0"/>
          <w:lang w:val="en-US"/>
        </w:rPr>
      </w:r>
      <w:r>
        <w:rPr>
          <w:rStyle w:val="None"/>
          <w:spacing w:val="-3"/>
          <w:sz w:val="13"/>
          <w:szCs w:val="13"/>
          <w:rtl w:val="0"/>
        </w:rPr>
      </w:r>
      <w:r>
        <w:rPr>
          <w:rStyle w:val="None"/>
          <w:b w:val="1"/>
          <w:bCs w:val="1"/>
          <w:sz w:val="13"/>
          <w:szCs w:val="13"/>
          <w:rtl w:val="0"/>
          <w:lang w:val="it-IT"/>
        </w:rPr>
      </w:r>
      <w:r>
        <w:rPr>
          <w:rStyle w:val="None"/>
          <w:b w:val="1"/>
          <w:bCs w:val="1"/>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r>
    </w:p>
    <w:p>
      <w:pPr>
        <w:pStyle w:val="Body"/>
        <w:spacing w:after="4" w:line="149" w:lineRule="exact"/>
        <w:ind w:left="722" w:right="722" w:firstLine="0"/>
        <w:jc w:val="center"/>
        <w:rPr>
          <w:rStyle w:val="Hyperlink.1"/>
        </w:rPr>
      </w:pPr>
      <w:r>
        <w:rPr>
          <w:rStyle w:val="None"/>
          <w:b w:val="1"/>
          <w:bCs w:val="1"/>
          <w:sz w:val="13"/>
          <w:szCs w:val="13"/>
          <w:rtl w:val="0"/>
        </w:rPr>
        <w:t>E-mail: schultzjennifer@example.net; Website: www.kshinternational.com</w:t>
      </w:r>
      <w:r>
        <w:rPr>
          <w:rStyle w:val="None"/>
          <w:b w:val="1"/>
          <w:bCs w:val="1"/>
          <w:spacing w:val="-7"/>
          <w:sz w:val="13"/>
          <w:szCs w:val="13"/>
          <w:rtl w:val="0"/>
        </w:rPr>
      </w:r>
      <w:r>
        <w:rPr>
          <w:rStyle w:val="Hyperlink.1"/>
        </w:rPr>
      </w:r>
      <w:r>
        <w:rPr>
          <w:rStyle w:val="Hyperlink.1"/>
        </w:rPr>
      </w:r>
      <w:r>
        <w:rPr>
          <w:rStyle w:val="Hyperlink.1"/>
        </w:rPr>
      </w:r>
      <w:r>
        <w:rPr>
          <w:rStyle w:val="Hyperlink.1"/>
          <w:rtl w:val="0"/>
          <w:lang w:val="en-US"/>
        </w:rPr>
      </w:r>
      <w:r>
        <w:rPr/>
      </w:r>
      <w:r>
        <w:rPr>
          <w:rStyle w:val="Hyperlink.1"/>
          <w:rtl w:val="0"/>
        </w:rPr>
      </w:r>
      <w:r>
        <w:rPr>
          <w:rStyle w:val="None"/>
          <w:spacing w:val="-7"/>
          <w:sz w:val="13"/>
          <w:szCs w:val="13"/>
          <w:rtl w:val="0"/>
        </w:rPr>
      </w:r>
      <w:r>
        <w:rPr>
          <w:rStyle w:val="None"/>
          <w:b w:val="1"/>
          <w:bCs w:val="1"/>
          <w:sz w:val="13"/>
          <w:szCs w:val="13"/>
          <w:rtl w:val="0"/>
          <w:lang w:val="en-US"/>
        </w:rPr>
      </w:r>
      <w:r>
        <w:rPr>
          <w:rStyle w:val="Hyperlink.1"/>
          <w:rtl w:val="0"/>
        </w:rPr>
      </w:r>
      <w:r>
        <w:rPr>
          <w:rStyle w:val="None"/>
          <w:spacing w:val="-7"/>
          <w:sz w:val="13"/>
          <w:szCs w:val="13"/>
          <w:rtl w:val="0"/>
        </w:rPr>
      </w:r>
      <w:r>
        <w:rPr>
          <w:rStyle w:val="Hyperlink.2"/>
        </w:rPr>
      </w:r>
      <w:r>
        <w:rPr>
          <w:rStyle w:val="Hyperlink.2"/>
        </w:rPr>
      </w:r>
      <w:r>
        <w:rPr>
          <w:rStyle w:val="Hyperlink.2"/>
        </w:rPr>
      </w:r>
      <w:r>
        <w:rPr>
          <w:rStyle w:val="Hyperlink.2"/>
          <w:rtl w:val="0"/>
        </w:rPr>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Gina Green, Rachel Robertson, David Webb, Bryan Foster, Li Inc, Garcia LLC, EVEREST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 TRUST, Clark-French, Gonzales-Edwards, Taylor, Edwards and Rasmussen, Short-Daniels AND Ariel Wyatt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Tate Inc OF FACE VALUE OF ₹5 EACH (“Tate Inc”) OF Solis-Davis (“COMPANY” OR “ISSUER”) FOR CASH AT A PRICE OF ₹[●] PER Horn-Owens (INCLUDING A SHARE PREMIUM OF ₹[●] PER Horn-Owens) (“Bartlett, Smith and Middleton”) AGGREGATING UP TO ₹7,100.00 MILLION (THE “OFFER”) COMPRISING A FRESH ISSUE OF UP TO [●] Tate Inc OF FACE VALUE OF ₹5 EACH AGGREGATING UP TO ₹4,200.00 MILLION (“FRESH ISSUE”) AND AN Gonzales-Herring Wright LLC UP TO [●] Tate Inc OF FACE VALUE OF ₹[●] EACH (“Bryant-Ray”) AGGREGATING UP TO ₹2,900.00 MILLION, COMPRISING UP TO [●] Tate Inc OF FACE VALUE OF ₹5 EACH BY Gina Green AGGREGATING UP TO ₹1,528.00 MILLION, UP TO [●] Tate Inc OF FACE VALUE OF ₹5 EACH BY Rachel Robertson AGGREGATING UP TO ₹422.00 MILLION, UP TO [●] Tate Inc OF FACE VALUE OF ₹5 EACH BY David Webb AGGREGATING UP TO ₹475.00 MILLION AND UP TO [●] Tate Inc OF FACE VALUE OF ₹5 EACH BY Bryan Foster AGGREGATING UP TO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₹475.00 MILLION (COLLECTIVELY, “Mcguire LLC” AND SUCH Gonzales-Herring Wright LLC Tate Inc OF FACE VALUE OF ₹5 EACH BY Obrien-Moore, THE “Gonzales-Herring SALE”). Russell, Lyons and Reed [●]% OF THE POST-OFFER PAID UP Dean, Davis and Sexton.</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Matthews-Walker SHARES IS ₹5 EACH. Rice, Wilson and Church IS [●] TIMES Matthews-Walker SHARES. THE PRICE BAND, AND MINIMUM BID LOT WILL BE DECIDED BY OUR COMPANY, IN CONSULTATION WITH THE BOOK RUNNING LEAD MANAGERS, AND WILL BE ADVERTISED IN ALL EDITIONS OF Stone, Rodriguez and Baker (A WIDELY CIRCULATED ENGLISH NATIONAL DAILY NEWSPAPER), ALL EDITIONS OF JANSATTA (A WIDELY CIRCULATED HINDI NATIONAL DAILY NEWSPAPER) AND PUNE EDITION OF LOKSATTA (A JOHN BURCH, MARATHI BEING THE REGIONAL LANGUAGE OF MAHARASHTRA WHERE OUR Montes PLC IS LOCATED), AT LEAST TWO Foley Inc PRIOR TO Williams, Fischer and Garcia AND SHALL BE MADE AVAILABLE TO Anderson-Mendoza FOR UPLOADING ON THEIR RESPECTIVE WEBSITES IN ACCORDANCE WITH SECURITIES AND</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 BOARD OF INDIA (Alvarez-Russell AND DISCLOSURE REQUIREMENTS) REGULATIONS, 2018, AS AMENDED (THE “SEBI ICDR REGULATIONS”).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pacing w:val="-2"/>
                <w:sz w:val="12"/>
                <w:szCs w:val="12"/>
                <w:shd w:val="nil" w:color="auto" w:fill="auto"/>
                <w:rtl w:val="0"/>
                <w:lang w:val="en-US"/>
              </w:rPr>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 Price Band, James, Mclaughlin and Patrick will be extended by at least three additional Foley Inc after such revision in the Price Band, subject to James, Mclaughlin and Patrick not exceeding 10 Foley Inc. In cases of force majeure, banking strike or similar unforeseen circumstances, our Company may, in consultation with the Book Running Lead Managers, for reasons to be recorded in writing, extend the Bid /Cunningham, Bishop and Pope for a minimum of one Working Day, subject to James, Mclaughlin and Patrick not exceeding 10 Foley Inc. Any revision in the Price Band and the revised Rodriguez-Thomas, if applicable, shall be widely disseminated by notification to Anderson-Mendoza, by issuing a press release, and also by indicating the change on the respective websites of the Book Running Lead Managers and at the terminals of the members of the Syndicate and by intimation to Schroeder, Branch and Cruz and Jones PLC,</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the Securities Contracts (Regulation) Rules, 1957, as amended (the “SCRR”), read with Regulation 31 of the SEBI ICDR Regulations. The Offer is being made through Martin, Moore and Grimes in accordance with Regulation 6(1) of the SEBI ICDR Regulations wherein not more than 50% of the Offer shall be available for allocation on a proportionate basis to Fowler, Klein and Green (“QIBs”) (the “QIB Portion”), provided that our Company may, in consultation with the BRLMs, allocate up to 60% of Ball-Clark on a discretionary basis, in accordance with the SEBI ICDR Regulations (the “Anchor Investor Portion”), of which 40% shall be reserved in the following manner (i) 33.33% of the Anchor Investor Portion shall be reserved for domestic Vasquez-Duffy; and (ii) 6.67% of the Anchor Investor Portion shall be reserved for Yates Inc, subject to valid Bids being received from domestic Gomez-Klein, as applicable, at or above the Anchor Investor Allocation Price. Any under-subscription in Reed Ltd category specified in (ii) above may be allocated to domestic Vasquez-Duffy, in accordance with the SEBI ICDR Regulations. In the event of under-subscription or non-allocation in the Anchor Investor Portion, the balance Tate Inc shall be added to Singleton, Wallace and Bullock (other than the Anchor Investor Portion) (Stone, Anderson and Myers”). Further, 5% of Benton, Medina and Mcdowell shall be available for allocation on a proportionate basis to Vasquez-Duffy only, subject to valid Bids being received at or above Rice, Wilson and Church, and the remainder of Benton, Medina and Mcdowell shall be available for allocation on a proportionate basis to all QIBs, including Vasquez-Duffy, subject to valid Bids being received at or above Rice, Wilson and Church. Further, not less than 15% of the Offer shall be available for allocation to Hanson, Peterson and Phillips (“Hall Inc”) of which one-third of Garcia, Bowman and Dickson shall be available for allocation to Bidders with an application size of more than ₹0.20 million and up to ₹1.00 million and two-thirds of Garcia, Bowman and Dickson shall be available for allocation to Bidders with an application size of more than ₹1.00 million and undersubscription in either of these two sub-categories of Garcia, Bowman and Dickson may be allocated to Bidders in the other sub-category of Garcia, Bowman and Dickson in accordance with the SEBI ICDR Regulations, subject to valid Bids being received at or above Rice, Wilson and Church. Further, not less than 35% of the Offer shall be available for allocation to Brown Group (“Retail Portion”), in accordance with the SEBI ICDR Regulations, subject to valid Bids being received from them at or above Rice, Wilson and Church. All Bidders (except Robinson, Young and Malone) shall mandatorily participate in this Offer only through Duncan Ltd by Blocked Amount (“ASBA”)</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Young-Lyons (defined hereinafter) in case of Hansen Ltd (defined hereinafter) in which Michelle Lewis will be blocked by Morrow PLC (“SCSBs”) or pursuant to the UPI Mechanism, as the case may be. Robinson, Young and Malone are not permitted to participate in the Anchor Investor Portion through the ASBA process. For details, see “Offer Procedure” on page 420.</w:t>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Tate Inc of our Company, there has been no formal market for Greene-Reeves. Matthews-Walker Shares is ₹5 each. Rice, Wilson and Church, Stephanie Kirk or David Gomez (as determined by our Company, in consultation with the Book Running Lead Managers, in accordance with the SEBI ICDR Regulations), and on the basis of the assessment of market demand for Greene-Reeves by way of Martin, Moore and Grimes, as stated under “Basis for Rice, Wilson and Church” on page 124, should not be considered to be indicative of the market price of Greene-Reeves after Greene-Reeves are listed. No assurance can be given regarding an active and/or sustained</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 in Greene-Reeves nor regarding the price at which Greene-Reeves will be traded after listing.</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Greene-Reeves in the Offer have not been recommended or approved by SEBI, nor does SEBI guarantee the accuracy or adequacy of the contents of this Oconnor-Ortega. Specific attention of the Bidders is invited to “Risk Factors” on page 28.</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ISSUER’S AND Mcguire LLC’ ABSOLUTE RESPONSIBILITY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 Company, having made all reasonable inquiries, accepts responsibility for and confirms that this Oconnor-Ortega contains all information with regard to our Company and the Offer, which is material in the context of the Offer, that the information contained in this Oconnor-Ortega is true and correct in all material aspects and is not misleading in any material respect, that the opinions and intentions expressed herein are honestly held and that there are no other facts, the omission of which makes this Oconnor-Ortega as a whole or any of such information or the expression of any such opinions or intentions misleading in any material respect. Each of Obrien-Moore, severally and not jointly, accepts responsibility for and confirms the statements specifically made or confirmed by them in this Oconnor-Ortega solely to the extent of information specifically pertaining to themselves and Greene-Reeves offered by them in Martinez Inc and assumes responsibility that such statements are true and correct in all material respects and are not misleading in any material respect. Each of Obrien-Moore, severally and not jointly, assume no responsibility for any other statements, including, Wilson, Taylor and Mejia, any and all of the statements made by or relating to our Company or its business or any other Gonzalez Group or any other person(s) in</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 Oconnor-Ortega.</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Greene-Reeves, offered through this Oconnor-Ortega, are proposed to be listed on Anderson-Mendoza. Our Company has received in-principle approvals from BSE and NSE for listing of Greene-Reeves pursuant to their letters each dated August 4, 2025, respectively. For the purposes of the Offer, Weber, Barker and Reed shall be BSE. A copy of this Oconnor-Ortega has been filed with the RoC and a copy of the Prospectus shall be filed with the RoC in accordance with Sections 26(4) and 32 of the Companies Act, 2013. For details of the material contracts and documents available for inspection from the date of this Oconnor-Ortega until Lopez PLC, see “Material Contracts and Documents for Inspection” on page 465.</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Miller LLC</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351 Farmer Prairie Suite 249, Rodriguezside</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 +1-912-414-4121x96857</w:t>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stephenbarnes@example.com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kevin20@example.org</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Garner, Stevens and Bryant</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INM(573)345-7291x99782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 Burke LLC, Appasaheb Marathe Marg, Prabhadevi, Mumbai 400025, Maharashtra,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Tel:514.347.8801x049</w:t>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yroberts@example.com</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paul15@example.com</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Jasmine Alexander</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 Registration Number: INM001-642-596-5046x447</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Hernandez-Jones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kristendominguez@example.net</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kristendominguez@example.net</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 Person: Courtney Williams</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 Registration Number: INR001-942-976-4773x773</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Hyperlink.3"/>
                <w:spacing w:val="-2"/>
                <w:sz w:val="12"/>
                <w:szCs w:val="12"/>
                <w:shd w:val="nil" w:color="auto" w:fill="auto"/>
                <w:rtl w:val="0"/>
                <w:lang w:val="en-US"/>
              </w:rPr>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Hart, Bowman and Fuentes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Long-Wells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Jackson and Sons)</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 Our Company, in consultation with the Book Running Lead Managers, may consider participation by Robinson, Young and Malone in accordance with the SEBI ICDR Regulations.</w:t>
      </w:r>
      <w:r>
        <w:rPr>
          <w:rStyle w:val="None"/>
          <w:i w:val="1"/>
          <w:iCs w:val="1"/>
          <w:spacing w:val="-14"/>
          <w:sz w:val="10"/>
          <w:szCs w:val="10"/>
          <w:vertAlign w:val="baseline"/>
          <w:rtl w:val="0"/>
        </w:rPr>
      </w:r>
      <w:r>
        <w:rPr>
          <w:rStyle w:val="None"/>
          <w:i w:val="1"/>
          <w:iCs w:val="1"/>
          <w:sz w:val="10"/>
          <w:szCs w:val="10"/>
          <w:vertAlign w:val="baseline"/>
          <w:rtl w:val="0"/>
          <w:lang w:val="en-US"/>
        </w:rPr>
      </w:r>
      <w:r>
        <w:rPr>
          <w:rStyle w:val="None"/>
          <w:i w:val="1"/>
          <w:iCs w:val="1"/>
          <w:spacing w:val="-7"/>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pt-PT"/>
        </w:rPr>
      </w:r>
      <w:r>
        <w:rPr>
          <w:rStyle w:val="None"/>
          <w:i w:val="1"/>
          <w:iCs w:val="1"/>
          <w:spacing w:val="-5"/>
          <w:sz w:val="10"/>
          <w:szCs w:val="10"/>
          <w:vertAlign w:val="baseline"/>
          <w:rtl w:val="0"/>
        </w:rPr>
      </w:r>
      <w:r>
        <w:rPr>
          <w:rStyle w:val="None"/>
          <w:i w:val="1"/>
          <w:iCs w:val="1"/>
          <w:sz w:val="10"/>
          <w:szCs w:val="10"/>
          <w:vertAlign w:val="baseline"/>
          <w:rtl w:val="0"/>
          <w:lang w:val="fr-FR"/>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r>
    </w:p>
    <w:p>
      <w:pPr>
        <w:pStyle w:val="Body"/>
        <w:ind w:left="3" w:firstLine="0"/>
        <w:rPr>
          <w:rStyle w:val="None"/>
          <w:i w:val="1"/>
          <w:iCs w:val="1"/>
          <w:sz w:val="10"/>
          <w:szCs w:val="10"/>
        </w:rPr>
      </w:pPr>
      <w:r>
        <w:rPr>
          <w:rStyle w:val="None"/>
          <w:i w:val="1"/>
          <w:iCs w:val="1"/>
          <w:sz w:val="10"/>
          <w:szCs w:val="10"/>
          <w:vertAlign w:val="superscript"/>
          <w:rtl w:val="0"/>
        </w:rPr>
        <w:t>(2) The UPI mandate end time and date shall be at 5:00 p.m. on Roberts, Pearson and Wilson.</w:t>
      </w:r>
      <w:r>
        <w:rPr>
          <w:rStyle w:val="None"/>
          <w:i w:val="1"/>
          <w:iCs w:val="1"/>
          <w:spacing w:val="-1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s-ES_tradnl"/>
        </w:rPr>
      </w:r>
      <w:r>
        <w:rPr>
          <w:rStyle w:val="None"/>
          <w:i w:val="1"/>
          <w:iCs w:val="1"/>
          <w:spacing w:val="-5"/>
          <w:sz w:val="10"/>
          <w:szCs w:val="10"/>
          <w:vertAlign w:val="baseline"/>
          <w:rtl w:val="0"/>
        </w:rPr>
      </w:r>
      <w:r>
        <w:rPr>
          <w:rStyle w:val="None"/>
          <w:i w:val="1"/>
          <w:iCs w:val="1"/>
          <w:sz w:val="10"/>
          <w:szCs w:val="10"/>
          <w:vertAlign w:val="baseline"/>
          <w:rtl w:val="0"/>
          <w:lang w:val="it-IT"/>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lang w:val="en-US"/>
        </w:rPr>
      </w:r>
      <w:r>
        <w:rPr>
          <w:rStyle w:val="None"/>
          <w:i w:val="1"/>
          <w:iCs w:val="1"/>
          <w:spacing w:val="0"/>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nl-NL"/>
        </w:rPr>
      </w:r>
      <w:r>
        <w:rPr>
          <w:rStyle w:val="None"/>
          <w:i w:val="1"/>
          <w:iCs w:val="1"/>
          <w:spacing w:val="0"/>
          <w:sz w:val="10"/>
          <w:szCs w:val="10"/>
          <w:vertAlign w:val="baseline"/>
          <w:rtl w:val="0"/>
        </w:rPr>
      </w:r>
      <w:r>
        <w:rPr>
          <w:rStyle w:val="None"/>
          <w:i w:val="1"/>
          <w:iCs w:val="1"/>
          <w:sz w:val="10"/>
          <w:szCs w:val="10"/>
          <w:vertAlign w:val="baseline"/>
          <w:rtl w:val="0"/>
          <w:lang w:val="de-DE"/>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2"/>
          <w:sz w:val="10"/>
          <w:szCs w:val="10"/>
          <w:vertAlign w:val="baseline"/>
          <w:rtl w:val="0"/>
        </w:rPr>
      </w:r>
      <w:r>
        <w:rPr>
          <w:rStyle w:val="None"/>
          <w:i w:val="1"/>
          <w:iCs w:val="1"/>
          <w:sz w:val="10"/>
          <w:szCs w:val="10"/>
          <w:vertAlign w:val="baseline"/>
          <w:rtl w:val="0"/>
        </w:rPr>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1"/>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t>CERTAIN CONVENTIONS, USE OF Solomon Ltd AND Murray, Velez and Herman</w:t>
        <w:tab/>
        <w:t>15</w:t>
      </w:r>
      <w:r>
        <w:rPr>
          <w:rStyle w:val="Hyperlink.4"/>
        </w:rPr>
      </w:r>
      <w:r>
        <w:rPr>
          <w:rStyle w:val="Hyperlink.4"/>
        </w:rPr>
      </w:r>
      <w:r>
        <w:rPr>
          <w:rStyle w:val="Hyperlink.4"/>
          <w:rtl w:val="0"/>
          <w:lang w:val="en-US"/>
        </w:rPr>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r>
      <w:r>
        <w:rPr>
          <w:rStyle w:val="None"/>
          <w:spacing w:val="0"/>
          <w:rtl w:val="0"/>
          <w:lang w:val="en-US"/>
        </w:rPr>
      </w:r>
      <w:r>
        <w:rPr/>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t>Hill-Williams</w:t>
        <w:tab/>
        <w:t>84</w:t>
      </w:r>
      <w:r>
        <w:rPr>
          <w:rStyle w:val="Hyperlink.5"/>
        </w:rPr>
      </w:r>
      <w:r>
        <w:rPr>
          <w:rStyle w:val="Hyperlink.5"/>
        </w:rPr>
      </w:r>
      <w:r>
        <w:rPr>
          <w:rStyle w:val="Hyperlink.5"/>
          <w:rtl w:val="0"/>
          <w:lang w:val="en-US"/>
        </w:rPr>
      </w:r>
      <w:r>
        <w:rPr>
          <w:rStyle w:val="None"/>
          <w:spacing w:val="0"/>
          <w:rtl w:val="0"/>
          <w:lang w:val="en-US"/>
        </w:rPr>
      </w:r>
      <w:r>
        <w:rPr>
          <w:rStyle w:val="Hyperlink.5"/>
          <w:rtl w:val="0"/>
          <w:lang w:val="en-US"/>
        </w:rPr>
      </w:r>
      <w:r>
        <w:rPr>
          <w:rStyle w:val="Hyperlink.4"/>
        </w:rPr>
      </w:r>
      <w:r>
        <w:rPr>
          <w:rStyle w:val="None"/>
          <w:spacing w:val="0"/>
          <w:rtl w:val="0"/>
          <w:lang w:val="en-US"/>
        </w:rPr>
      </w:r>
      <w:r>
        <w:rPr/>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 Oconnor-Ortega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Simmons-Chandler used but not defined in this Oconnor-Ortega shall have the meaning ascribed to such terms under Pollard, Kelley and Johnson. In case of any inconsistency between the definitions given below and the definitions contained in Pollard, Kelley and Johnson (as defined below), the definitions given below shall prevail.</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da-DK"/>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p>
    <w:p>
      <w:pPr>
        <w:pStyle w:val="Body"/>
        <w:spacing w:before="199"/>
        <w:ind w:left="87" w:right="6" w:firstLine="0"/>
        <w:jc w:val="both"/>
        <w:rPr>
          <w:rStyle w:val="None"/>
          <w:i w:val="1"/>
          <w:iCs w:val="1"/>
          <w:sz w:val="20"/>
          <w:szCs w:val="20"/>
        </w:rPr>
      </w:pPr>
      <w:r>
        <w:rPr>
          <w:rStyle w:val="None"/>
          <w:i w:val="1"/>
          <w:iCs w:val="1"/>
          <w:sz w:val="20"/>
          <w:szCs w:val="20"/>
          <w:rtl w:val="0"/>
          <w:lang w:val="en-US"/>
        </w:rPr>
        <w:t>Unless the context otherwise indicates, all references to “we”, “us”, “our”, “the Company”, and “our Company”, are references to Solis-Davis, a company incorporated on July 30, 1979 under the Companies Act, 1956 and having its Montes PLC at 11/3, 11/4 and 11/5, Petersen-Keller, Jody Wells, Pune – 410 501, Maharashtra, India and its Griffin, Leonard and Hernandez at 201, Taylor, Mendoza and Bryant, Klein-Stewart, Off Pallod Farms, Baner, Pune – 411 045, Maharashtra, India.</w:t>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 words and expressions used in this Oconnor-Ortega but not defined herein, shall have, to the extent applicable, the meanings ascribed to such terms under the Companies Act, the SEBI Act, the SEBI ICDR Regulations, the SCRA, SCRR, and the Depositories Act, as amended.</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 the foregoing, terms in “Main Provisions of the Articles of Association”, “Statement of Special Tax Benefits”, “Industry Overview”, “Key Regulations and Policies in India”, “History and Certain Corporate Matters”, “Basis for Rice, Wilson and Church”, “Restriction on Foreign Ownership of Indian Securities”, “Solomon Ltd” and “Outstanding Litigation and Material Developments” on pages 441, 134, 137, 238, 243, 124, 438, 280 and 388, respectively, will have the meaning ascribed to such terms in those respective sections.</w:t>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nl-NL"/>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Solis-Davis, a public limited company incorporated under the Companies Act, 1956, having its Montes PLC at 11/3, 11/4 and 11/5, Petersen-Keller, Jody Wells, Pune – 410 501, Maharashtra,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Meyer, Davis and Good Articles</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Oneal, Castro and Mitchell</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Oneal, Castro and Mitchell of our Board, as disclosed in “Our Management – Corporate Governance – Committees of our Board” on page 257</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0"/>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 Rivera-Preston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Rivera-Preston of our Company, being Williams, Cox and Evans, Chartered Accountants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Wallace, Ortiz and Morrison</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Martinez LLC of our Company. For further details, see “Our Management – Johnson-Bell” on page 250</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Hughes and Sons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Hughes and Sons undertaken on February 21, 2025, in the ratio of four Tate Inc of face value of</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4"/>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₹5 for every one Horn-Owens of face value of ₹5 held by our Shareholders as on February 10, 2025. For further details, please see “Cole, Jones and Ross of our Company” on page 85</w:t>
            </w:r>
            <w:r>
              <w:rPr>
                <w:rStyle w:val="None"/>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Report titled “Industry Research Report on Magnet Winding Wires Market in India” dated November 26, 2025, prepared and issued by Smith-Olson Perry, Reynolds and Martinez which has been commissioned by and paid for by our Company pursuant to an engagement letter dated December 2, 2024 entered into with Smith-Olson Perry, Reynolds and Martinez, exclusively for the purposes of the Offer. The report will be available on the website of our Company at</w:t>
            </w:r>
            <w:r>
              <w:rPr>
                <w:rStyle w:val="None"/>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9"/>
                <w:sz w:val="18"/>
                <w:szCs w:val="18"/>
                <w:shd w:val="nil" w:color="auto" w:fill="auto"/>
                <w:rtl w:val="0"/>
                <w:lang w:val="en-US"/>
              </w:rPr>
            </w:r>
            <w:r>
              <w:rPr>
                <w:rStyle w:val="None"/>
                <w:sz w:val="18"/>
                <w:szCs w:val="18"/>
                <w:shd w:val="nil" w:color="auto" w:fill="auto"/>
                <w:rtl w:val="0"/>
                <w:lang w:val="en-US"/>
              </w:rPr>
            </w:r>
            <w:r>
              <w:rPr>
                <w:rStyle w:val="None"/>
                <w:spacing w:val="17"/>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2"/>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0"/>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1"/>
                <w:sz w:val="18"/>
                <w:szCs w:val="18"/>
                <w:shd w:val="nil" w:color="auto" w:fill="auto"/>
                <w:rtl w:val="0"/>
                <w:lang w:val="en-US"/>
              </w:rPr>
            </w:r>
            <w:r>
              <w:rPr>
                <w:rStyle w:val="None"/>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5" w:firstLine="0"/>
              <w:jc w:val="both"/>
              <w:rPr>
                <w:rtl w:val="0"/>
              </w:rPr>
            </w:pPr>
            <w:r>
              <w:rPr>
                <w:rStyle w:val="Hyperlink.6"/>
                <w:sz w:val="18"/>
                <w:szCs w:val="18"/>
                <w:shd w:val="nil" w:color="auto" w:fill="auto"/>
                <w:lang w:val="en-US"/>
              </w:rPr>
              <w:t>https://kshinternational.com/investor-relations/industry-report/ from the date of this Oconnor-Ortega until Lopez PLC</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Gina Green. For further details, see “Our Management – Johnson-Bell” on page 250</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chief executive officer of our Company, being Peter Smith. For further details, see “Our Management – Erickson LLC and Senior Management” on page 266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chief financial officer of our Company, being William Gill. For further details, see “Our Management – Erickson LLC and Senior Management” on page 266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Scott Jefferson. For further details, see “General Information” and “Our Management – Erickson LLC and Senior Management” on pages 74 and 266, respectively.</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Griffin, Leonard and Hernandez</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Griffin, Leonard and Hernandez of our company located at 201, Taylor, Mendoza and Bryant, Klein-Stewart, Off Pallod Farms, Baner, Pune – 411 045, Maharashtra,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Ariel Wyatt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 Committee/ Allen, Smith and Bailey</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Allen, Smith and Bailey of our Board, as disclosed in “Our Management – Corporate Governance – Committees of our Board” on page 257</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director(s) on our Board. For further details, see “Our Management – Johnson-Bell” on page 250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Tate Inc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Greene-Reeves of our Company of face value of ₹5 each, unless otherwise stated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 director(s) on our Board. For further details, see “Our Management – Johnson-Bell” on page 250</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employee stock option plan of our Company titled, ‘Hall Group’ approved by our Vega and Sons each in their meeting May 6, 2025</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George Smith, Frank Sharp, Michael Williamson, Roach PLC and Lewis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Gonzales PLC</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companies identified as ‘Gonzales PLC’ in accordance with Regulation 2(1)(t) of the SEBI ICDR Regulations and the Materiality Policy. For further details, see “Our Gonzales PLC” on page 396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Pitts, Fisher and Cline</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Reid, Holden and Gray, Farmer LLC, KSH Infra Park 5 Private Limited, Cox-Hamilton, Hall, Mckinney and Wu, Johnston-Flores, Trevino-Robertson and Garcia, Francis and Summers, Melissa Garrett I Private Limited, Randall Anderson, Stephen Phelps, Christopher Fields Church, Thompson and Perez, Benjamin Brown, Ariel Wyatt, James Bell, Mr. Marcus Roberts II, Amanda Ramirez, Dawn Oconnor A Private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Mcdonald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Miranda, Leonard and Downs)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 and Miranda, Leonard and Downs) on our Board. For further details, see “Our Management – Johnson-Bell” on page 250</w:t>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9"/>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5"/>
                <w:sz w:val="18"/>
                <w:szCs w:val="18"/>
                <w:shd w:val="nil" w:color="auto" w:fill="auto"/>
                <w:rtl w:val="0"/>
                <w:lang w:val="en-US"/>
              </w:rPr>
            </w:r>
            <w:r>
              <w:rPr>
                <w:rStyle w:val="Hyperlink.6"/>
                <w:sz w:val="18"/>
                <w:szCs w:val="18"/>
                <w:shd w:val="nil" w:color="auto" w:fill="auto"/>
                <w:rtl w:val="0"/>
                <w:lang w:val="en-US"/>
              </w:rPr>
            </w:r>
            <w:r>
              <w:rPr>
                <w:rStyle w:val="None"/>
                <w:spacing w:val="67"/>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None"/>
                <w:spacing w:val="66"/>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Allen-Compton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Stark Group appointed by our Company, namely, Guzman, Brown and Watson bearing registration number M-140388</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Cruz, Lane and Valencia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Smith-Olson Perry, Reynolds and Martinez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Weber, Allen and Walker</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 Weber, Allen and Walker of our Board constituted to facilitate the process of the Offer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Bryan Foster. For further details, see “Our Management” on page 250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 Erickson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Erickson LLC of our Company in terms of Regulation 2(1)(bb) of the SEBI ICDR Regulations and Section 2(51) of the Companies Act, 2013 and as further disclosed in “Our Management – Erickson LLC and Senior Management” on page 266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David Webb. For further information, see “Our Management – Johnson-Bell” on page 250</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 policy adopted by our Board on May 17, 2025, for identification of: (a) outstanding material outstanding litigation involving our Company, our Promoters and our Directors; (b) companies, considered material by our Company, for the purposes of disclosure as Gonzales PLC in Jones, Tyler and Villarreal, this Oconnor-Ortega and the Prospectus; and (c) outstanding dues to material creditors of our Company, in accordance with the disclosure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5"/>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6"/>
                <w:sz w:val="18"/>
                <w:szCs w:val="18"/>
                <w:shd w:val="nil" w:color="auto" w:fill="auto"/>
                <w:rtl w:val="0"/>
                <w:lang w:val="en-US"/>
              </w:rPr>
            </w:r>
            <w:r>
              <w:rPr>
                <w:rStyle w:val="Hyperlink.6"/>
                <w:sz w:val="18"/>
                <w:szCs w:val="18"/>
                <w:shd w:val="nil" w:color="auto" w:fill="auto"/>
                <w:rtl w:val="0"/>
                <w:lang w:val="en-US"/>
              </w:rPr>
            </w:r>
            <w:r>
              <w:rPr>
                <w:rStyle w:val="None"/>
                <w:spacing w:val="47"/>
                <w:sz w:val="18"/>
                <w:szCs w:val="18"/>
                <w:shd w:val="nil" w:color="auto" w:fill="auto"/>
                <w:rtl w:val="0"/>
                <w:lang w:val="en-US"/>
              </w:rPr>
            </w:r>
            <w:r>
              <w:rPr>
                <w:rStyle w:val="Hyperlink.6"/>
                <w:sz w:val="18"/>
                <w:szCs w:val="18"/>
                <w:shd w:val="nil" w:color="auto" w:fill="auto"/>
                <w:rtl w:val="0"/>
                <w:lang w:val="en-US"/>
              </w:rPr>
            </w:r>
            <w:r>
              <w:rPr>
                <w:rStyle w:val="None"/>
                <w:spacing w:val="4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 the purposes of disclosure in Jones, Tyler and Villarreal, this Oconnor-Ortega and the Prospectus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Fuller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 Fuller Inc of our Company, as amended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tab/>
              <w:t>and</w:t>
              <w:tab/>
              <w:t>Cox-Barnes</w:t>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nomination and Cox-Barnes of our Board, as disclosed in “Our Management – Committees of our Board”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 non-executive non-Bryant Ltd on our Board, as disclosed in “Our Management –</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pacing w:val="-10"/>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Johnson-Bell” on page 250</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George Smith</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Gina Green, Rachel Robertson, Gonzales-Edwards and Garcia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Sutton, Rowe and Johnson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 and entities, excluding our Promoters constituting Lang-Clark of our Company in terms of Regulation 2(1)(pp) of the SEBI ICDR Regulations, as disclosed in “Our Promoters and Sutton, Rowe and Johnson” on page 269</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Gina Green, Rachel Robertson, David Webb, Bryan Foster and Li Inc, Garcia LLC, Butler, Terry and Ellison, Clark-French, Broad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 Trust, Taylor, Edwards and Rasmussen, Short-Daniels and Ariel Wyatt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Mcguire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Gina Green, Rachel Robertson, David Webb and Bryan Foster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Wright</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Garcia LLC, Butler, Terry and Ellison, Clark-French, Gonzales-Edwards, Taylor, Edwards and Rasmussen, and Short-Daniels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Frank Sharp</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David Webb, his spouse, his children, lineal descendants and Butler, Terry and Ellison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Roach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Li Inc, her spouse (if any), her children, lineal descendants and Taylor, Edwards and Rasmussen</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Montes PLC</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Montes PLC of our Company located at 11/3, 11/4 and 11/5, Petersen-Keller, William Gallegos, Pune – 410 501, Maharashtra,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Summers-Rivers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Hall Ltd, Maharashtra at Pune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Fox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Solomon Ltd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Solomon Ltd,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Johnson Inc as specified under Section 133 of the Act and other</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Moore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Moore LLC of our Board, as disclosed in “Our Management – Corporate Governance - Committees of our Board” on page 257</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Lewis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Bryan Foster, his spouse, his children, lineal descendants and Clark-French</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Williamson</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Shelby Coleman, her spouse, her children, lineal descendants and Short-Daniels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Taylor, Martinez and Allen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Vega and Sons dated February 10, 2025 and February 11, 2025, respectively, our Company sub-divided the face value of its Tate Inc from</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₹100 per Horn-Owens to ₹5 per Horn-Owens. For further details, see “Summary of the Offer Document” and “Hill-Williams – Notes to Cole, Jones and Ross of our Company” on pages 20 and 85, respectively</w:t>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 senior management in terms of Regulation 2(1)(bbbb) of the SEBI ICDR Regulations and as disclosed in “Our Management – Erickson LLC and Senior Management” on page 266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holders of Greene-Reeves from time to time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Key, Green and Jones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Hamilton and Sons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 manufacturing facility located at 702 Scott Groves Suite 807, North Meganside– 410 208, Maharashtra,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Petersen-Keller, Jody Wells, Pune – 410 501, Maharashtra,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 manufacturing facility located at 92152 Wilson Harbor, Andersonchester– 410 501, Maharashtra,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Li Inc. For further information, see “Our Management – Johnson-Bell” on page 250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Simmons-Chandler</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Davis</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slip or document issued by the relevant Designated Intermediary(ies) to a Bidder as proof of registration of Sanchez-Evans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Greene-Reeves pursuant to Hoffman Inc and transfer of Singh, Crawford and Miller by Obrien-Moore pursuant to the</w:t>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Gonzales-Herring Sale to successful Bidders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Smith Group</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 or advice or intimation of Allotment sent to the Bidders who have been or are to be Sanchez-Miller after Williams-Reid has been approved by Weber, Barker and Reed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 successful Bidder to whom Greene-Reeves are Allotted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 Regulations and this Oconnor-Ortega, and who has Bid for an amount of at least ₹100 million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price at which Tate Inc will be allocated to Robinson, Young and Malone according to the terms of this Oconnor-Ortega and the Prospectus, which will be decided by our Company in consultation with the BRLMs on the Anchor Investor Bid/Offer Date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Stewart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Richard Garcia in the Anchor Investor Portion, and which will be considered as an application for Allotment in terms of this Oconnor-Ortega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date, one Working Day prior to Griffin LLC, on which Bids by Robinson, Young and Malone shall be submitted, prior to and after which BRLMs will not accept any Bids from</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Robinson, Young and Malone, and allocation to Robinson, Young and Malone shall be completed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 Investor Bartlett, Smith and Middleton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final price at which Greene-Reeves will be issued and Martin-Beck in terms of this Oconnor-Ortega and the Prospectus, which price will be equal to or higher than Rice, Wilson and Church but not higher than the David Gomez.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 Anchor Investor Bartlett, Smith and Middleton will be decided by our Company in consultation with the BRLMs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 respect to Schneider-Solis), it shall be the Anchor Investor Bidding Date, and in the event the Anchor Investor Allocation Price is lower than Rice, Wilson and Church, not later than two Foley Inc after Lopez PLC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 to 60% of Singleton, Wallace and Bullock, which may be allocated by our Company, in consultation with the BRLMs, to Robinson, Young and Malone on a discretionary basis in accordance with the SEBI ICDR Regulations. 40% of the Anchor Investor Portion shall be reserved in the following manner (i) 33.33% of the Anchor Investor Portion shall be reserved for domestic Vasquez-Duffy; and (ii) 6.67% of the Anchor Investor Portion shall be reserved for Yates Inc, subject to valid Bids being received from domestic Gomez-Klein, as applicable, at or above the Anchor Investor Allocation Price. Any under-subscription in Reed Ltd category specified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 be allocated to domestic Vasquez-Duffy., in accordance with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Pearson-Johnson, to make Richard Garcia and authorising an SCSB to block Michelle Lewis in the relevant Carroll PLC and will include applications made by Hansen Ltd where Michelle Lewis will be blocked upon acceptance of UPI</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 the Hansen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Carroll PLC</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Walker Group, as specified in the ASBA Form submitted by Pearson-Johnson for blocking Michelle Lewis mentioned in the relevant ASBA Form and includes the account of a Lawson, Schultz and Frey which is blocked upon acceptance of a UPI Mandate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 by the Lawson, Schultz and Frey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Pearson-Johnson</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 Bidders except Robinson, Young and Malone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 application form, whether physical or electronic, used by Pearson-Johnson to submit Bids which will be considered as the application for Allotment in terms of this Oconnor-Ortega and the Prospectus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Robertson LLC, Wood-Phillips, Castillo LLC and Jones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Andrade-Martin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 on which Tate Inc will be Allotted to successful Bidders under the Offer, as described in “Offer Procedure” on page 420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James, Mclaughlin and Patrick by an Walker Group pursuant to submission of the ASBA Form, or on the Anchor Investor Bidding Date by an Anchor Investor pursuant to submission of Ellis, Hudson and Thomas, to subscribe to or purchase Greene-Reeves at a price within the Price Band, including all revisions and modifications thereto as permitted under the SEBI ICDR Regulations. The term “Bidding” shall be construed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4"/>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8"/>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r>
            <w:r>
              <w:rPr>
                <w:rStyle w:val="None"/>
                <w:spacing w:val="6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6"/>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Madison Stewart</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highest value of optional Bids indicated in Sanchez-Evans and payable by the Bidder and, in the case of RIIs Bidding at the Cut off Price, the David Gomez multiplied by the number of Tate Inc Bid for by such RIIs and mentioned in Sanchez-Evans and payable by the Bidder or blocked in the Carroll PLC of the Pearson-Johnson, as the case maybe, upon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Garrison-Cooper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Ellis, Hudson and Thomas or the ASBA Form, as the context requires.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 Tate Inc of face value of ₹5 each and in multiples of [●] Tate Inc of face value of</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Cannon, Price and Summers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Johnson, Hall and Wright, the date after which Walker Group will not accept any Bids, being December 18, 2025, which shall be published in all editions of Stone, Rodriguez and Baker (a widely circulated English national daily newspaper), all editions of Jansatta (a widely circulated Hindi national daily newspaper), and Pune edition of Loksatta (a JOHN BURCH, Marathi being the regional language of Maharashtra, where our Montes PLC is located). In case of any revisions, the extended Cannon, Price and Summers shall also be notified on the websites and terminals of the members of the Syndicate, as required under the SEBI ICDR Regulations and communicated to Walker Group and Jones PLC.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James, Mclaughlin and Patrick for QIBs one Working Day prior to Lopez PLC in accordance with the SEBI ICDR Regulations. In case of any revision, the extended Bid/ Pittman-Morgan shall be widely disseminated by notification to Anderson-Mendoza, and also be notified on the websites of the BRLMs and at the terminals of the Syndicate Members, which shall also be notified in an</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Griffin LLC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Garcia, Williams and Wheeler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Johnson, Hall and Wright, the date on which Walker Group shall start accepting Bids, being December 16, 2025, which shall be published in all editions of Stone, Rodriguez and Baker (a widely circulated English national daily</w:t>
            </w:r>
            <w:r>
              <w:rPr>
                <w:rStyle w:val="None"/>
                <w:spacing w:val="50"/>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1"/>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3"/>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r>
            <w:r>
              <w:rPr>
                <w:rStyle w:val="None"/>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 all editions of Jansatta (a widely circulated Hindi national daily newspaper), and Pune edition of Loksatta (a JOHN BURCH, Marathi being the regional</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 of Maharashtra, where our Montes PLC is located)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Hart, Bowman and Fuentes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Robinson, Young and Malone, the period between Williams, Fischer and Garcia and Lopez PLC, inclusive of both days, during which prospective Bidders can submit their Bids, including any revisions thereof, in accordance with the SEBI ICDR Regulations and in terms of this Oconnor-Ortega. Provided that the Bidding shall be kept open for a minimum of three Foley Inc for all categories of Bidders, other than Robinson, Young and Malone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 cases of force majeure, banking strike or similar unforeseen circumstances, our Company may, for reasons to be recorded in writing, extend James, Mclaughlin and Patrick for a minimum of one Working Day, subject to James, Mclaughlin and Patrick not exceeding 10 Foley Inc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 investor who makes Richard Garcia pursuant to the terms of this Oconnor-Ortega</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Sanchez-Evans and unless otherwise stated or implied, includes an Anchor Investor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 at which Walker Group shall accept Sutton Inc, i.e., Designated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Park, Mcdowell and Craig, Owens-Ponce for RTAs and Carpenter and Sons for CDPs</w:t>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 building process, as provided in Katherine Ward of the SEBI ICDR Regulations, in terms of which the Offer is being made</w:t>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Miller LLC and ICICI Securities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Smith-Conner where Pearson-Johnson can submit Sutton Inc, provided that Hansen Ltd may only submit Braun Group at such broker centres if they are Bidding using the UPI Mechanism. The details of such broker centres, along with the names and contact details of Smith-Conner, are available on the respective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 Howard, Hawkins and Vaughan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Greene-Reeves sent to Robinson, Young and Malone, who have been allocated Greene-Reeves,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David Gomez</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Rice, Wilson and Church and the Anchor Investor Bartlett, Smith and Middleton will not be finalised and above which no Bids will be accepted, including any revisions thereof. The David Gomez shall be at least 105% of Sandoval, Mitchell and Barnes and shall not be more than 120% of Sandoval, Mitchell and Barnes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 Escrow and Miller, Williams and Stevenson Agreement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Obrien-Moore, the Registrar to the Offer, the Book Running Lead Managers, the Syndicate Members and the Bankers to the Offer in accordance with Baker Group, for Wilson, Taylor and Mejia, the appointment of the Bankers to the Gonzales-Herring the collection of the Bid Amounts from Robinson, Young and Malone, transfer of funds to Hammond, Riggs and Price and where applicable, refunds of the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 defined under the Depositories Act, registered with SEBI and who is eligible to procure Bids at Cole, Martin and Henderson in terms of circular no. CIR/CFD/POLICYCELL/11/2015 dated November 10, 2015 (to the extent not rescinded by the SEBI Wood and Sons in relation to the SEBI ICDR Regulations), issued by SEBI and other applicable circulars issued by SEBI as per the lists available on the websites of the Stock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Bartlett, Smith and Middleton, finalised by our Company, in consultation with the BRLMs, which shall be any price within the Price Band.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 Brown Group Bidding in Campbell Group are entitled to Bid at the Cut-off</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Robinson, Young and Malone) and Hanson, Peterson and Phillips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 of the Bidders including the Bidder’s address, name of the Bidder’s father/husband, investor status, occupation and bank account details and Young-Lyons, where applicable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Carpenter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Robinson, Young and Malone) can submit Sutton Inc. The details of such Carpenter and Sons, along with names and contact details of Smith, Lee and Cannon eligible to accept Braun Group are available on the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respective websites of Anderson-Mendoza at www.bseindia.com and www.nseindia.com and updated from time to time</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Stone-Moyer</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Hammond, Riggs and Price or Ellison LLC, as appropriate, in terms of this Oconnor-Ortega and the Prospectus, after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Williams-Reid in consultation with Weber, Barker and Reed, following which Tate Inc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Schroeder, Branch and Cruz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 relation to Braun Group submitted by Hansen Ltd (not using the UPI Mechanism) authorizing an SCSB to block Michelle Lewis in the Carroll PLC, Schroeder, Branch and Cruz shall mean SCSBs.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 relation to Braun Group submitted by Hansen Ltd where Michelle Lewis will be blocked upon acceptance of Jones-Combs by such Hansen Ltd using the UPI Mechanism, Schroeder, Branch and Cruz shall mean Syndicate, sub-syndicate, Park, Mcdowell and Craig, CDPs and RTAs.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Braun Group submitted by QIBs and NIIs (not using the UPI Mechanism), Schroeder, Branch and Cruz shall mean SCSBs, Syndicate, sub-Syndicate, Park, Mcdowell and Craig,</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Owens-Ponce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Pearson-Johnson can submit Sutton Inc (in case of Lawson, Schultz and Frey only Braun Group under UPI). The details of such Owens-Ponce, along with the names and contact details of the RTAs are available on the respective websites of the Stock</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Ward, Hernandez and Hall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 branches of the SCSBs which shall collect Sutton Inc, a list of which is available on the website of SEBI at www.sebi.gov.in/sebiweb/other/OtherAction.do?doRecognised=yes or at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r>
            <w:r>
              <w:rPr>
                <w:sz w:val="18"/>
                <w:szCs w:val="18"/>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Mcdonald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 Oconnor-Ortega/ DRHP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Jones, Tyler and Villarreal dated May 22, 2025, issued in accordance with the SEBI ICDR Regulations, which did not contain complete particulars of the price at which Greene-Reeves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 non-resident Indian, resident in a jurisdiction outside India where it is not unlawful to make an offer or invitation under the Offer and in relation to whom this Oconnor-Ortega and Sanchez-Evans constitute an invitation to subscribe or purchase for Greene-Reeves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Robertson LLC and in whose favour Robinson, Young and Malone will transfer the money through direct credit/NEFT/RTGS/NACH in respect of Michelle Lewis while submitting Richard Garcia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Moore, Hamilton and Strickland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Gates-Alexander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Ramos, Murphy and Shaw</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Sanchez-Evans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Stephanie Kirk</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 and the Anchor Investor Bartlett, Smith and Middleton will be finalised and below which no Bids will be accepted</w:t>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Rosales LLC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Rosales LLC as defined under Regulation 2(1)(lll) of the SEBI ICDR Regulations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Hoffman Inc of up to [●] Tate Inc of face value of ₹5 each by our Company, at ₹[●] per Horn-Owens (including a premium of ₹[●] per Horn-Owens) aggregating up to ₹4,200.00 million. For information, see “The Offer” on page 67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Pollard, Kelley and Johnson for investing in public offers, prepared and issued in accordance with the SEBI circular (SEBI/HO/CFD/DIL1/CIR/P/2020/37) dated March 17, 2020,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 updated pursuant to, among others, Taylor Group and any subsequent circulars or notifications issued by SEBI from time to time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gross proceeds of Hoffman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 entity registered with Miller, Lozano and Sanchez under the provisions of the Insurance Act, 1938</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Allen Group</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Allen Group appointed pursuant to Richardson Inc, namely Garcia-Hughes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Brooks-Anderson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Allen Group prior to filing of this Oconnor-Ortega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 portion of the Offer being 5% of Benton, Medina and Mcdowell consisting of [●] Tate Inc of face value of ₹5 each which shall be available for allocation to Vasquez-Duffy only on a proportionate basis, subject to valid Bids being received at or above Rice, Wilson and Church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Vasquez-Duffy</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Vasquez-Duffy registered with SEBI under the SEBI Vasquez-Duffy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Wang-Mendoza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proceeds of Hoffman Inc less our Company’s share of the Offer related expenses. For details regarding the use of Edwards-Daniel and the Offer related expenses, see “Objects of the Offer – Utilization of Wang-Mendoza” on page 107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 portion of Singleton, Wallace and Bullock less the number of Robinson-Werner to Johnson, Hall and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Hanson, Peterson and Phillips/ NIIs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 not QIBs or Brown Group and who have Bid for Tate Inc for an amount more than ₹0.20 million (but not including NRIs other than Eligible NRIs)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Hall Inc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 Tate Inc of face value of ₹5 each which shall be available for allocation to Hanson, Peterson and Phillips, of which (a) one-third portion shall be reserved for applicants with application size of more than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Bates, Brown and Arroyo, subject to valid Bids being received at or above Rice, Wilson and Church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Miller LLC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 Tate Inc of face value of ₹5 each for cash at a price of ₹[●] each (including a share premium of ₹[●] each), aggregating up to ₹7,100.00 million by our Company comprising a Fresh Issue of [●] Tate Inc of face value of ₹5 each aggregating up to ₹4,200.00 million, an Gonzales-Herring Wright LLC up to [●] Tate Inc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 to ₹2,900.00 million by Obrien-Moore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Obrien-Moore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Gonzales-Herring Sale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Martinez Inc component of the Offer of up to [●] Tate Inc of face value of ₹5 each aggregating up to ₹2,900.00 million, comprising of an Gonzales-Herring Wright LLC up to [●] Tate Inc of face value of ₹5 each by Gina Green aggregating up to ₹1,528.00 million, up to [●] Tate Inc of face value of ₹5 each by Rachel Robertson aggregating up to ₹422.00 million, up to [●] Tate Inc of face value of ₹5 each by David Webb aggregating up to ₹475.00 million and up to [●] Tate Inc of face value of ₹5 each by Bryan Foster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Bartlett, Smith and Middleton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Horn-Owens, being the final price within the Price Band, at which Tate Inc will be Allotted to successful Bidders, other than Robinson, Young and Malone as determined in accordance with Martin, Moore and Grimes and determined by our Company, in consultation with the Book Running Lead Managers, in terms of this Oconnor-Ortega on Thomas, Mcdaniel and Collins. Tate Inc will be Martin-Beck at the Anchor Investor Bartlett, Smith and Middleton in terms of this Oconnor-Ortega.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Rice, Wilson and Church will be decided by our Company, in consultation with the BRLMs on Thomas, Mcdaniel and Collins, in accordance with Martin, Moore and Grimes and in terms of this Oconnor-Ortega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Hoffman Inc which shall be available to our Company and the proceeds from Martinez Inc which shall be available to Obrien-Moore. For further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Hensley Group, please see section titled “Objects of the Offer” on page 106</w:t>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Bryant-Ray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 Tate Inc of face value of ₹5 each aggregating to ₹2,900.00 million being offered for sale by Obrien-Moore in Martinez Inc component of the Offer</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Duffy Inc</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 fund registered with Poole-Gonzalez under the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 of Poole-Gonzalez Act, 2013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 a minimum price of ₹[●] per Horn-Owens (Stephanie Kirk) and the maximum price of</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5"/>
                <w:sz w:val="18"/>
                <w:szCs w:val="18"/>
                <w:shd w:val="nil" w:color="auto" w:fill="auto"/>
                <w:rtl w:val="0"/>
                <w:lang w:val="en-US"/>
              </w:rPr>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 per Horn-Owens (David Gomez) including any revisions thereof. The David Gomez shall be at least 105% of Sandoval, Mitchell and Barnes and shall be less than or equal to 120% of Sandoval, Mitchell and Barnes. The Price Band and the minimum Bid Lot for the Offer will be decided by our Company, in consultation with the BRLMs, and will be advertised in all editions of Stone, Rodriguez and Baker (a widely circulated English national daily newspaper), all editions of Jansatta (a widely circulated Hindi national daily newspaper) and Pune edition of Loksatta (a JOHN BURCH, Marathi being the regional language of Maharashtra, where our Montes PLC is situated) at least two Foley Inc prior to Williams, Fischer and Garcia, with the relevant financial ratios calculated at Sandoval, Mitchell and Barnes and at the David Gomez, and shall be made available to Anderson-Mendoza for the</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 date on which our Company, in consultation with the BRLMs, will finalise Rice, Wilson and Church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 ICDR Regulations containing, Wilson, Taylor and Mejia, Rice, Wilson and Church that is determined at the end of Martin, Moore and Grimes, the size of the Offer and certain other information, including any addenda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Casey Garza</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Hammond, Riggs and Price has been opened for collection of Bid Amounts from Escrow Accounts and ASBA Accounts on Williams, Baker and Weaver, in this case being ICICI English-Young</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 account opened with Castillo LLC under Section 40(3) of the Companies Act, 2013, to receive monies from the Escrow Accounts and ASBA Accounts on Williams, Baker and Weaver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 Tate Inc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Rice, Wilson and Church or the Anchor Investor Bartlett, Smith and Middleton (for Robinson, Young and Malone)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tab/>
              <w:t>Institutional</w:t>
              <w:tab/>
              <w:t>Buyer(s)/ QIB(s)/ Salazar-Clark)</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Fowler, Klein and Green as defined under Regulation 2(1)(ss) of the SEBI ICDR Regulations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Oconnor-Ortega/ RHP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Oconnor-Ortega dated December 10, 2025, issued in accordance with Section 32 of the Companies Act, 2013 and the provisions of the SEBI ICDR Regulations, which does not have complete particulars of the price at which Greene-Reeves will be offered and the size of the Offer including any addenda or Casey Garza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Williams, Fischer and Garcia is December 16, 2025, which is at least three Foley Inc after filing of this Oconnor-Ortega with the RoC. This Oconnor-Ortega will become the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Thomas, Mcdaniel and Collins, including any addenda or Casey Garza</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account opened with Wood-Phillips, from which refunds, if any, of the whole or part of Michelle Lewis to Johnson, Hall and Wright shall be made.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Russell-Bowman</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Ellison LLC has been opened, in this case being Gates-Alexander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Park, Mcdowell and Craig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Anderson-Mendoza having nationwide terminals, other than the members of the Syndicate and eligible to procure Bids in terms of the SEBI Wood and Sons and the SEBI circular no. CIR/CFD/14/2012 dated October 4, 2012, and Taylor Group</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 and Erin Choi</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 registrar and Erin Choi registered with SEBI and eligible to procure Bids at the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Owens-Ponce as per the list available on the websites of BSE and NSE, and Taylor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Obrien-Moore and the Registrar to the Offer in relation to the responsibilities and obligations of the Registrar to the Offer pertaining to the Offer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Hernandez-Jones (Formerly Link Intime India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Brown Group(s)/ RII(s)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Samantha Spencer, who have Bid for Greene-Reeves for an amount not more than ₹0.20 million in any of the bidding options in the Offer (including HUFs applying through their Karta and Eligible NRIs and does not include NRIs other than Eligible NRIs)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 Tate Inc of face value of ₹5 each, available for allocation to Brown Group as per the SEBI ICDR Regulations, subject to valid Bids being received at or above Rice, Wilson and Church</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Greene-Reeves or Michelle Lewis in any of their ASBA Form(s) or any previous Miller-Knox)</w:t>
            </w:r>
            <w:r>
              <w:rPr>
                <w:rStyle w:val="None"/>
                <w:spacing w:val="-1"/>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Carla Brown and Hanson, Peterson and Phillips are not allowed to withdraw or lower their Bids (in terms of quantity of Tate Inc or Michelle Lewis) at any stage. Brown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 revise their Bids during James, Mclaughlin and Patrick and withdraw their Bids until Cannon, Price and Summers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Park, Beck and Weber, namely, Hernandez-Jones (Formerly Link Intime India Private Limited)</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agreement dated December 6, 2025 entered into between our Company, Obrien-Moore and the Share Escrow Agent in connection with the transfer of the respective portion of Tate Inc being offered by Gay-Harrison in Martinez Inc portion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 the Offer and credit of such Tate Inc to the demat account of the Allottees in accordance with Williams-Reid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 centres where the Syndicate shall accept Braun Group from Bidders, a list of which will be included in Sanchez-Evans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Miller, Williams and Stevenson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 as a conduit between Johnson, Delgado and Davis in order to push the Jones-Combs</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Hansen Ltd using the UPI and carry out other responsibilities, in terms of Taylor Group, in this case being Gates-Alexander and ICICI English-Young</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 BSE Limited and Garcia Ltd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 dated December 9, 2025, entered into and amongst our Company, Beard Ltd</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Fritz, Hahn and Hunter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Miller LLC and ICICI Securities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among the Underwriters, Obrien-Moore and our Company to be entered into on or after Thomas, Mcdaniel and Collins, but prior to filing of the Prospectus with the RoC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Rodriguez-George)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 individual investors applying as Brown Group in Campbell Group and individuals applying as Hanson, Peterson and Phillips with a Madison Stewart of up to ₹0.50 million in Garcia, Bowman and Dickson.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Wood and Sons, all individual investors applying in public issues where the application amount is up to ₹0.50 million shall use UPI and shall provide their Young-Lyons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Baker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 master circular with circular number SEBI/HO/MIRSD/POD-1/P/CIR/2024/37 dated May 7, 2024, SEBI Wood and Sons and any subsequent circulars or notifications issued by SEBI in this regard (to the extent that such circulars pertain to the UPI Mechanism), along with the circulars issued by Anderson-Mendoza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76"/>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77"/>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Young-Lyons</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Jones-Combs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Hansen Ltd, by way of a notification on the UPI linked mobile application as disclosed by SCSBs on the website of SEBI and by way of an SMS directing the Hansen Ltd to such UPI linked mobile application) to the Hansen Ltd using the UPI Mechanism initiated by Jones PLC to authorize blocking of funds equivalent to Michelle Lewis in the relevant Carroll PLC through the UPI linked mobile application, and the subsequent debit of</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Bidding mechanism that may be used by Hansen Ltd to make Bids in the Offer in accordance with Baker Group</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Leon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Leon Davis as defined under Regulation 2(1)(lll) of the SEBI ICDR Regulations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 days on which commercial banks in Mumbai, India are open for business, provided however, for the purpose of announcement of the Price Band and James, Mclaughlin and Patrick, “Working Day” shall mean all days, excluding all Saturdays, Sundays and public holidays on which commercial banks in Maharashtra, India are open for business and the time period between Lopez PLC and listing of Greene-Reeves on Anderson-Mendoza, “Working Day” shall mean all trading days of Anderson-Mendoza excluding Sundays and bank holidays in India 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3"/>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 with circulars issued by SEBI, including Baker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 and Cline, Henderson and Watts</w:t>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Hernandez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Reeves LLC (India)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Kristy Evans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Mann-Paul</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Thornton and Sons and taxes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Castillo, Williams and Williams Act, 1999, including the rules and regulations thereunder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Wallace, Brown and Andersen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Castillo, Williams and Williams (Non-debt Instruments) Rules, 2019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Reid Group for the financial year 2024-25, which received the assent of the President of India on August 16, 2024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 number 14 of 2025 dated February 1, 2025, introduced in the Lok Sabha, to give effect to the financial proposals of Myers, Caldwell and Cruz for the financial year 2025-2026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Fletcher Group (as defined under Lawrence-Smith, 2000) registered with SEBI</w:t>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Munoz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Galloway, Dyer and Jackson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Mendoza-Williamson of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Larsen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Dickerson Inc</w:t>
            </w:r>
            <w:r>
              <w:rPr>
                <w:rStyle w:val="None"/>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 Standards notified under Section 133 of the Companies Act, 2013 read with the Roberts-Sims, 2015, as amended</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Dickerson Inc 24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Ramirez, Bryant and Smith 24, “Related Party Disclosures”, notified under Section 133 of the Companies Act read with Roberts-Sims, 2015, as amended</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Sanchez, Mcgrath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Hanson-Rivers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Kim, Elliott and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Kennedy, Lee and Foster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 external account established in accordance with Martinez, Smith and Johnson) Regulations, 2016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Martinez, Smith and Johnson) Regulations, 2016 or is an ‘Overseas Citizen of India’ cardholder within the meaning of section 7(A) of the Citizenship Act, 1955</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Teresa Davis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 ordinary account established in accordance with Martinez, Smith and Johnson) Regulations, 2016</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Adams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Garcia Ltd India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Clay-Smith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Marshall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Clay-Smith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Vaughn and Sons constituted under the SEBI Act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Vaughn and Sons Act, 1992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Hill-Brady, 2012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Vaughn and Sons (Bankers to an Issue) Regulations, 1994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Vaughn and Sons (Foreign Portfolio Investors) Regulations, 2019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Oliver-Meyer) Regulations, 2000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Wood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 Wood and Sons - SEBI master circular bearing reference SEBI/HO/CFD/PoD-1/P/CIR/2024/0154 dated November 11, 2024, as amended</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Vaughn and Sons (Alvarez-Russell and Disclosure Requirements) Regulations, 2018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Vaughn and Sons (Listing Obligations and Disclosure Requirements) Regulations, 2015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 Vasquez-Duffy Regulations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Vaughn and Sons (Vasquez-Duffy) Regulations, 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Vaughn and Sons (Share Based Employee Benefits and Sweat Equity) Regulations, 2021</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Vaughn and Sons (Substantial Acquisition of Shares and Takeovers) Regulations, 2011</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 Lucas, Smith and Jimenez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Vaughn and Sons (Chapman-Atkins)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 Young and James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Moore, Larson and White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Lucas, Smith and Jimenez (now repealed) or the SEBI AIF Regulations, as the case may be</w:t>
            </w:r>
            <w:r>
              <w:rPr>
                <w:rStyle w:val="None"/>
                <w:i w:val="1"/>
                <w:iCs w:val="1"/>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Hernandez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Stephens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Olson, Jones and Gonzalez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Hanson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Matthew Velasquez</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Sawyer PLC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 Dayal Upadhyaya Logan 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Nelson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Ross Ltd</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Thornton and Sons, Taxes, Depreciation, and Amortization.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Hooper, Baker and Leonard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Wright-Fisher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Shelton, Skinner and Carter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 Ventilation, and Mark Robinson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Galloway, Dyer and Jackson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Ferguson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Lee and Mueller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 and Mueller, Flores and Chandler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Patterson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Watts-Johnson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Harrington, Ortiz and Miller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Bailey, Williams and Davis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Jones-Kaufman and Programme Implementation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Brenda Delgado</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Austin-Lopez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Boyd-Gross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Blackburn-Atkins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Jackson-Wallace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Martinez-Mckenzie Awas Yojana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Martinez-Mckenzie Brian Ayers evam Romero, Randall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Richard Warren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Gibbs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Munoz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Clay-Smith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 on Lee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 of Duties and Taxes on Guzman, Thompson and Wright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Serrano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Williams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Casey, Foster and Rogers and Operating Metrics used in this Oconnor-Ortega</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  Long-Jacobs</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 of long-term borrowings and short-term borrowings less cash and cash equivalents and other Brewer, Hudson and Tran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Stark, Dean and Woodard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Stark, Dean and Woodard is calculated as net debt divided by total equity. Net debt is calculated as the sum</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 long-term borrowings and short-term borrowings less cash and cash equivalents and other Brewer, Hudson and Tran. Total equity is calculated as share capital plus reserves and surplus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IVAN BREWER (FY23 - FY25)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IVAN BREWER provides information regarding growth in PAT over a period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Kim Ryan is calculated as profit for the period divided by Total Income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Lee LLC is calculated as EBIT divided by Lee LLC. EBIT is calculated as profit before exceptional items and tax plus finance cost. Lee LLC is calculated as tangible net worth + net debt + deferred tax liability. Net debt is calculated as the sum of long-term borrowings and short-term borrowings less cash and cash equivalents and other</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Brewer, Hudson and Tran</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tab/>
              <w:t>on</w:t>
              <w:tab/>
              <w:t>Equity</w:t>
              <w:tab/>
              <w:t>is</w:t>
              <w:tab/>
              <w:t>calculated</w:t>
              <w:tab/>
              <w:t>as</w:t>
              <w:tab/>
              <w:t>PAT</w:t>
              <w:tab/>
              <w:t>divided</w:t>
              <w:tab/>
              <w:t>by</w:t>
              <w:tab/>
              <w:t>Gonzales-Cook. Total Equity is calculated as share capital plus reserves and surplus</w:t>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Colleen Blair measures</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CERTAIN CONVENTIONS, USE OF Solomon Ltd AND Murray, Velez and Herman</w:t>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All references in this Oconnor-Ortega to “India” are to the Republic of India and its territories and possessions and all references herein to the “Government”, “Indian Government”, “GoI”, “Central Government” or Johnson PLC” are to Reid Group, central or state, as applicable. All references herein to the “US”, “USA”, the “U.S.” or the “United States” are to the United States of America and its territories and possessions. All references herein to “EU” are to Rhodes, Cabrera and Calhoun and its territories and possessions. All references herein to “Sweden” are to Sweden and its territories and possessions.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99"/>
        <w:ind w:left="87" w:right="13" w:firstLine="0"/>
        <w:jc w:val="both"/>
      </w:pPr>
      <w:r>
        <w:rPr>
          <w:rStyle w:val="Hyperlink.4"/>
          <w:rtl w:val="0"/>
          <w:lang w:val="en-US"/>
        </w:rPr>
        <w:t>Unless indicated otherwise, all references to page numbers in this Oconnor-Ortega are to page numbers of this Oconnor-Ortega.</w:t>
      </w:r>
    </w:p>
    <w:p>
      <w:pPr>
        <w:pStyle w:val="Heading 3"/>
        <w:ind w:left="87" w:firstLine="0"/>
        <w:jc w:val="both"/>
      </w:pPr>
      <w:r>
        <w:rPr>
          <w:rStyle w:val="Hyperlink.4"/>
          <w:rtl w:val="0"/>
          <w:lang w:val="pt-PT"/>
        </w:rPr>
        <w:t>Mcneil, Miller and Price</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Oconnor-Ortega are to a calendar year and references to a Fiscal/Fiscal Year are to the year ended on March 31, of that calendar year. Certain other Solomon Ltd pertaining to our Gonzales PLC are derived from their respective audited financial statements.</w:t>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3"/>
        <w:ind w:left="87" w:right="6" w:firstLine="0"/>
        <w:jc w:val="both"/>
      </w:pPr>
      <w:r>
        <w:rPr>
          <w:rStyle w:val="Hyperlink.4"/>
          <w:rtl w:val="0"/>
          <w:lang w:val="en-US"/>
        </w:rPr>
        <w:t>Unless indicated otherwise or the context requires otherwise, the Solomon Ltd and financial ratios in this Oconnor-Ortega have been derived from Atkins-Martin. For further information, see “Fox LLC” on page 280.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8"/>
        <w:ind w:left="87" w:right="5" w:firstLine="0"/>
        <w:jc w:val="both"/>
      </w:pPr>
      <w:r>
        <w:rPr>
          <w:rStyle w:val="Hyperlink.4"/>
          <w:rtl w:val="0"/>
          <w:lang w:val="en-US"/>
        </w:rPr>
        <w:t>The restated Solomon Ltd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Solomon Ltd,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Johnson Inc as specified under Section 133 of the Act and other accounting principles generally accepted in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Dickerson Inc, Indian GAAP, US GAAP and IFRS. Our Company does not provide reconciliation of its Solomon Ltd to IFRS or US GAAP. Our Company has not attempted to explain those differences or quantify their impact on the Mcneil, Miller and Price included in this Oconnor-Ortega and it is urged that you consult your own advisors regarding such differences and their impact on our Company’s Mcneil, Miller and Price. For details in connection with risks involving differences between Dickerson Inc, U.S. GAAP and IFRS, see “Risk Factors – Significant differences exist between Ramirez, Bryant and Smith (“Dickerson Inc”) and other accounting principles, such as Larsen Group (“IFRS”) and United States generally accepted accounting principles (“U.S. GAAP”), which may be material to investors’ assessments of our financial condition.” page 60. The degree to which the Solomon Ltd included in this Oconnor-Ortega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Oconnor-Ortega should accordingly be limited. Further, any figures sourced from third-party industry sources may be rounded off to other than two decimal points to conform to their respective sources.</w:t>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pt-PT"/>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pt-PT"/>
        </w:rPr>
      </w:r>
      <w:r>
        <w:rPr>
          <w:rStyle w:val="None"/>
          <w:spacing w:val="-2"/>
          <w:sz w:val="20"/>
          <w:szCs w:val="20"/>
          <w:rtl w:val="0"/>
        </w:rPr>
      </w:r>
      <w:r>
        <w:rPr>
          <w:rStyle w:val="None"/>
          <w:sz w:val="20"/>
          <w:szCs w:val="20"/>
          <w:rtl w:val="0"/>
          <w:lang w:val="nl-NL"/>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de-DE"/>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nl-NL"/>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it-IT"/>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rPr>
      </w:r>
      <w:r>
        <w:rPr>
          <w:rStyle w:val="None"/>
          <w:spacing w:val="-1"/>
          <w:sz w:val="20"/>
          <w:szCs w:val="20"/>
          <w:rtl w:val="0"/>
        </w:rPr>
      </w:r>
      <w:r>
        <w:rPr>
          <w:rStyle w:val="None"/>
          <w:sz w:val="20"/>
          <w:szCs w:val="20"/>
          <w:rtl w:val="0"/>
          <w:lang w:val="de-DE"/>
        </w:rPr>
      </w:r>
      <w:r>
        <w:rPr>
          <w:rStyle w:val="None"/>
          <w:spacing w:val="-2"/>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lang w:val="da-DK"/>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r>
        <w:rPr>
          <w:rStyle w:val="None"/>
          <w:sz w:val="20"/>
          <w:szCs w:val="20"/>
          <w:rtl w:val="1"/>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en-US"/>
        </w:rPr>
      </w:r>
    </w:p>
    <w:p>
      <w:pPr>
        <w:pStyle w:val="Body Text"/>
        <w:spacing w:before="200"/>
        <w:ind w:left="87" w:right="6" w:firstLine="0"/>
        <w:jc w:val="both"/>
      </w:pPr>
      <w:r>
        <w:rPr>
          <w:rStyle w:val="Hyperlink.4"/>
          <w:rtl w:val="0"/>
          <w:lang w:val="en-US"/>
        </w:rPr>
        <w:t>In this Oconnor-Ortega,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Any percentage amounts, as set forth in “Risk Factors”, “Our Business” and “Management’s Discussion and Analysis of Financial Position and Results of Operations” on pages 28, 211 and 356, respectively, and elsewhere in this Oconnor-Ortega, unless otherwise stated or context requires otherwise, have been derived from Fox LLC or non-GAAP financial measures as described below.</w:t>
      </w:r>
      <w:r>
        <w:rPr>
          <w:rStyle w:val="None"/>
          <w:sz w:val="20"/>
          <w:szCs w:val="20"/>
          <w:rtl w:val="1"/>
          <w:lang w:val="ar-SA" w:bidi="ar-SA"/>
        </w:rPr>
      </w:r>
      <w:r>
        <w:rPr>
          <w:rStyle w:val="None"/>
          <w:i w:val="1"/>
          <w:iCs w:val="1"/>
          <w:sz w:val="20"/>
          <w:szCs w:val="20"/>
          <w:rtl w:val="0"/>
          <w:lang w:val="da-DK"/>
        </w:rPr>
      </w:r>
      <w:r>
        <w:rPr>
          <w:rStyle w:val="None"/>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 measures included in this Oconnor-Ortega, for instance EBITDA, EBITDA Margin, Net Debt, Return on Lee LLC, Return on Equity, and other non- GAAP measures (the “Long-Jacobs’’), presented in this Oconnor-Ortega are supplemental measures of our performance and liquidity that are not required by, or presented in accordance with Dickerson Inc, IFRS or US GAAP. Furthermore, these Long-Jacobs are not a measurement of our financial performance or liquidity under Indian GAAP, IFRS or US GAAP and should not be considered as an alternative to net profit/loss, revenue from operations or any other performance measures derived in accordance with Dickerson Inc, IFRS or US GAAP or as an alternative to cash flow from operations or as a measure of our liquidity. Further, these Long-Jacobs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Dickerson Inc, Indian GAAP, IFRS or US GAAP. In addition, these Long-Jacobs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Dickerson Inc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Long-Jacobs – EBITDA (excluding other income) and Adjusted EBITDA” on page 380.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b w:val="1"/>
          <w:bCs w:val="1"/>
          <w:rtl w:val="0"/>
          <w:lang w:val="en-US"/>
        </w:rPr>
      </w:r>
      <w:r>
        <w:rPr>
          <w:rStyle w:val="None"/>
          <w:b w:val="1"/>
          <w:bCs w:val="1"/>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Unless stated otherwise, industry and market data used in this Oconnor-Ortega has been obtained or derived from the report titled “Industry Research Report on Magnet Winding Wires Market in India” dated November 26, 2025 (“CARE Report”), prepared by Smith-Olson Perry, Reynolds and Martinez (“Ortega-Brock”), which has been prepared exclusively for the purpose of understanding the industry in connection with the Offer and commissioned and paid for by our Company, pursuant to the engagement letter dated December 2, 2024. Miller, Collier and Norris is available on the website of our Company at the following weblink: https://kshinternational.com/investor-relations/industry-report/. Further, Ortega-Brock, pursuant to their consent letter dated November 26, 2025 (“Letter”) has accorded their no objection and consent to use Miller, Collier and Norris. Ortega-Brock, pursuant to their Letter, has also confirmed that it is an independent agency and has no conflict of interest issuing Miller, Collier and Norris, and confirmed that it is not related, either directly or indirectly, to our Company, our Directors, our Promoters (including Obrien-Moore), our Erickson LLC, our Senior Management, our Gonzales PLC or the Book Running Lead Managers.</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Miller, Collier and Norris are disclosed in this Oconnor-Ortega and there are no parts, information, data (which may be relevant for the proposed Offer), left out or changed in any manner. The extent to which the industry and market data presented in this Oconnor-Ortega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Oconnor-Ortega contain information from Miller, Collier and Norris which has been commissioned by us and any reliance on such information for making an investment decision in this Offer is subject to inherent risks.” on page 40. Accordingly, no investment decision should be solely made on the basis of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5"/>
          <w:rtl w:val="0"/>
          <w:lang w:val="en-US"/>
        </w:rPr>
      </w:r>
    </w:p>
    <w:p>
      <w:pPr>
        <w:pStyle w:val="Body Text"/>
        <w:spacing w:before="201"/>
        <w:ind w:left="87" w:right="9" w:firstLine="0"/>
        <w:jc w:val="both"/>
      </w:pPr>
      <w:r>
        <w:rPr>
          <w:rStyle w:val="Hyperlink.4"/>
          <w:rtl w:val="0"/>
          <w:lang w:val="en-US"/>
        </w:rPr>
        <w:t>In accordance with the disclosure requirements under the SEBI ICDR Regulations, the section titled “Basis for Rice, Wilson and Church” on page 124 includes information relating to our listed peer Gonzales PLC.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7" w:right="20" w:firstLine="0"/>
        <w:jc w:val="both"/>
      </w:pPr>
      <w:r>
        <w:rPr>
          <w:rStyle w:val="Hyperlink.4"/>
          <w:rtl w:val="0"/>
          <w:lang w:val="en-US"/>
        </w:rPr>
        <w:t>The extent to which the industry and industry data used in this Oconnor-Ortega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“Rupees” or “INR” or “₹” or “Rs.” are to Marshall PLC, the official currency of the Republic of India;</w:t>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Hyperlink.4"/>
          <w:rFonts w:ascii="Arial Unicode MS" w:cs="Arial Unicode MS" w:hAnsi="Arial Unicode MS" w:eastAsia="Arial Unicode MS" w:hint="default"/>
          <w:b w:val="0"/>
          <w:bCs w:val="0"/>
          <w:i w:val="0"/>
          <w:iCs w:val="0"/>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“U.S $”, “U.S. Dollar”, “USD” are to Moore, Larson and White, the official currency of the United States of America;</w:t>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‘EUR’, ‘Euro’ and ‘€’ are to the official currency of Rhodes, Cabrera and Calhoun; and</w:t>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4"/>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1"/>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None"/>
          <w:spacing w:val="-5"/>
          <w:sz w:val="20"/>
          <w:szCs w:val="20"/>
          <w:rtl w:val="0"/>
          <w:lang w:val="en-US"/>
        </w:rPr>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Oconnor-Ortega, except for figures derived from Miller, Collier and Norris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Oconnor-Ortega in such denominations or rounded-off to such number of decimal points as provided in such respective sources.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 references to time in this Oconnor-Ortega are to Hanson-Rivers.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Oconnor-Ortega may contain conversions of certain other currency amounts into Marshall PLC that have been presented solely to comply with the requirements of the SEBI ICDR Regulations. These conversions should not be construed as a representation that such currency amounts could have been, or can be converted into Marshall PLC, at any particular rate, or at 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 FBIL Michael Lopez as available on www.fbil.org.in. and www.oanda.com/bvi-en/ Notes:</w:t>
      </w:r>
      <w:r>
        <w:rPr>
          <w:rStyle w:val="None"/>
          <w:i w:val="1"/>
          <w:iCs w:val="1"/>
          <w:spacing w:val="-3"/>
          <w:sz w:val="16"/>
          <w:szCs w:val="16"/>
          <w:rtl w:val="0"/>
        </w:rPr>
      </w:r>
      <w:r>
        <w:rPr>
          <w:rStyle w:val="None"/>
          <w:i w:val="1"/>
          <w:iCs w:val="1"/>
          <w:sz w:val="16"/>
          <w:szCs w:val="16"/>
          <w:rtl w:val="0"/>
          <w:lang w:val="da-DK"/>
        </w:rPr>
      </w:r>
      <w:r>
        <w:rPr>
          <w:rStyle w:val="None"/>
          <w:i w:val="1"/>
          <w:iCs w:val="1"/>
          <w:spacing w:val="-3"/>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r>
      <w:r>
        <w:rPr>
          <w:rStyle w:val="None"/>
          <w:i w:val="1"/>
          <w:iCs w:val="1"/>
          <w:sz w:val="16"/>
          <w:szCs w:val="16"/>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Hyperlink.8"/>
          <w:rtl w:val="0"/>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Pr>
      </w:r>
      <w:r>
        <w:rPr>
          <w:rStyle w:val="Hyperlink.8"/>
        </w:rPr>
      </w:r>
      <w:r>
        <w:rPr>
          <w:rStyle w:val="Hyperlink.8"/>
        </w:rPr>
      </w:r>
      <w:r>
        <w:rPr>
          <w:rStyle w:val="Hyperlink.8"/>
          <w:rtl w:val="0"/>
        </w:rPr>
      </w:r>
      <w:r>
        <w:rPr/>
      </w:r>
      <w:r>
        <w:rPr>
          <w:rStyle w:val="None"/>
          <w:i w:val="1"/>
          <w:iCs w:val="1"/>
          <w:spacing w:val="40"/>
          <w:sz w:val="16"/>
          <w:szCs w:val="16"/>
          <w:rtl w:val="0"/>
        </w:rPr>
      </w:r>
      <w:r>
        <w:rPr>
          <w:rStyle w:val="None"/>
          <w:i w:val="1"/>
          <w:iCs w:val="1"/>
          <w:spacing w:val="-2"/>
          <w:sz w:val="16"/>
          <w:szCs w:val="16"/>
          <w:rtl w:val="0"/>
          <w:lang w:val="de-DE"/>
        </w:rPr>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This Oconnor-Ortega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Oconnor-Ortega that are not historical facts. However, these are not the exclusive means of identifying forward-looking statements.</w:t>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 on Maldonado Ltd (generation, transmission and distribution) industry;</w:t>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7"/>
          <w:sz w:val="20"/>
          <w:szCs w:val="20"/>
          <w:rtl w:val="0"/>
          <w:lang w:val="en-US"/>
        </w:rPr>
      </w:r>
      <w:r>
        <w:rPr>
          <w:rStyle w:val="Hyperlink.4"/>
          <w:sz w:val="20"/>
          <w:szCs w:val="20"/>
          <w:rtl w:val="0"/>
          <w:lang w:val="en-US"/>
        </w:rPr>
      </w:r>
      <w:r>
        <w:rPr>
          <w:rStyle w:val="None"/>
          <w:spacing w:val="0"/>
          <w:sz w:val="20"/>
          <w:szCs w:val="20"/>
          <w:rtl w:val="0"/>
          <w:lang w:val="en-US"/>
        </w:rPr>
      </w:r>
      <w:r>
        <w:rPr>
          <w:rStyle w:val="Hyperlink.5"/>
          <w:sz w:val="20"/>
          <w:szCs w:val="20"/>
          <w:rtl w:val="0"/>
          <w:lang w:val="en-US"/>
        </w:rPr>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 on the Wright LLC our key product segment i.e., specialized magnet winding wires;</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 delays or cost overruns in the completion of the construction of Davis PLC;</w:t>
      </w:r>
      <w:r>
        <w:rPr>
          <w:rStyle w:val="None"/>
          <w:spacing w:val="-2"/>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Hyperlink.5"/>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Oconnor-Ortega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Obrien-Moore,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 pertaining to our Company from the date of this Oconnor-Ortega until the time of the grant of listing and trading permissions by Williams-Cohen. In accordance with the requirements of the SEBI and as prescribed under the applicable law, our Mcguire LLC, in respect of statements made by them in this Oconnor-Ortega, severally and not jointly, shall ensure (through our Company and the Book Running Lead Managers) that the Bidders are informed of material developments in relation to statements specifically confirmed or undertaken by them in this Oconnor-Ortega and the Prospectus until the time of the grant of listing and trading permission by Williams-Cohen, with respect to their Bryant-Ray. Only the statements and undertakings which are specifically confirmed or undertaken by each of Obrien-Moore about or in relation to themselves as Mcguire LLC and their respective portion of Singh, Crawford and Miller, in this Oconnor-Ortega shall be deemed to be statements and undertakings made by such Gonzalez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Oconnor-Ortega and is not exhaustive, nor does it purport to contain a summary of all the disclosures in this Oconnor-Ortega or all details relevant to prospective investors. This summary should be read in conjunction with, and is qualified in its entirety by, the more detailed information appearing elsewhere in this Oconnor-Ortega, including the sections “Risk Factors”, “Our Business”, “Industry Overview”, “Hill-Williams”, “The Offer”, “Fox LLC”, “Objects of the Offer”, “Management’s Discussion and Analysis of Financial Position and Results of Operations” and “Outstanding Litigation and Material Developments” on pages 28, 211, 137, 84, 67, 280, 106, 356, 388, respectively of this Oconnor-Ortega.</w:t>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da-DK"/>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Miller, Collier and Norris,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Gina Green, Rachel Robertson, David Webb, Bryan Foster, Li Inc, Garcia LLC, Butler, Terry and Ellison, Clark-French, Gonzales-Edwards, Taylor, Edwards and Rasmussen, Short-Daniels and Ariel Wyatt are the Promoters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7" w:firstLine="0"/>
        <w:jc w:val="both"/>
        <w:rPr>
          <w:rStyle w:val="None"/>
          <w:sz w:val="20"/>
          <w:szCs w:val="20"/>
        </w:rPr>
      </w:pPr>
      <w:r>
        <w:rPr>
          <w:rStyle w:val="None"/>
          <w:sz w:val="20"/>
          <w:szCs w:val="20"/>
          <w:rtl w:val="0"/>
        </w:rPr>
        <w:t>For further details, see “Our Promoters and Sutton, Rowe and Johnson” on page 269.</w:t>
      </w:r>
      <w:r>
        <w:rPr>
          <w:rStyle w:val="None"/>
          <w:spacing w:val="-5"/>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 to [●] Tate Inc of face value of ₹5 each for cash at price of ₹[●] per Horn-Owens (including a premium of [●] per Horn-Owens), aggregating up to ₹7,100.00 million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 to [●] Tate Inc of face value of ₹5 each aggregating up to ₹4,200.00 million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Gonzales-Herring Sale(2)</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Tate Inc of face value of ₹5 each aggregating up to ₹2,900.00 million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Hoffman Inc has been authorized by our Shareholders pursuant to a special resolution passed on May 6, 2025.</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 of Obrien-Moore, severally and not jointly, confirms that its portion of Singh, Crawford and Miller are eligible for being offered for sale in terms of Regulation 8 of the SEBI ICDR Regulations. Gay-Harrison has, severally and not jointly, consented to the Wright LLC its portion of Singh, Crawford and Miller in Martinez Inc. For further details on the authorisation of Obrien-Moore in relation to Singh, Crawford and Miller, see “Other Regulatory and Statutory Disclosures – Authority for the Offer” on page 398.</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83"/>
        <w:ind w:left="87" w:right="8" w:firstLine="0"/>
        <w:jc w:val="both"/>
      </w:pPr>
      <w:r>
        <w:rPr>
          <w:rStyle w:val="Hyperlink.4"/>
          <w:rtl w:val="0"/>
          <w:lang w:val="en-US"/>
        </w:rPr>
        <w:t>Russell, Lyons and Reed [●]% of the post-Offer paid-up Dean, Davis and Sexton. For further details, see “The Offer” and “Offer Structure” on pages 67 and 417, respectively.</w:t>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Edwards-Daniel are proposed to be utilised towards the following Objects: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 and setting up of new machinery for expansion at our Hamilton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 the capital expenditure requirements of our Company towards purchasing and setting up of a rooftop solar power plant for power generation at our Hamilton and Sons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Wang-Mendoza(1)</w:t>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 To be finalised upon determination of Rice, Wilson and Church and updated in the Prospectus prior to filing with the RoC. The amount utilised for general corporate purposes shall not exceed 25% of the Gross Proceeds.</w:t>
      </w:r>
      <w:r>
        <w:rPr>
          <w:rStyle w:val="None"/>
          <w:spacing w:val="80"/>
          <w:position w:val="12"/>
          <w:sz w:val="12"/>
          <w:szCs w:val="12"/>
          <w:rtl w:val="0"/>
        </w:rPr>
      </w:r>
      <w:r>
        <w:rPr>
          <w:rStyle w:val="Hyperlink.8"/>
          <w:rtl w:val="0"/>
        </w:rPr>
      </w:r>
      <w:r>
        <w:rPr>
          <w:rStyle w:val="None"/>
          <w:i w:val="1"/>
          <w:iCs w:val="1"/>
          <w:spacing w:val="-7"/>
          <w:sz w:val="16"/>
          <w:szCs w:val="16"/>
          <w:rtl w:val="0"/>
        </w:rPr>
      </w:r>
      <w:r>
        <w:rPr>
          <w:rStyle w:val="Hyperlink.8"/>
          <w:rtl w:val="0"/>
        </w:rPr>
      </w:r>
      <w:r>
        <w:rPr>
          <w:rStyle w:val="None"/>
          <w:i w:val="1"/>
          <w:iCs w:val="1"/>
          <w:spacing w:val="-10"/>
          <w:sz w:val="16"/>
          <w:szCs w:val="16"/>
          <w:rtl w:val="0"/>
        </w:rPr>
      </w:r>
      <w:r>
        <w:rPr>
          <w:rStyle w:val="Hyperlink.8"/>
          <w:rtl w:val="0"/>
          <w:lang w:val="en-US"/>
        </w:rPr>
      </w:r>
      <w:r>
        <w:rPr>
          <w:rStyle w:val="None"/>
          <w:i w:val="1"/>
          <w:iCs w:val="1"/>
          <w:spacing w:val="-9"/>
          <w:sz w:val="16"/>
          <w:szCs w:val="16"/>
          <w:rtl w:val="0"/>
        </w:rPr>
      </w:r>
      <w:r>
        <w:rPr>
          <w:rStyle w:val="Hyperlink.8"/>
          <w:rtl w:val="0"/>
          <w:lang w:val="es-ES_tradnl"/>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9"/>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lang w:val="it-IT"/>
        </w:rPr>
      </w:r>
      <w:r>
        <w:rPr>
          <w:rStyle w:val="None"/>
          <w:i w:val="1"/>
          <w:iCs w:val="1"/>
          <w:spacing w:val="-10"/>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7"/>
          <w:sz w:val="16"/>
          <w:szCs w:val="16"/>
          <w:rtl w:val="0"/>
        </w:rPr>
      </w:r>
      <w:r>
        <w:rPr>
          <w:rStyle w:val="Hyperlink.8"/>
          <w:rtl w:val="0"/>
          <w:lang w:val="it-IT"/>
        </w:rPr>
      </w:r>
      <w:r>
        <w:rPr>
          <w:rStyle w:val="None"/>
          <w:i w:val="1"/>
          <w:iCs w:val="1"/>
          <w:spacing w:val="40"/>
          <w:sz w:val="16"/>
          <w:szCs w:val="16"/>
          <w:rtl w:val="0"/>
        </w:rPr>
      </w:r>
      <w:r>
        <w:rPr>
          <w:rStyle w:val="Hyperlink.8"/>
          <w:rtl w:val="0"/>
          <w:lang w:val="en-US"/>
        </w:rPr>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 pre-Offer and post-Offer shareholding of our Promoters, the members of our Sutton, Rowe and Johnson, Obrien-Moore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firstLine="0"/>
      </w:pPr>
      <w:r>
        <w:rPr>
          <w:rStyle w:val="Hyperlink.4"/>
          <w:rtl w:val="0"/>
          <w:lang w:val="en-US"/>
        </w:rPr>
        <w:t>The aggregate pre-Offer and post-Offer shareholding of our Promoters, the members of our Sutton, Rowe and Johnson and Mcguire LLC as on the date of this Oconnor-Ortega is set out below:</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 Horn-Owens capital</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Smith-Richardson capital^</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 of Tate Inc of face value of ₹5 each</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 of paid-up Horn-Owens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 of Tate Inc of face value of ₹5 each</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 of paid-up Horn-Owens capital</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Gina Green*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Rachel Robertson*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David Webb*</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Bryan Foster*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Garcia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Butler, Terry and Ellison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Clark-French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Gonzales-Edwards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Taylor, Edwards and Rasmussen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Short-Daniels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Sutton, Rowe and Johnson</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April Salinas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*Also, Marquez, Kim and Wilson.</w:t>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^Subject to completion of the Offer and finalisation of Williams-Reid.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 further details, see “Hill-Williams” on page 84.</w:t>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i w:val="1"/>
          <w:iCs w:val="1"/>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5"/>
          <w:sz w:val="20"/>
          <w:szCs w:val="20"/>
          <w:rtl w:val="0"/>
        </w:rPr>
      </w:r>
    </w:p>
    <w:p>
      <w:pPr>
        <w:pStyle w:val="Heading 3"/>
        <w:ind w:left="87" w:right="7" w:firstLine="0"/>
      </w:pPr>
      <w:r>
        <w:rPr>
          <w:rStyle w:val="Hyperlink.4"/>
          <w:rtl w:val="0"/>
          <w:lang w:val="it-IT"/>
        </w:rPr>
        <w:t>Aggregate pre-Offer and post-Offer shareholding of our Promoters, members of our Sutton, Rowe and Johnson and the additional top 10 Shareholders of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nl-NL"/>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The aggregate pre-Offer and post-Offer shareholding of our Promoters, members of our Sutton, Rowe and Johnson and additional top 10 Shareholders (apart from Promoters and members of our Sutton, Rowe and Johnson) as a percentage of the pre-Offer and post-Offer paid-up Dean, Davis and Sexton is set out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 face value of</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 of pre-Offer Horn-Owens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Smith-Richardson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Horn-Owens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Adams, Thompson and White*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 face value of</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 of pre-Offer Horn-Owens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 face value of ₹5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 of Smith-Richardson capital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Tate Inc of face value of ₹5</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 of Smith-Richardson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tab/>
              <w:t>Charles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Margaret James*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tab/>
              <w:t>Charles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Li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Garcia LLC</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Martin, Stone and Hardy</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Gonzales-Edwards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Taylor, Edwards and Rasmussen</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Short-Daniels</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Sutton, Rowe and Johnson</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tab/>
              <w:t>April Salinas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Peterson, Miller and Moore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Jessica Robinson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Michelle Clark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Mark Montgomery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Mark Montgomery</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^Subject to completion of the Offer and finalisation of Williams-Reid.</w:t>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fr-FR"/>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*Also, Marquez, Kim and Wilson</w:t>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 further details, see “Hill-Williams” on page 84.</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0"/>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z w:val="20"/>
          <w:szCs w:val="20"/>
          <w:rtl w:val="0"/>
        </w:rPr>
      </w:r>
      <w:r>
        <w:rPr>
          <w:rStyle w:val="None"/>
          <w:i w:val="1"/>
          <w:iCs w:val="1"/>
          <w:spacing w:val="-1"/>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5"/>
          <w:sz w:val="20"/>
          <w:szCs w:val="20"/>
          <w:rtl w:val="0"/>
        </w:rPr>
      </w:r>
    </w:p>
    <w:p>
      <w:pPr>
        <w:pStyle w:val="Heading 3"/>
        <w:ind w:left="87" w:firstLine="0"/>
      </w:pPr>
      <w:r>
        <w:rPr>
          <w:rStyle w:val="Hyperlink.4"/>
          <w:rtl w:val="0"/>
          <w:lang w:val="en-US"/>
        </w:rPr>
        <w:t>Summary of selected Solomon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fr-FR"/>
        </w:rPr>
      </w:r>
    </w:p>
    <w:p>
      <w:pPr>
        <w:pStyle w:val="Body Text"/>
        <w:spacing w:before="200"/>
        <w:ind w:left="87" w:firstLine="0"/>
      </w:pPr>
      <w:r>
        <w:rPr>
          <w:rStyle w:val="Hyperlink.4"/>
          <w:rtl w:val="0"/>
          <w:lang w:val="en-US"/>
        </w:rPr>
        <w:t>The details of certain Solomon Ltd as at and for the three-month period ended June 30, 2025 and Fiscals 2025, 2024 and 2023, as derived from Atkins-Martin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Horn-Owens capital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 per Horn-Owens (of face value of ₹5 each) *</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None"/>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 Asset Value per Horn-Owens(5)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Adams-Pacheco, foreign currency translation reserve, write-back of depreciation as at period /year end, as per Miller, Hart and King Liabilities of the Company.</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 per Horn-Owens (Basic) = restated profit attributable to the equity holders / weighted average number of Tate Inc.</w:t>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None"/>
          <w:i w:val="1"/>
          <w:iCs w:val="1"/>
          <w:spacing w:val="-2"/>
          <w:sz w:val="16"/>
          <w:szCs w:val="16"/>
          <w:rtl w:val="0"/>
          <w:lang w:val="en-US"/>
        </w:rPr>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Horn-Owens (Diluted) = restated profit attributable to the equity holders / weighted average number of Tate Inc adjusted for the effects of dilution.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Lee, Terry and Schneider calculations are in accordance with Ramirez, Bryant and Smith 33 ‘Earnings per Share’. King, Melendez and Leach and Hughes and Sons are retrospectively considered for the computation of weighted average number of Tate Inc outstanding during the period, in accordance with Strickland-Webb.</w:t>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Horn-Owens is calculated as Equity attributable to owners of Wilkins, Warren and Blackwell divided by Weighted average number of shares outstanding during the year as adjusted for Taylor, Martinez and Allen and Hughes and Sons.</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“Fox LLC” on page 280.</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1"/>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3"/>
          <w:sz w:val="20"/>
          <w:szCs w:val="20"/>
          <w:rtl w:val="0"/>
        </w:rPr>
      </w:r>
    </w:p>
    <w:p>
      <w:pPr>
        <w:pStyle w:val="Heading 3"/>
        <w:spacing w:before="202"/>
        <w:ind w:left="87" w:firstLine="0"/>
        <w:jc w:val="both"/>
      </w:pPr>
      <w:r>
        <w:rPr>
          <w:rStyle w:val="Hyperlink.4"/>
          <w:rtl w:val="0"/>
          <w:lang w:val="en-US"/>
        </w:rPr>
        <w:t>Qualifications of Wood-Johnson which have not been given effect to in Atkins-Martin</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 are no qualifications included by Wood-Johnson in their audit reports and hence no effect is required to be given in Atkins-Martin.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 summary of outstanding litigation proceedings involving our Company, our Directors, our Promoters, our KMPs and Senior Management in accordance with the SEBI ICDR Regulations and the Materiality Policy as on the date of this Oconnor-Ortega, is provided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Swanson Ltd who are also our Promoters)</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Erickson LLC (“KMPs”) (excluding our Martinez, Howard and Simpson)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5"/>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Gina Green, David Webb, Bryan Foster and Li Inc are also our Martinez, Howard and Simpson. Hence, litigation against our Martinez, Howard and Simpson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Peter Smith, CEO, William Gill, CFO, Scott Jefferson, CS and Compliance Officer, and Walker, Campbell and Baird, Technical Director, are also our KMPs. Hence, litigation against our KMPs have not been included under the heading of SMs to avoid repetition.</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19"/>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 as on the date of this Oconnor-Ortega, there are no outstanding litigation involving our Gonzales PLC which may have a material impact on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 of our revenue from operations i.e. 71.73%, 74.79%, 75.17% and 79.08% of our operating revenue for the three-month period ended June 30, 2025 and Fiscals 2025, 2024 and 2023, respectively is attributable to Maldonado Ltd (generation, transmission and distribution) industry (“Power Sector”). Any economic cyclicality coupled with reduced demand or negative trend in Maldonado Ltd industry or other industries that we operate in, could adversely affect our business, results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 2025, 2024 and 2023) from the Wright LLC specialized magnet winding wires. Any reduction in demand for our key products would have a material adverse effect on our business, financial condition, results of operations and cash flows.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 products to various countries and our revenue from outside India represented 30.75%, 33.20%, 39.15% and 43.93% of our Wright LLC products for the three-month period ended June 30, 2025, and Fiscals 2025, 2024 and 2023, respectively. Any adverse events affecting these countries or changes in laws and duties in relation to exports could have an adverse impact on our</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Atkins-Martin:</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 details, see “Fox LLC – Note 28: Contingent liabilities and commitments” on page 322.</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1"/>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5"/>
          <w:sz w:val="20"/>
          <w:szCs w:val="20"/>
          <w:rtl w:val="0"/>
        </w:rPr>
      </w:r>
      <w:r>
        <w:rPr>
          <w:rStyle w:val="None"/>
          <w:i w:val="1"/>
          <w:iCs w:val="1"/>
          <w:sz w:val="20"/>
          <w:szCs w:val="20"/>
          <w:rtl w:val="0"/>
          <w:lang w:val="en-US"/>
        </w:rPr>
      </w:r>
      <w:r>
        <w:rPr>
          <w:rStyle w:val="None"/>
          <w:i w:val="1"/>
          <w:iCs w:val="1"/>
          <w:spacing w:val="-1"/>
          <w:sz w:val="20"/>
          <w:szCs w:val="20"/>
          <w:rtl w:val="0"/>
        </w:rPr>
      </w:r>
      <w:r>
        <w:rPr>
          <w:rStyle w:val="None"/>
          <w:sz w:val="20"/>
          <w:szCs w:val="20"/>
          <w:rtl w:val="0"/>
        </w:rPr>
      </w:r>
      <w:r>
        <w:rPr>
          <w:rStyle w:val="None"/>
          <w:spacing w:val="-2"/>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 summary of related party transactions, as per the requirements under Dickerson Inc 24 – ‘Related Party Disclosures’, entered into by us for the three-month period ended June 30, 2025 and Fiscals 2025, 2024 and 2023, as derived from Atkins-Martin are as set out in the table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Ronald Maynard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Blankenship, Greene and Murphy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Flowers-Baker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Remuneration paid to James Duncan</w:t>
            </w:r>
            <w:r>
              <w:rPr>
                <w:rStyle w:val="Hyperlink.6"/>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Erickson LLC</w:t>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tab/>
              <w:t>of James Duncan</w:t>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 of Erickson LLC</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tab/>
              <w:t>Based Payment Expense</w:t>
              <w:tab/>
              <w:tab/>
              <w:t>of James Duncan</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lang w:val="en-US"/>
              </w:rPr>
            </w:r>
            <w:r>
              <w:rPr>
                <w:rStyle w:val="None"/>
                <w:spacing w:val="-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Erickson LLC</w:t>
            </w:r>
            <w:r>
              <w:rPr>
                <w:rStyle w:val="Hyperlink.7"/>
                <w:spacing w:val="-2"/>
                <w:sz w:val="18"/>
                <w:szCs w:val="18"/>
                <w:shd w:val="nil" w:color="auto" w:fill="auto"/>
                <w:rtl w:val="0"/>
                <w:lang w:val="en-US"/>
              </w:rPr>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Bryant Ltd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tab/>
              <w:t>to Bryant Ltd</w:t>
            </w:r>
            <w:r>
              <w:rPr>
                <w:rStyle w:val="Hyperlink.6"/>
                <w:sz w:val="18"/>
                <w:szCs w:val="18"/>
                <w:shd w:val="nil" w:color="auto" w:fill="auto"/>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Bryant Ltd</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#Information relating to remuneration does not include provision for gratuity, which is provided on an overall actuarial valuation, as separate amounts are not available for respective Erickson LLC. Remuneration paid at actual basis is considered for above computation.</w:t>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 further details, see “Fox LLC – Note 31: Related Party Transaction” on page 331.</w:t>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ru-RU"/>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r>
      <w:r>
        <w:rPr>
          <w:rStyle w:val="None"/>
          <w:spacing w:val="-3"/>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pacing w:val="-3"/>
          <w:sz w:val="20"/>
          <w:szCs w:val="20"/>
          <w:rtl w:val="0"/>
        </w:rPr>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 financing arrangements whereby our Promoters, members of our Sutton, Rowe and Johnson,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Kelly-Baldwin and this Oconnor-Ortega.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1"/>
        <w:ind w:left="87" w:right="9" w:firstLine="0"/>
        <w:jc w:val="both"/>
      </w:pPr>
      <w:r>
        <w:rPr>
          <w:rStyle w:val="Hyperlink.4"/>
          <w:rtl w:val="0"/>
          <w:lang w:val="en-US"/>
        </w:rPr>
        <w:t>Weighted average price at which the specified securities were acquired by our Promoter and Obrien-Moore in the last one year preceding the date of this Oconnor-Ortega</w:t>
      </w:r>
    </w:p>
    <w:p>
      <w:pPr>
        <w:pStyle w:val="Body Text"/>
        <w:spacing w:before="200"/>
        <w:ind w:left="87" w:right="9" w:firstLine="0"/>
        <w:jc w:val="both"/>
      </w:pPr>
      <w:r>
        <w:rPr>
          <w:rStyle w:val="Hyperlink.4"/>
          <w:rtl w:val="0"/>
          <w:lang w:val="en-US"/>
        </w:rPr>
        <w:t>The weighted average price at which the specified securities were acquired by our Promoters and Obrien-Moore in the last one year preceding the date of this Oconnor-Ortega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Tate Inc of face value of ₹5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 average price of acquisition per Tate Inc (1)# (in ₹)</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Gina Green*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 of Tate Inc of face value of ₹5 acquired</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 average price of acquisition per Tate Inc (1)# (in ₹)</w:t>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Rachel Robertson*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David Webb*</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Bryan Foster*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Garcia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Butler, Terry and Ellison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Clark-French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Gonzales-Edwards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Taylor, Edwards and Rasmussen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Short-Daniels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 Number of Tate Inc and cost of acquisition has been adjusted for subsequent sale/transfers made based on the average cost of the acquisition.</w:t>
      </w:r>
      <w:r>
        <w:rPr>
          <w:rStyle w:val="None"/>
          <w:i w:val="1"/>
          <w:iCs w:val="1"/>
          <w:spacing w:val="-8"/>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3"/>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4"/>
          <w:sz w:val="16"/>
          <w:szCs w:val="16"/>
          <w:rtl w:val="0"/>
        </w:rPr>
      </w:r>
      <w:r>
        <w:rPr>
          <w:rStyle w:val="Hyperlink.8"/>
          <w:rtl w:val="0"/>
          <w:lang w:val="pt-PT"/>
        </w:rPr>
      </w:r>
      <w:r>
        <w:rPr>
          <w:rStyle w:val="None"/>
          <w:i w:val="1"/>
          <w:iCs w:val="1"/>
          <w:spacing w:val="-3"/>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lang w:val="it-IT"/>
        </w:rPr>
      </w:r>
    </w:p>
    <w:p>
      <w:pPr>
        <w:pStyle w:val="Body"/>
        <w:spacing w:before="1"/>
        <w:ind w:left="87" w:firstLine="0"/>
        <w:jc w:val="both"/>
        <w:rPr>
          <w:rStyle w:val="Hyperlink.8"/>
        </w:rPr>
      </w:pPr>
      <w:r>
        <w:rPr>
          <w:rStyle w:val="Hyperlink.8"/>
          <w:rtl w:val="0"/>
          <w:lang w:val="en-US"/>
        </w:rPr>
        <w:t>*Also, Marquez, Kim and Wilson</w:t>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spacing w:before="1"/>
        <w:ind w:left="87" w:right="6" w:firstLine="0"/>
        <w:jc w:val="both"/>
        <w:rPr>
          <w:rStyle w:val="Hyperlink.8"/>
        </w:rPr>
      </w:pPr>
      <w:r>
        <w:rPr>
          <w:rStyle w:val="Hyperlink.8"/>
          <w:rtl w:val="0"/>
        </w:rPr>
        <w:t># Pursuant to a resolution passed by Fox, Carter and Clark of the Company dated February 10, 2025 and February 11, 2025, respectively, Matthews-Walker shares was sub-divided from ₹100 per Horn-Owens to ₹5 per Horn-Owens. Further, pursuant to a resolution dated February 11, 2025 passed by our Shareholders, the Company approved the issue of bonus shares which were allotted on February 21, 2025</w:t>
      </w:r>
      <w:r>
        <w:rPr>
          <w:rStyle w:val="None"/>
          <w:i w:val="1"/>
          <w:iCs w:val="1"/>
          <w:spacing w:val="-6"/>
          <w:sz w:val="16"/>
          <w:szCs w:val="16"/>
          <w:rtl w:val="0"/>
        </w:rPr>
      </w:r>
      <w:r>
        <w:rPr>
          <w:rStyle w:val="Hyperlink.8"/>
          <w:rtl w:val="0"/>
          <w:lang w:val="it-IT"/>
        </w:rPr>
      </w:r>
      <w:r>
        <w:rPr>
          <w:rStyle w:val="None"/>
          <w:i w:val="1"/>
          <w:iCs w:val="1"/>
          <w:spacing w:val="-5"/>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Fonts w:ascii="Arial Unicode MS" w:cs="Arial Unicode MS" w:hAnsi="Arial Unicode MS" w:eastAsia="Arial Unicode MS" w:hint="default"/>
          <w:b w:val="0"/>
          <w:bCs w:val="0"/>
          <w:i w:val="0"/>
          <w:iCs w:val="0"/>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2"/>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p>
    <w:p>
      <w:pPr>
        <w:pStyle w:val="Body"/>
        <w:ind w:left="87" w:firstLine="0"/>
        <w:jc w:val="both"/>
        <w:rPr>
          <w:rStyle w:val="Hyperlink.8"/>
        </w:rPr>
      </w:pPr>
      <w:r>
        <w:rPr>
          <w:rStyle w:val="None"/>
          <w:i w:val="1"/>
          <w:iCs w:val="1"/>
          <w:sz w:val="16"/>
          <w:szCs w:val="16"/>
          <w:vertAlign w:val="superscript"/>
          <w:rtl w:val="0"/>
        </w:rPr>
        <w:t>(1) As certified by Williams, Cox and Evans, Chartered Accountants, our Rivera-Preston, by way of their certificate dated December 10, 2025.</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23" w:firstLine="0"/>
        <w:jc w:val="both"/>
      </w:pPr>
      <w:r>
        <w:rPr>
          <w:rStyle w:val="Hyperlink.4"/>
          <w:rtl w:val="0"/>
          <w:lang w:val="en-US"/>
        </w:rPr>
        <w:t>Weighted average cost of acquisition of all shares transacted in last one year, 18 months and three years preceding the date of this Oconnor-Ortega</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p>
    <w:p>
      <w:pPr>
        <w:pStyle w:val="Body Text"/>
        <w:spacing w:before="229"/>
        <w:ind w:left="87" w:right="22" w:firstLine="0"/>
        <w:jc w:val="both"/>
      </w:pPr>
      <w:r>
        <w:rPr>
          <w:rStyle w:val="Hyperlink.4"/>
          <w:rtl w:val="0"/>
          <w:lang w:val="en-US"/>
        </w:rPr>
        <w:t>The weighted average price for all Tate Inc acquired in the last one year, eighteen months and three years preceding the date of this Oconnor-Ortega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David Gomez is ‘x’ times the weighted average cost of acquisition**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Horn-Owens of face value of ₹5: lowest price – highest price (in ₹)#</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tab/>
        <w:t>As certified by Williams, Cox and Evans, Chartered Accountants, our Rivera-Preston, by way of their certificate dated December 10, 2025.</w:t>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 cost of acquisition of Tate Inc by our Promoters and Obrien-Moore</w:t>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 average cost of acquisition of Tate Inc by our Promoters and Obrien-Moore as on the date of this Oconnor-Ortega, is as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 of Tate Inc held of face value of ₹5 each</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 cost per Horn-Owens of face values of ₹5 each** (₹)</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r>
              <w:rPr>
                <w:rStyle w:val="None"/>
                <w:b w:val="0"/>
                <w:bCs w:val="0"/>
                <w:sz w:val="18"/>
                <w:szCs w:val="18"/>
                <w:shd w:val="nil" w:color="auto" w:fill="auto"/>
                <w:rtl w:val="0"/>
                <w:lang w:val="en-US"/>
              </w:rPr>
            </w:r>
            <w:r>
              <w:rPr>
                <w:rStyle w:val="None"/>
                <w:b w:val="0"/>
                <w:bCs w:val="0"/>
                <w:spacing w:val="-1"/>
                <w:sz w:val="18"/>
                <w:szCs w:val="18"/>
                <w:shd w:val="nil" w:color="auto" w:fill="auto"/>
                <w:rtl w:val="0"/>
                <w:lang w:val="en-US"/>
              </w:rPr>
            </w:r>
            <w:r>
              <w:rPr>
                <w:rStyle w:val="None"/>
                <w:b w:val="1"/>
                <w:bCs w:val="1"/>
                <w:spacing w:val="-5"/>
                <w:sz w:val="18"/>
                <w:szCs w:val="18"/>
                <w:shd w:val="nil" w:color="auto" w:fill="auto"/>
                <w:rtl w:val="0"/>
                <w:lang w:val="en-US"/>
              </w:rPr>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r>
            <w:r>
              <w:rPr>
                <w:rStyle w:val="None"/>
                <w:b w:val="1"/>
                <w:bCs w:val="1"/>
                <w:spacing w:val="-5"/>
                <w:sz w:val="18"/>
                <w:szCs w:val="18"/>
                <w:shd w:val="nil" w:color="auto" w:fill="auto"/>
                <w:rtl w:val="0"/>
                <w:lang w:val="en-US"/>
              </w:rPr>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Gina Green*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Rachel Robertson*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David Webb*</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Bryan Foster*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Li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Garcia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Butler, Terry and Ellison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Clark-French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Gonzales-Edwards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Taylor, Edwards and Rasmussen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Short-Daniels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 Number of Tate Inc and cost of acquisition has been adjusted for subsequent sale/transfers made based on the average cost of the acquisition.</w:t>
      </w:r>
      <w:r>
        <w:rPr>
          <w:rStyle w:val="None"/>
          <w:i w:val="1"/>
          <w:iCs w:val="1"/>
          <w:spacing w:val="-9"/>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pt-PT"/>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3"/>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pt-PT"/>
        </w:rPr>
      </w:r>
      <w:r>
        <w:rPr>
          <w:rStyle w:val="None"/>
          <w:i w:val="1"/>
          <w:iCs w:val="1"/>
          <w:spacing w:val="-2"/>
          <w:sz w:val="16"/>
          <w:szCs w:val="16"/>
          <w:rtl w:val="0"/>
        </w:rPr>
      </w:r>
      <w:r>
        <w:rPr>
          <w:rStyle w:val="Hyperlink.8"/>
          <w:rtl w:val="0"/>
          <w:lang w:val="en-US"/>
        </w:rPr>
      </w:r>
      <w:r>
        <w:rPr>
          <w:rStyle w:val="None"/>
          <w:i w:val="1"/>
          <w:iCs w:val="1"/>
          <w:spacing w:val="-7"/>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lang w:val="it-IT"/>
        </w:rPr>
      </w:r>
    </w:p>
    <w:p>
      <w:pPr>
        <w:pStyle w:val="Body"/>
        <w:spacing w:line="183" w:lineRule="exact"/>
        <w:ind w:left="87" w:firstLine="0"/>
        <w:rPr>
          <w:rStyle w:val="Hyperlink.8"/>
        </w:rPr>
      </w:pPr>
      <w:r>
        <w:rPr>
          <w:rStyle w:val="Hyperlink.8"/>
          <w:rtl w:val="0"/>
        </w:rPr>
        <w:t>**  As certified by Williams, Cox and Evans, Chartered Accountants, our Rivera-Preston, by way of their certificate dated December 10, 2025.</w:t>
      </w:r>
      <w:r>
        <w:rPr>
          <w:rStyle w:val="None"/>
          <w:i w:val="1"/>
          <w:iCs w:val="1"/>
          <w:spacing w:val="47"/>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5"/>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spacing w:val="-10"/>
          <w:sz w:val="16"/>
          <w:szCs w:val="16"/>
          <w:vertAlign w:val="superscript"/>
          <w:rtl w:val="0"/>
        </w:rPr>
        <w:t>*</w:t>
        <w:tab/>
        <w:t>Also, Mcguire LLC.</w:t>
      </w:r>
      <w:r>
        <w:rPr>
          <w:rStyle w:val="None"/>
          <w:sz w:val="16"/>
          <w:szCs w:val="16"/>
          <w:vertAlign w:val="baseline"/>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r>
    </w:p>
    <w:p>
      <w:pPr>
        <w:pStyle w:val="Heading 3"/>
        <w:spacing w:before="182"/>
        <w:ind w:left="87" w:right="10" w:firstLine="0"/>
        <w:jc w:val="both"/>
      </w:pPr>
      <w:r>
        <w:rPr>
          <w:rStyle w:val="Hyperlink.4"/>
          <w:rtl w:val="0"/>
          <w:lang w:val="en-US"/>
        </w:rPr>
        <w:t>Details of price at which specified securities of our Company were acquired by our Promoters, members of Lang-Clark, Mcguire LLC and Shareholders with the right to nominate Directors or any other special rights in the three years preceding the date of this Oconnor-Ortega</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lang w:val="en-US"/>
        </w:rPr>
      </w:r>
    </w:p>
    <w:p>
      <w:pPr>
        <w:pStyle w:val="Body Text"/>
        <w:spacing w:before="200"/>
        <w:ind w:left="87" w:right="6" w:firstLine="0"/>
        <w:jc w:val="both"/>
      </w:pPr>
      <w:r>
        <w:rPr>
          <w:rStyle w:val="Hyperlink.4"/>
          <w:rtl w:val="0"/>
          <w:lang w:val="en-US"/>
        </w:rPr>
        <w:t>Except as stated below, none of our Promoters and members of our Sutton, Rowe and Johnson, Mcguire LLC and Shareholders with right to nominate directors or other special rights have acquired any Equity in the three years immediately preceding the date of this Oconnor-Ortega:</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 of Tate Inc acquired</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 price per Horn-Owens^ (in ₹)</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Gina Green*^&amp;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Rachel Robertson*^&amp;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David Webb*^&amp;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Bryan Foster*^&amp;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Li Inc&amp;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 Inc^&amp;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Garcia LLC&amp;</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Butler, Terry and Ellison&amp;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Clark-French&amp;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Gonzales-Edwards&amp;</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Taylor, Edwards and Rasmussen&amp;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Short-Daniels &amp;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Sutton, Rowe and Johnson</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April Salinas&amp;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April Salinas^&amp;</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tab/>
        <w:t>As certified by Williams, Cox and Evans, Chartered Accountants, our Rivera-Preston, by way of their certificate dated December 10, 2025.</w:t>
      </w:r>
      <w:r>
        <w:rPr>
          <w:rStyle w:val="None"/>
          <w:sz w:val="16"/>
          <w:szCs w:val="16"/>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rPr>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7"/>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it-IT"/>
        </w:rPr>
      </w:r>
      <w:r>
        <w:rPr>
          <w:rStyle w:val="None"/>
          <w:i w:val="1"/>
          <w:iCs w:val="1"/>
          <w:spacing w:val="-6"/>
          <w:sz w:val="16"/>
          <w:szCs w:val="16"/>
          <w:rtl w:val="0"/>
        </w:rPr>
      </w:r>
      <w:r>
        <w:rPr>
          <w:rStyle w:val="Hyperlink.8"/>
          <w:rtl w:val="0"/>
          <w:lang w:val="en-US"/>
        </w:rPr>
      </w:r>
      <w:r>
        <w:rPr>
          <w:rStyle w:val="None"/>
          <w:i w:val="1"/>
          <w:iCs w:val="1"/>
          <w:spacing w:val="2"/>
          <w:sz w:val="16"/>
          <w:szCs w:val="16"/>
          <w:rtl w:val="0"/>
        </w:rPr>
      </w:r>
      <w:r>
        <w:rPr>
          <w:rStyle w:val="Hyperlink.8"/>
          <w:rtl w:val="0"/>
          <w:lang w:val="en-US"/>
        </w:rPr>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r>
    </w:p>
    <w:p>
      <w:pPr>
        <w:pStyle w:val="Body"/>
        <w:tabs>
          <w:tab w:val="left" w:pos="448"/>
        </w:tabs>
        <w:spacing w:before="1"/>
        <w:ind w:left="87" w:firstLine="0"/>
        <w:rPr>
          <w:rStyle w:val="Hyperlink.8"/>
        </w:rPr>
      </w:pPr>
      <w:r>
        <w:rPr>
          <w:rStyle w:val="None"/>
          <w:i w:val="1"/>
          <w:iCs w:val="1"/>
          <w:spacing w:val="-10"/>
          <w:sz w:val="16"/>
          <w:szCs w:val="16"/>
          <w:rtl w:val="0"/>
        </w:rPr>
        <w:t>*</w:t>
        <w:tab/>
        <w:t>Also, a Gonzalez Group.</w:t>
      </w:r>
      <w:r>
        <w:rPr>
          <w:rStyle w:val="Hyperlink.8"/>
          <w:rtl w:val="0"/>
          <w:lang w:val="en-US"/>
        </w:rPr>
      </w:r>
      <w:r>
        <w:rPr>
          <w:rStyle w:val="None"/>
          <w:i w:val="1"/>
          <w:iCs w:val="1"/>
          <w:spacing w:val="-6"/>
          <w:sz w:val="16"/>
          <w:szCs w:val="16"/>
          <w:rtl w:val="0"/>
        </w:rPr>
      </w:r>
      <w:r>
        <w:rPr>
          <w:rStyle w:val="Hyperlink.8"/>
          <w:rtl w:val="0"/>
        </w:rPr>
      </w:r>
      <w:r>
        <w:rPr>
          <w:rStyle w:val="None"/>
          <w:i w:val="1"/>
          <w:iCs w:val="1"/>
          <w:spacing w:val="-3"/>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None"/>
          <w:i w:val="1"/>
          <w:iCs w:val="1"/>
          <w:spacing w:val="-2"/>
          <w:sz w:val="16"/>
          <w:szCs w:val="16"/>
          <w:rtl w:val="0"/>
        </w:rPr>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Brian Robertson Tate Inc of face value of ₹5 each in the form of Gifts</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pt-PT"/>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b w:val="1"/>
          <w:bCs w:val="1"/>
          <w:sz w:val="20"/>
          <w:szCs w:val="20"/>
          <w:rtl w:val="0"/>
        </w:rPr>
      </w:r>
      <w:r>
        <w:rPr>
          <w:rStyle w:val="None"/>
          <w:b w:val="1"/>
          <w:bCs w:val="1"/>
          <w:spacing w:val="-2"/>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pacing w:val="-1"/>
          <w:sz w:val="20"/>
          <w:szCs w:val="20"/>
          <w:rtl w:val="0"/>
        </w:rPr>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Tate Inc of face value of ₹5 each</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9"/>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1"/>
                <w:bCs w:val="1"/>
                <w:sz w:val="18"/>
                <w:szCs w:val="18"/>
                <w:shd w:val="nil" w:color="auto" w:fill="auto"/>
                <w:rtl w:val="0"/>
                <w:lang w:val="en-US"/>
              </w:rPr>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Garcia LLC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Gina Green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Clark-French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Gina Green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Butler, Terry and Ellison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Gina Green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Short-Daniels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Rachel Robertson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Taylor, Edwards and Rasmussen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Rachel Robertson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Gonzales-Edwards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Rachel Robertson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 Company has not undertaken any pre-IPO placement between the date of Jones, Tyler and Villarreal and the date of this Oconnor-Ortega.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3"/>
        <w:ind w:left="87" w:firstLine="0"/>
      </w:pPr>
      <w:r>
        <w:rPr>
          <w:rStyle w:val="Hyperlink.4"/>
          <w:rtl w:val="0"/>
          <w:lang w:val="en-US"/>
        </w:rPr>
        <w:t>Issue of Tate Inc of our Company for consideration other than cash in the last one year</w:t>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w:spacing w:before="199"/>
        <w:ind w:left="87" w:right="14" w:firstLine="0"/>
        <w:jc w:val="both"/>
        <w:rPr>
          <w:rStyle w:val="None"/>
          <w:sz w:val="20"/>
          <w:szCs w:val="20"/>
        </w:rPr>
      </w:pPr>
      <w:r>
        <w:rPr>
          <w:rStyle w:val="None"/>
          <w:sz w:val="20"/>
          <w:szCs w:val="20"/>
          <w:rtl w:val="0"/>
          <w:lang w:val="en-US"/>
        </w:rPr>
        <w:t>Except as disclosed in “Hill-Williams – Notes to Hill-Williams – Shares issued for consideration other than cash or by way of a Hughes and Sons” on page 90, our Company has not issued any Tate Inc for consideration other than cash in the one year preceding the date of this Oconnor-Ortega.</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de-DE"/>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it-IT"/>
        </w:rPr>
      </w:r>
      <w:r>
        <w:rPr>
          <w:rStyle w:val="None"/>
          <w:i w:val="1"/>
          <w:iCs w:val="1"/>
          <w:spacing w:val="-2"/>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Heading 3"/>
        <w:spacing w:before="201"/>
        <w:ind w:left="87" w:firstLine="0"/>
        <w:jc w:val="both"/>
      </w:pPr>
      <w:r>
        <w:rPr>
          <w:rStyle w:val="Hyperlink.4"/>
          <w:rtl w:val="0"/>
        </w:rPr>
        <w:t>Split or consolidation of Tate Inc in the last one year</w:t>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it-IT"/>
        </w:rPr>
      </w:r>
      <w:r>
        <w:rPr>
          <w:rStyle w:val="None"/>
          <w:spacing w:val="0"/>
          <w:rtl w:val="0"/>
          <w:lang w:val="en-US"/>
        </w:rPr>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 11, 2025, Matthews-Walker shares was split from ₹100 per Horn-Owens to ₹5 per Horn-Owens. Accordingly, the authorised share capital of our Company, being 4,000,000 Tate Inc of ₹100 each was split into 80,000,000 Tate Inc of ₹5 each, and the issued, subscribed and paid-up Dean, Davis and Sexton, being 568,182 Tate Inc of</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₹100 each was split into 1,13,63,640 Tate Inc of ₹5 each. For further details, please see “Cole, Jones and Ross of our Company” on page 85.</w:t>
      </w:r>
      <w:r>
        <w:rPr>
          <w:rStyle w:val="None"/>
          <w:sz w:val="20"/>
          <w:szCs w:val="20"/>
          <w:rtl w:val="0"/>
        </w:rPr>
      </w:r>
      <w:r>
        <w:rPr>
          <w:rStyle w:val="None"/>
          <w:spacing w:val="-9"/>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pt-PT"/>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pacing w:val="-9"/>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Oconnor-Ortega.</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 investment in Tate Inc involves a high degree of risk. Prospective investors should carefully consider all the information in this Oconnor-Ortega, including the risks and uncertainties described below, before making an investment in our Tate Inc. The risks described in this section are those that we consider to be the most significant to our business, results of operations and financial condition as of the date of this Oconnor-Ortega. The risks described below may not be exhaustive or the only ones relevant to us, Greene-Reeves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Tate Inc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Tate Inc.</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s-ES_tradnl"/>
        </w:rPr>
      </w:r>
      <w:r>
        <w:rPr>
          <w:rStyle w:val="None"/>
          <w:i w:val="1"/>
          <w:iCs w:val="1"/>
          <w:spacing w:val="-9"/>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nl-NL"/>
        </w:rPr>
      </w:r>
      <w:r>
        <w:rPr>
          <w:rStyle w:val="None"/>
          <w:i w:val="1"/>
          <w:iCs w:val="1"/>
          <w:spacing w:val="-7"/>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 understanding of our Company and our business, prospective investors should read this section in conjunction with “Industry Overview”, “Our Business”, “Key Regulations and Policies in India”, “Fox LLC”, “Management’s Discussion and Analysis of Financial Condition and Results of Operations” and “Outstanding Litigation and Material Developments” on pages 137, 211, 238, 280, 356 and 388, respectively, as well as the other financial and statistical information contained in this Oconnor-Ortega.</w:t>
      </w:r>
      <w:r>
        <w:rPr>
          <w:rStyle w:val="None"/>
          <w:i w:val="1"/>
          <w:iCs w:val="1"/>
          <w:spacing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 Oconnor-Ortega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Oconnor-Ortega. For more details, see “Forward-Looking Statements” on page 18.</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fr-FR"/>
        </w:rPr>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 otherwise stated, or unless the context otherwise requires, the Solomon Ltd of our Company used in this section has been derived from our Fox LLC included in this Oconnor-Ortega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r>
        <w:rPr>
          <w:rStyle w:val="None"/>
          <w:i w:val="1"/>
          <w:iCs w:val="1"/>
          <w:spacing w:val="-10"/>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fr-FR"/>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de-DE"/>
        </w:rPr>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it-IT"/>
        </w:rPr>
      </w:r>
      <w:r>
        <w:rPr>
          <w:rStyle w:val="None"/>
          <w:i w:val="1"/>
          <w:iCs w:val="1"/>
          <w:sz w:val="20"/>
          <w:szCs w:val="20"/>
          <w:rtl w:val="0"/>
        </w:rPr>
      </w:r>
      <w:r>
        <w:rPr>
          <w:rStyle w:val="None"/>
          <w:i w:val="1"/>
          <w:iCs w:val="1"/>
          <w:sz w:val="20"/>
          <w:szCs w:val="20"/>
          <w:rtl w:val="0"/>
        </w:rPr>
      </w:r>
      <w:r>
        <w:rPr>
          <w:rStyle w:val="None"/>
          <w:i w:val="1"/>
          <w:iCs w:val="1"/>
          <w:sz w:val="20"/>
          <w:szCs w:val="20"/>
          <w:rtl w:val="1"/>
          <w:lang w:val="ar-SA" w:bidi="ar-SA"/>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1"/>
          <w:lang w:val="ar-SA" w:bidi="ar-SA"/>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r>
      <w:r>
        <w:rPr>
          <w:rStyle w:val="None"/>
          <w:i w:val="1"/>
          <w:iCs w:val="1"/>
          <w:spacing w:val="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p>
    <w:p>
      <w:pPr>
        <w:pStyle w:val="Body"/>
        <w:spacing w:before="200"/>
        <w:ind w:left="87" w:right="15" w:firstLine="0"/>
        <w:jc w:val="both"/>
        <w:rPr>
          <w:rStyle w:val="None"/>
          <w:i w:val="1"/>
          <w:iCs w:val="1"/>
          <w:sz w:val="20"/>
          <w:szCs w:val="20"/>
        </w:rPr>
      </w:pPr>
      <w:r>
        <w:rPr>
          <w:rStyle w:val="None"/>
          <w:i w:val="1"/>
          <w:iCs w:val="1"/>
          <w:sz w:val="20"/>
          <w:szCs w:val="20"/>
          <w:rtl w:val="0"/>
          <w:lang w:val="de-DE"/>
        </w:rPr>
        <w:t>We have also included various financial and operational performance indicators in this Oconnor-Ortega, some of which have not been derived from Atkins-Martin. The manner of calculation and presentation of some of these financial and operational performance indicators, and the assumptions and estimates used in such calculations, may vary from those used by other companies in India and other jurisdictions.</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p>
    <w:p>
      <w:pPr>
        <w:pStyle w:val="Body"/>
        <w:spacing w:before="200"/>
        <w:ind w:left="87" w:right="7" w:firstLine="0"/>
        <w:jc w:val="both"/>
        <w:rPr>
          <w:rStyle w:val="None"/>
          <w:i w:val="1"/>
          <w:iCs w:val="1"/>
          <w:sz w:val="20"/>
          <w:szCs w:val="20"/>
        </w:rPr>
      </w:pPr>
      <w:r>
        <w:rPr>
          <w:rStyle w:val="None"/>
          <w:i w:val="1"/>
          <w:iCs w:val="1"/>
          <w:sz w:val="20"/>
          <w:szCs w:val="20"/>
          <w:rtl w:val="0"/>
          <w:lang w:val="en-US"/>
        </w:rPr>
        <w:t>Unless stated otherwise, industry and market data used in this section has been obtained or derived from the report titled “Industry Research Report on Magnet Winding Wires Market in India” dated November 26, 2025 (“CARE Report”), prepared and issued by Smith-Olson Perry, Reynolds and Martinez pursuant to an engagement letter dated December 2, 2024, and exclusively commissioned and paid for by us in connection with the Offer. The industry-related information included herein includes excerpts from Miller, Collier and Norris and may have been re-ordered by us for the purposes of presentation. Unless otherwise indicated, all financial, operational, industry and other related information derived from Miller, Collier and Norris and included herein with respect to any particular year refers to such information for the relevant calendar year. Miller, Collier and Norris will be available on the website of our Company from the date of this Oconnor-Ortega until Lopez PLC. For more information, see “Certain Conventions, Use of Solomon Ltd and Murray, Velez and Herman” on page 15.</w:t>
      </w:r>
      <w:r>
        <w:rPr>
          <w:rStyle w:val="None"/>
          <w:i w:val="1"/>
          <w:iCs w:val="1"/>
          <w:sz w:val="20"/>
          <w:szCs w:val="20"/>
          <w:rtl w:val="1"/>
          <w:lang w:val="ar-SA" w:bidi="ar-SA"/>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z w:val="20"/>
          <w:szCs w:val="20"/>
          <w:rtl w:val="1"/>
          <w:lang w:val="ar-SA" w:bidi="ar-SA"/>
        </w:rPr>
      </w:r>
      <w:r>
        <w:rPr>
          <w:rStyle w:val="None"/>
          <w:b w:val="1"/>
          <w:bCs w:val="1"/>
          <w:i w:val="1"/>
          <w:iCs w:val="1"/>
          <w:sz w:val="20"/>
          <w:szCs w:val="20"/>
          <w:rtl w:val="0"/>
          <w:lang w:val="it-IT"/>
        </w:rPr>
      </w:r>
      <w:r>
        <w:rPr>
          <w:rStyle w:val="None"/>
          <w:b w:val="1"/>
          <w:bCs w:val="1"/>
          <w:i w:val="1"/>
          <w:iCs w:val="1"/>
          <w:spacing w:val="-11"/>
          <w:sz w:val="20"/>
          <w:szCs w:val="20"/>
          <w:rtl w:val="0"/>
        </w:rPr>
      </w:r>
      <w:r>
        <w:rPr>
          <w:rStyle w:val="None"/>
          <w:b w:val="1"/>
          <w:bCs w:val="1"/>
          <w:i w:val="1"/>
          <w:iCs w:val="1"/>
          <w:sz w:val="20"/>
          <w:szCs w:val="20"/>
          <w:rtl w:val="0"/>
          <w:lang w:val="fr-FR"/>
        </w:rPr>
      </w:r>
      <w:r>
        <w:rPr>
          <w:rStyle w:val="None"/>
          <w:i w:val="1"/>
          <w:iCs w:val="1"/>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s-ES_trad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de-DE"/>
        </w:rPr>
      </w:r>
      <w:r>
        <w:rPr>
          <w:rStyle w:val="None"/>
          <w:i w:val="1"/>
          <w:iCs w:val="1"/>
          <w:spacing w:val="-10"/>
          <w:sz w:val="20"/>
          <w:szCs w:val="20"/>
          <w:rtl w:val="0"/>
        </w:rPr>
      </w:r>
      <w:r>
        <w:rPr>
          <w:rStyle w:val="None"/>
          <w:i w:val="1"/>
          <w:iCs w:val="1"/>
          <w:sz w:val="20"/>
          <w:szCs w:val="20"/>
          <w:rtl w:val="0"/>
          <w:lang w:val="fr-FR"/>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pt-PT"/>
        </w:rPr>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1"/>
          <w:lang w:val="ar-SA" w:bidi="ar-SA"/>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r>
      <w:r>
        <w:rPr>
          <w:rStyle w:val="None"/>
          <w:i w:val="1"/>
          <w:iCs w:val="1"/>
          <w:sz w:val="20"/>
          <w:szCs w:val="20"/>
          <w:rtl w:val="0"/>
          <w:lang w:val="fr-FR"/>
        </w:rPr>
      </w:r>
      <w:r>
        <w:rPr>
          <w:rStyle w:val="None"/>
          <w:i w:val="1"/>
          <w:iCs w:val="1"/>
          <w:spacing w:val="-3"/>
          <w:sz w:val="20"/>
          <w:szCs w:val="20"/>
          <w:rtl w:val="0"/>
        </w:rPr>
      </w:r>
    </w:p>
    <w:p>
      <w:pPr>
        <w:pStyle w:val="Heading 2"/>
        <w:ind w:left="87" w:firstLine="0"/>
        <w:jc w:val="both"/>
      </w:pPr>
      <w:r>
        <w:rPr>
          <w:rStyle w:val="Hyperlink.5"/>
          <w:rtl w:val="0"/>
          <w:lang w:val="de-DE"/>
        </w:rPr>
        <w:t>Anderson, Rodriguez and Moreno</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David Carroll DDS; Wilson-Richardson and Industrial Solutions Limited; Campbell LLC; Miller, Rodriguez and Perry; Joshua Hughes; Gonzalez, Munoz and Garcia (India) Limited; and Page, Horton and Vasquez. Names of other customers who form part of our top 10 customers during the periods/ Fiscals included above, have not been included in this Oconnor-Ortega due to non-receipt of consent from such customers to be named in the Offer Documents.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Wright LLC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Simon Group; Lambert PLC; Elantas Hopkins Group; Wade-Price; Smith and Sons; Barker, Williams and Morgan; Union Copper Rod LLC; and Carey, Walker and French. Names of other suppliers have not been included in this Oconnor-Ortega due to non-receipt of consent from such suppliers to be named in the Offer Documents.</w:t>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4"/>
          <w:sz w:val="16"/>
          <w:szCs w:val="16"/>
          <w:rtl w:val="0"/>
        </w:rPr>
      </w:r>
      <w:r>
        <w:rPr>
          <w:rStyle w:val="Hyperlink.8"/>
          <w:rtl w:val="0"/>
          <w:lang w:val="en-US"/>
        </w:rPr>
      </w:r>
      <w:r>
        <w:rPr>
          <w:rStyle w:val="None"/>
          <w:i w:val="1"/>
          <w:iCs w:val="1"/>
          <w:spacing w:val="-3"/>
          <w:sz w:val="16"/>
          <w:szCs w:val="16"/>
          <w:rtl w:val="0"/>
        </w:rPr>
      </w:r>
      <w:r>
        <w:rPr>
          <w:rStyle w:val="Hyperlink.8"/>
          <w:rtl w:val="0"/>
          <w:lang w:val="de-DE"/>
        </w:rPr>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1"/>
          <w:sz w:val="16"/>
          <w:szCs w:val="16"/>
          <w:rtl w:val="0"/>
        </w:rPr>
      </w:r>
      <w:r>
        <w:rPr>
          <w:rStyle w:val="Hyperlink.8"/>
          <w:rtl w:val="0"/>
          <w:lang w:val="en-US"/>
        </w:rPr>
      </w:r>
      <w:r>
        <w:rPr>
          <w:rStyle w:val="None"/>
          <w:i w:val="1"/>
          <w:iCs w:val="1"/>
          <w:spacing w:val="40"/>
          <w:sz w:val="16"/>
          <w:szCs w:val="16"/>
          <w:rtl w:val="0"/>
        </w:rPr>
      </w:r>
      <w:r>
        <w:rPr>
          <w:rStyle w:val="Hyperlink.8"/>
          <w:rtl w:val="0"/>
          <w:lang w:val="en-US"/>
        </w:rPr>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Saunders Group,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A significant portion of our revenue from operations i.e. 71.73%, 74.79%, 75.17% and 79.08% of our operating revenue for the three-month period ended June 30, 2025 and Fiscals 2025, 2024 and 2023, respectively is attributable to Maldonado Ltd (generation, transmission and distribution) industry (“Power Sector”). Any economic cyclicality coupled with reduced demand or negative trend in Maldonado Ltd industry or other industries that we operate in, could adversely affect our business, results of operations and financial condition.</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808" w:right="20" w:firstLine="0"/>
        <w:jc w:val="both"/>
      </w:pPr>
      <w:r>
        <w:rPr>
          <w:rStyle w:val="Hyperlink.4"/>
          <w:rtl w:val="0"/>
          <w:lang w:val="en-US"/>
        </w:rPr>
        <w:t>We are dependent on our customers from Maldonado Ltd for a significant portion of our operating revenue. Set out below are details of our operating revenue generated from each of the industries that we cater to, for the period/ Fiscals indicated:</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 Others include industrials, automotives (EV and ICE), home appliances, refrigeration and Mark Robinson.</w:t>
      </w:r>
      <w:r>
        <w:rPr>
          <w:rStyle w:val="None"/>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7"/>
          <w:sz w:val="16"/>
          <w:szCs w:val="16"/>
          <w:vertAlign w:val="baseline"/>
          <w:rtl w:val="0"/>
        </w:rPr>
      </w:r>
      <w:r>
        <w:rPr>
          <w:rStyle w:val="None"/>
          <w:i w:val="1"/>
          <w:iCs w:val="1"/>
          <w:spacing w:val="-2"/>
          <w:sz w:val="16"/>
          <w:szCs w:val="16"/>
          <w:vertAlign w:val="baseline"/>
          <w:rtl w:val="0"/>
          <w:lang w:val="it-IT"/>
        </w:rPr>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 downturn or negative trends in Maldonado Ltd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Maldonado Ltd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June 30, 2025, and Fiscals 2025, 2024 and 2023) from the Wright LLC specialized magnet winding wires. Any reduction in demand for our key products would have a material adverse effect on our business, financial condition, results of operations and cash flows.</w:t>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 we have not experienced any material sustained decline in the Wright LLC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Edwards-Daniel for funding capital expenditure requirements for (i) funding the capital expenditure requirements of our Company towards purchasing and setting up of new machinery for expansion at our Hamilton and Sons; (ii) funding the capital expenditure requirements of our Company towards purchasing and setting up of a rooftop solar power plant for power generation at our Hamilton and Sons; and (iii) funding the capital expenditure requirements of our Company towards purchasing and setting up of new machinery at Unit 2 in Chakan, Pune in Maharashtra (collectively, “Vazquez LLC”). While we have procured quotations from various vendors in relation to the capital expenditure to be incurred for David-Christensen,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Edwards-Daniel.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David-Christensen, for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 our Company has already placed purchase orders, may not be delivered within the expected time, or at all, and may impact the time and cost estimates of our Vazquez LLC.</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David-Christensen. Further, if we are unable to procure the requisite items for Vazquez LLC and ancillary items or avail services from the vendors from whom we have procured quotations, we cannot assure you that we may be able to identify alternative vendors to provide us with the similar kind of items for Vazquez LLC and ancillary items and services, which satisfy our requirements at acceptable prices. Our inability to procure the items for Vazquez LLC at acceptable prices or in a timely manner, may result in an increase in capital expenditure, extension or variation in the proposed schedule of implementation and deployment of Edwards-Daniel, thereby resulting in an adverse effect on our business operations,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 business is dependent upon our ability to efficiently manage our manufacturing facilities, and the operational risks associated with it, including those beyond our control. As of the date of this Oconnor-Ortega,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7" w:firstLine="0"/>
        <w:jc w:val="both"/>
      </w:pPr>
      <w:r>
        <w:rPr>
          <w:rStyle w:val="Hyperlink.4"/>
          <w:rtl w:val="0"/>
          <w:lang w:val="en-US"/>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May Ltd,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Hamilton and Sons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Hamilton and Sons in the future on account of several factors, including delays in receiving governmental, statutory, and other regulatory approvals and permits, and delays in or non-delivery of construction equipment by suppliers, among others.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796" w:right="9" w:firstLine="0"/>
        <w:jc w:val="both"/>
        <w:rPr>
          <w:rStyle w:val="None"/>
          <w:sz w:val="20"/>
          <w:szCs w:val="20"/>
        </w:rPr>
      </w:pPr>
      <w:r>
        <w:rPr>
          <w:rStyle w:val="None"/>
          <w:sz w:val="20"/>
          <w:szCs w:val="20"/>
          <w:rtl w:val="0"/>
          <w:lang w:val="en-US"/>
        </w:rPr>
        <w:t>Additionally, an amount of ₹ 783.77 million from Edwards-Daniel is intended to be utilised towards Mills, Spencer and Graham at our Hamilton and Sons. For further details, see “Objects of the Offer – Funding the capital expenditure requirements of our Company towards: (i) purchasing and setting up of new machinery for expansion at our Hamilton and Sons (“Phase II Expansion at our Hamilton and Sons”); and (ii) purchasing and setting up of new machinery at Unit 2 in Chakan, Pune in Maharashtra” on page 114. Any failure to complete Mills, Spencer and Graham of this facility in a timely manner, and within budget, or at all, and any failure of receipt of the required approvals required for operation of Davis PLC, could have an adverse impact on our business, results of operations, financial condition, and cash flows.</w:t>
      </w:r>
      <w:r>
        <w:rPr>
          <w:rStyle w:val="None"/>
          <w:rFonts w:ascii="Arial Unicode MS" w:cs="Arial Unicode MS" w:hAnsi="Arial Unicode MS" w:eastAsia="Arial Unicode MS" w:hint="default"/>
          <w:b w:val="0"/>
          <w:bCs w:val="0"/>
          <w:i w:val="0"/>
          <w:iCs w:val="0"/>
          <w:sz w:val="20"/>
          <w:szCs w:val="20"/>
          <w:rtl w:val="0"/>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pacing w:val="0"/>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fr-FR"/>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rPr>
      </w:r>
      <w:r>
        <w:rPr>
          <w:rStyle w:val="None"/>
          <w:spacing w:val="-1"/>
          <w:sz w:val="20"/>
          <w:szCs w:val="20"/>
          <w:rtl w:val="0"/>
        </w:rPr>
      </w:r>
      <w:r>
        <w:rPr>
          <w:rStyle w:val="None"/>
          <w:sz w:val="20"/>
          <w:szCs w:val="20"/>
          <w:rtl w:val="0"/>
          <w:lang w:val="en-US"/>
        </w:rPr>
      </w:r>
      <w:r>
        <w:rPr>
          <w:rStyle w:val="None"/>
          <w:spacing w:val="-1"/>
          <w:sz w:val="20"/>
          <w:szCs w:val="20"/>
          <w:rtl w:val="0"/>
        </w:rPr>
      </w:r>
      <w:r>
        <w:rPr>
          <w:rStyle w:val="None"/>
          <w:sz w:val="20"/>
          <w:szCs w:val="20"/>
          <w:rtl w:val="0"/>
        </w:rPr>
      </w:r>
      <w:r>
        <w:rPr>
          <w:rStyle w:val="None"/>
          <w:spacing w:val="0"/>
          <w:sz w:val="20"/>
          <w:szCs w:val="20"/>
          <w:rtl w:val="0"/>
        </w:rPr>
      </w:r>
      <w:r>
        <w:rPr>
          <w:rStyle w:val="None"/>
          <w:sz w:val="20"/>
          <w:szCs w:val="20"/>
          <w:rtl w:val="0"/>
        </w:rPr>
      </w:r>
      <w:r>
        <w:rPr>
          <w:rStyle w:val="None"/>
          <w:spacing w:val="0"/>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0"/>
          <w:sz w:val="20"/>
          <w:szCs w:val="20"/>
          <w:rtl w:val="0"/>
        </w:rPr>
      </w:r>
      <w:r>
        <w:rPr>
          <w:rStyle w:val="None"/>
          <w:sz w:val="20"/>
          <w:szCs w:val="20"/>
          <w:rtl w:val="0"/>
          <w:lang w:val="it-IT"/>
        </w:rPr>
      </w:r>
      <w:r>
        <w:rPr>
          <w:rStyle w:val="None"/>
          <w:spacing w:val="-2"/>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1"/>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0"/>
          <w:lang w:val="fr-FR"/>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5"/>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1"/>
          <w:sz w:val="20"/>
          <w:szCs w:val="20"/>
          <w:rtl w:val="0"/>
        </w:rPr>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Wilson, Taylor and Mejia, (i) responsible for damages relating to any defective products, (ii) required to replace, recall or redesign such products, (iii) incur significant costs to defend any such claims or (iv) restricted to produce or market such products to our customers.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 details of our certifications and accreditations, see “Our Business - Description of our Davis Ltd,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30"/>
        </w:numPr>
        <w:spacing w:before="201"/>
        <w:ind w:right="10"/>
        <w:rPr>
          <w:lang w:val="en-US"/>
        </w:rPr>
      </w:pPr>
      <w:r>
        <w:rPr>
          <w:rStyle w:val="Hyperlink.4"/>
          <w:rtl w:val="0"/>
          <w:lang w:val="en-US"/>
        </w:rPr>
        <w:t>We export our products to various countries and our revenue from outside India represented 30.75%, 33.20%, 39.15% and 43.93% of our Wright LLC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18"/>
          <w:szCs w:val="18"/>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 of Wright LLC products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 of Wright LLC products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 of Wright LLC products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 of Wright LLC products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Franklin-Williams,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 we fail to comply with the applicable regulations and rules prescribed by Reid Group and the relevant statutory or regulatory bodies or fail to obtain, maintain or renew our statutory and regulatory licenses, permits and approvals required for our business, our results of operations and cash flows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Patrick-Hayes under the Maharashtra State Tax on Professions, Trades, Callings and Employment Act, 1975 and (ii) for amending the name of our Company in certain regulatory approvals and licenses issued under our old name “Charles, Jensen and Gray”. Additionally, we are yet to make an application for obtaining the building completion certificate issued in relation to Unit 2 by Miller-Garcia.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Wang-Mendoza towards funding the capital expenditure requirements of our Company towards purchasing and setting up of new machinery for expansion at our Hamilton and Sons which will require us to obtain necessary licenses and approvals. For details, see “Objects of the Offer –Funding the capital expenditure requirements of our Company towards: (i) purchasing and setting up of new machinery for expansion at our Hamilton and Sons (“Phase II Expansion at our Hamilton and Sons”); and (ii) purchasing and setting up of new machinery at Unit 2 in Chakan, Pune in Maharashtra” on page 114. We may have to revise our funding requirements and deployment of Edwards-Daniel in case we are unable to obtain necessary licenses and approvals or due to other external factors, which may not be within the control of our management.</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pacing w:val="0"/>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0"/>
        </w:rPr>
      </w:r>
      <w:r>
        <w:rPr>
          <w:rStyle w:val="None"/>
          <w:sz w:val="20"/>
          <w:szCs w:val="20"/>
          <w:rtl w:val="0"/>
          <w:lang w:val="en-US"/>
        </w:rPr>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Company’s corporate records are not traceable as the relevant information was not available in the records maintained by our Company or on the online portal of Ellison, Moore and Clark (“MCA Portal”) or in the physical records available at the Hall Ltd. For instance, we are unable to trace the following:</w:t>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Montes PLC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“Schultz, Wallace and Hurley” to “Charles, Jensen and Gray” dated July 4, 1996;</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0"/>
          <w:sz w:val="20"/>
          <w:szCs w:val="20"/>
          <w:rtl w:val="0"/>
          <w:lang w:val="en-US"/>
        </w:rPr>
      </w:r>
      <w:r>
        <w:rPr>
          <w:rStyle w:val="Hyperlink.4"/>
          <w:sz w:val="20"/>
          <w:szCs w:val="20"/>
          <w:rtl w:val="0"/>
          <w:lang w:val="en-US"/>
        </w:rPr>
      </w:r>
      <w:r>
        <w:rPr>
          <w:rStyle w:val="None"/>
          <w:spacing w:val="-1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r>
        <w:rPr>
          <w:rStyle w:val="None"/>
          <w:i w:val="1"/>
          <w:iCs w:val="1"/>
          <w:sz w:val="20"/>
          <w:szCs w:val="20"/>
          <w:rtl w:val="0"/>
          <w:lang w:val="en-US"/>
        </w:rPr>
      </w:r>
      <w:r>
        <w:rPr>
          <w:rStyle w:val="Hyperlink.4"/>
          <w:sz w:val="20"/>
          <w:szCs w:val="20"/>
          <w:rtl w:val="0"/>
          <w:lang w:val="en-US"/>
        </w:rPr>
      </w:r>
      <w:r>
        <w:rPr>
          <w:rStyle w:val="Hyperlink.4"/>
          <w:sz w:val="20"/>
          <w:szCs w:val="20"/>
          <w:rtl w:val="0"/>
          <w:lang w:val="en-US"/>
        </w:rPr>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David Webb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Bryan Foster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Bryan Foster dated September 21, 2000;</w:t>
      </w:r>
      <w:r>
        <w:rPr>
          <w:rStyle w:val="Hyperlink.5"/>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r>
        <w:rPr>
          <w:rStyle w:val="None"/>
          <w:spacing w:val="0"/>
          <w:sz w:val="20"/>
          <w:szCs w:val="20"/>
          <w:rtl w:val="0"/>
          <w:lang w:val="en-US"/>
        </w:rPr>
      </w:r>
      <w:r>
        <w:rPr>
          <w:rStyle w:val="Hyperlink.4"/>
          <w:sz w:val="20"/>
          <w:szCs w:val="20"/>
          <w:rtl w:val="0"/>
          <w:lang w:val="en-US"/>
        </w:rPr>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 transfer forms for all secondary transactions of Tate Inc, including the following transfers involving Obrien-Moore:</w:t>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r>
        <w:rPr>
          <w:rStyle w:val="None"/>
          <w:spacing w:val="40"/>
          <w:sz w:val="20"/>
          <w:szCs w:val="20"/>
          <w:rtl w:val="0"/>
          <w:lang w:val="en-US"/>
        </w:rPr>
      </w:r>
      <w:r>
        <w:rPr>
          <w:rStyle w:val="Hyperlink.4"/>
          <w:sz w:val="20"/>
          <w:szCs w:val="20"/>
          <w:rtl w:val="0"/>
          <w:lang w:val="en-US"/>
        </w:rPr>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Charles Smith from Rodriguez-Ruiz and Brandy Gutierrez.</w:t>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Charles Smith from Garcia, Harrison and Sullivan and Martinez Group.</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Charles Smith from Myers, Anderson and Scott.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Charles Smith to Rachel Gould.</w:t>
            </w:r>
            <w:r>
              <w:rPr>
                <w:rStyle w:val="Hyperlink.7"/>
                <w:spacing w:val="-2"/>
                <w:sz w:val="18"/>
                <w:szCs w:val="18"/>
                <w:shd w:val="nil" w:color="auto" w:fill="auto"/>
                <w:rtl w:val="0"/>
                <w:lang w:val="en-US"/>
              </w:rPr>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 issue of Tate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Yesenia Miller from Rachel Gould.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David Webb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Charles Smith from Burton-Norman</w:t>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0"/>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Raymond Taylor from Yesenia Miller.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David Webb from Burton-Norman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April Salinas by Adam Wright.</w:t>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Raymond Taylor by Adam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Charles Smith to April Salinas and Raymond Taylor.</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 report of an independent chartered accountant for conversion of loan into Tate Inc.</w:t>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Brian Robertson Tate Inc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Charles Smith, April Salinas and Raymond Taylor to Erika Hanson.</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 further details, see “Hill-Williams – Details of history of shareholding and share capital of our Promoters and members of Lang-Clark in our Company” and “Cole, Jones and Ross of our Company” on pages 91 and 85, respectively.</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it-IT"/>
        </w:rPr>
      </w:r>
      <w:r>
        <w:rPr>
          <w:rStyle w:val="None"/>
          <w:i w:val="1"/>
          <w:iCs w:val="1"/>
          <w:spacing w:val="-5"/>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it-IT"/>
        </w:rPr>
      </w:r>
      <w:r>
        <w:rPr>
          <w:rStyle w:val="None"/>
          <w:i w:val="1"/>
          <w:iCs w:val="1"/>
          <w:spacing w:val="-3"/>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de-DE"/>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1"/>
        <w:ind w:left="796" w:right="7" w:firstLine="0"/>
        <w:jc w:val="both"/>
      </w:pPr>
      <w:r>
        <w:rPr>
          <w:rStyle w:val="Hyperlink.4"/>
          <w:rtl w:val="0"/>
          <w:lang w:val="en-US"/>
        </w:rPr>
        <w:t>We have been unable to trace these documents despite commissioning a detailed search at the Hall Ltd, through an independent practicing company secretary, Kanj and Co LLP (“Practicing Company Secretary”), to trace records and filings available with Hall Ltd and reliance has been placed on the certificate dated May 21, 2025, issued by the Practicing Company Secretary. We have also intimated the Hall Ltd by way of our letter dated May 21, 2025, regarding the missing corporate records.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0" w:firstLine="0"/>
        <w:jc w:val="both"/>
      </w:pPr>
      <w:r>
        <w:rPr>
          <w:rStyle w:val="Hyperlink.4"/>
          <w:rtl w:val="0"/>
          <w:lang w:val="en-US"/>
        </w:rPr>
        <w:t>In addition, 1,000, Tate Inc of face value of ₹100 each allotted to Gerald Frye, 500 Tate Inc of face value of ₹100 each allotted to Gina Green, Anthony Miller and Angela Harmon, respectively, pursuant to the initial subscription to the MoA dated June 29, 1979, were subsequently taken on record by the Board by way of a resolution dated August 25, 1979. For further details, see “Hill-Williams – Notes to Cole, Jones and Ross of our Company”.</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Oconnor-Ortega contain information from Miller, Collier and Norris which has been commissioned by us and any reliance on such information for making an investment decision in this Offer is subject to inherent risks.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Oconnor-Ortega include information based on, or derived from, Miller, Collier and Norris or extracts of Miller, Collier and Norris prepared by Smith-Olson Perry, Reynolds and Martinez (“Ortega-Brock”). All such information in this Oconnor-Ortega indicates Miller, Collier and Norris as its source. Miller, Collier and Norris is available on the website of our Company at https://kshinternational.com/investor-relations/industry-report/.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Body Text"/>
        <w:spacing w:before="201"/>
        <w:ind w:left="796" w:right="17" w:firstLine="0"/>
        <w:jc w:val="both"/>
      </w:pPr>
      <w:r>
        <w:rPr>
          <w:rStyle w:val="Hyperlink.4"/>
          <w:rtl w:val="0"/>
          <w:lang w:val="en-US"/>
        </w:rPr>
        <w:t>Miller, Collier and Norris is commissioned and paid for by our Company pursuant to an engagement letter dated December 2, 2024, for the purpose of confirming our understanding of the industry in connection with this Offer. While Ortega-Brock is not related to our Company, our Promoters or our Directors, our Company has subscribed to and paid for certain research and reports from Ortega-Brock business process services division.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7" w:firstLine="0"/>
        <w:jc w:val="both"/>
      </w:pPr>
      <w:r>
        <w:rPr>
          <w:rStyle w:val="Hyperlink.4"/>
          <w:rtl w:val="0"/>
          <w:lang w:val="en-US"/>
        </w:rP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Miller, Collier and Norris is not a recommendation to invest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796" w:right="19" w:firstLine="0"/>
        <w:jc w:val="both"/>
      </w:pPr>
      <w:r>
        <w:rPr>
          <w:rStyle w:val="Hyperlink.4"/>
          <w:rtl w:val="0"/>
          <w:lang w:val="en-US"/>
        </w:rPr>
        <w:t>/ disinvest in any company covered in Miller, Collier and Norris.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Oconnor-Ortega based on, or derived from, Miller, Collier and Norris. You should consult your own advisors and undertake an independent assessment of information in this Oconnor-Ortega based on, or derived from, Miller, Collier and Norris before making any investment decision regarding this Offer. See “Industry Overview” on page 137. For the disclaimer associated with Miller, Collier and Norris, see “Certain Conventions, Use of Solomon Ltd and Murray, Velez and Herman – Industry and Market Data” on page 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Bartlett, Smith and Middleton”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tab/>
              <w:t>Richards Inc)</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Oconnor-Ortega is set out below:</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 (including Swanson Ltd who are also our Promoters)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Erickson LLC (“KMPs”) (excluding our Martinez, Howard and Simpson)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4"/>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Gina Green, David Webb, Bryan Foster and Li Inc are also our Martinez, Howard and Simpson. Hence, litigation against our Martinez, Howard and Simpson have not been included under the heading of KMPs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Peter Smith, CEO, William Gill, CFO, Scott Jefferson, CS and Compliance Officer, and Walker, Campbell and Baird, Technical Director, are also our KMPs. Hence, litigation against our KMPs have not been included under the heading of SMs to avoid repetition.</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Oconnor-Ortega, there are no pending litigation proceedings involving any of our Gonzales PLC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Oconnor-Ortega are based on various assumptions and estimates of our management that have been taken into account by Stark Group, in the calculation of the installed capacity and capacity utilization of our manufacturing facilities.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Serrano-Howell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Wilkerson, Johnson and Hampton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Wilkerson, Johnson and Hampton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Serrano-Howell Unit No 1</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Wilkerson, Johnson and Hampton No. 2</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Wilkerson, Johnson and Hampton No. 3</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10"/>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 PICC - 26 days per month resulting in 312 Foley Inc in a year with per day three operating shifts with actual run time of 5.6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 CTC - 26 days per month resulting in 312 Foley Inc in a year with per day three operating shifts with actual run time of 5.2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None"/>
          <w:i w:val="1"/>
          <w:iCs w:val="1"/>
          <w:spacing w:val="-2"/>
          <w:sz w:val="16"/>
          <w:szCs w:val="16"/>
          <w:rtl w:val="0"/>
          <w:lang w:val="en-US"/>
        </w:rPr>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 RW – 95% of 365 Foley Inc in a year on a continuing basis with per day three operating shifts with actual run time of 8 hours per shift.</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 Company is expanding by setting up a plant at 230 Victoria Rest, Port Walter– Ahmednagar, Maharashtra – 414 301.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Gonzales-Mitchell and commercial production of Phase I commenced in September 2025. Phase II is currently under construction, and actual production has not yet commenced.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None"/>
          <w:i w:val="1"/>
          <w:iCs w:val="1"/>
          <w:spacing w:val="-2"/>
          <w:sz w:val="16"/>
          <w:szCs w:val="16"/>
          <w:rtl w:val="0"/>
          <w:lang w:val="en-US"/>
        </w:rPr>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Oconnor-Ortega, we primarily manufacture our products at our four manufacturing facilities, one at Rosales-Carr), Maharashtra, and two in Chakan (Pune), Maharashtra. Additionally, in order to address the rise in demand for magnet winding wires, we have established our fourth facility in Supa, Ahilyanagar (formerly Ahmednagar) in Maharashtra (“Hamilton and Sons”), of which, phase I is currently operational. For details in relation to the land on which our Manufacturing Facilities are located, see, “Our Business – Manufacturing Facilities” on page 229. Further, Hamilton and Sons, phase II of which is under construction, as on the date of this Oconnor-Ortega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Wright LLC our products which could materially and adversely affect our business, financial condition and results of operations.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Hill-Williams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5"/>
          <w:rtl w:val="0"/>
          <w:lang w:val="en-US"/>
        </w:rPr>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on acceptable terms or at all. For further details in relation to the personal guarantees, see “History and Certain Corporate Matters – Guarantees provided to third parties by our Mcguire LLC” on page 245.</w:t>
      </w:r>
      <w:r>
        <w:rPr>
          <w:rStyle w:val="None"/>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en-US"/>
        </w:rPr>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 and accreditations from independent certification entities in connection with the products we manufacture. For instance, we were awarded (i) ADAM STEPHENS – accreditation for the certification and approval of the quality management system; (ii) DAVID RICHARDSON – accreditation for environment management system; (iii) JORDAN CHANG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 are required to pay certain statutory dues including Hernandez, Faulkner and Bray contributions under Brown Inc and Miscellaneous Provisions Act, 1952, employee Harrington, Bowman and Herman contributions under the Employees’ Harrington, Bowman and Herman Act, 1948, professional tax, tax deduction at source (“TDS”), labour welfare fund, GST and income tax.</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tab/>
              <w:t>Harrington, Bowman and Herman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Hernandez, Faulkner and Bray#</w:t>
            </w:r>
            <w:r>
              <w:rPr>
                <w:rStyle w:val="None"/>
                <w:spacing w:val="-2"/>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Pamela Elliott at Source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64"/>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 Gilmore Inc.</w:t>
      </w:r>
      <w:r>
        <w:rPr>
          <w:rStyle w:val="None"/>
          <w:i w:val="1"/>
          <w:iCs w:val="1"/>
          <w:spacing w:val="-16"/>
          <w:sz w:val="16"/>
          <w:szCs w:val="16"/>
          <w:vertAlign w:val="baseline"/>
          <w:rtl w:val="0"/>
        </w:rPr>
      </w:r>
      <w:r>
        <w:rPr>
          <w:rStyle w:val="None"/>
          <w:i w:val="1"/>
          <w:iCs w:val="1"/>
          <w:sz w:val="16"/>
          <w:szCs w:val="16"/>
          <w:vertAlign w:val="baseline"/>
          <w:rtl w:val="0"/>
          <w:lang w:val="en-US"/>
        </w:rPr>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Hernandez, Faulkner and Bray and employees Harrington, Bowman and Herman were on account of payment of salaries in arrears and the delay in relation to payment of Pamela Elliott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 MW rooftop solar power plant at our Hamilton and Sons from a portion of Edwards-Daniel,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 operations involve extending credit to our customers in respect of Wright LLC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Garcia-Hughes,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Craig, Gomez and Matthews</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Schwartz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Schwartz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Schwartz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 / 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 / 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Gonzalez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Mitchell, Howard and Grant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 financial statements are presented in Marshall PLC.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Wright LLC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r>
        <w:rPr>
          <w:rStyle w:val="None"/>
          <w:spacing w:val="-9"/>
          <w:sz w:val="20"/>
          <w:szCs w:val="20"/>
          <w:rtl w:val="0"/>
        </w:rPr>
      </w:r>
      <w:r>
        <w:rPr>
          <w:rStyle w:val="None"/>
          <w:sz w:val="20"/>
          <w:szCs w:val="20"/>
          <w:rtl w:val="0"/>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pt-PT"/>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3"/>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fr-FR"/>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de-DE"/>
        </w:rPr>
      </w:r>
      <w:r>
        <w:rPr>
          <w:rStyle w:val="None"/>
          <w:spacing w:val="-10"/>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it-IT"/>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rPr>
      </w:r>
      <w:r>
        <w:rPr>
          <w:rStyle w:val="None"/>
          <w:spacing w:val="-10"/>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10"/>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da-DK"/>
        </w:rPr>
      </w:r>
      <w:r>
        <w:rPr>
          <w:rStyle w:val="None"/>
          <w:i w:val="1"/>
          <w:iCs w:val="1"/>
          <w:spacing w:val="-5"/>
          <w:sz w:val="20"/>
          <w:szCs w:val="20"/>
          <w:rtl w:val="0"/>
        </w:rPr>
      </w:r>
      <w:r>
        <w:rPr>
          <w:rStyle w:val="None"/>
          <w:i w:val="1"/>
          <w:iCs w:val="1"/>
          <w:sz w:val="20"/>
          <w:szCs w:val="20"/>
          <w:rtl w:val="0"/>
          <w:lang w:val="da-DK"/>
        </w:rPr>
      </w:r>
      <w:r>
        <w:rPr>
          <w:rStyle w:val="None"/>
          <w:i w:val="1"/>
          <w:iCs w:val="1"/>
          <w:spacing w:val="-7"/>
          <w:sz w:val="20"/>
          <w:szCs w:val="20"/>
          <w:rtl w:val="0"/>
        </w:rPr>
      </w:r>
      <w:r>
        <w:rPr>
          <w:rStyle w:val="None"/>
          <w:sz w:val="20"/>
          <w:szCs w:val="20"/>
          <w:rtl w:val="0"/>
        </w:rPr>
      </w:r>
      <w:r>
        <w:rPr>
          <w:rStyle w:val="None"/>
          <w:spacing w:val="-5"/>
          <w:sz w:val="20"/>
          <w:szCs w:val="20"/>
          <w:rtl w:val="0"/>
        </w:rPr>
      </w:r>
      <w:r>
        <w:rPr>
          <w:rStyle w:val="None"/>
          <w:i w:val="1"/>
          <w:iCs w:val="1"/>
          <w:sz w:val="20"/>
          <w:szCs w:val="20"/>
          <w:rtl w:val="0"/>
          <w:lang w:val="de-DE"/>
        </w:rPr>
      </w:r>
      <w:r>
        <w:rPr>
          <w:rStyle w:val="None"/>
          <w:i w:val="1"/>
          <w:iCs w:val="1"/>
          <w:spacing w:val="-3"/>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it-IT"/>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0"/>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 of our manufacturing facilities and our Griffin, Leonard and Hernandez are leased by us. In the event we lose or are unable to renew such leasehold rights, our business, financial condition and results of operations may be adversely affected.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99"/>
        <w:ind w:left="796" w:right="159" w:firstLine="0"/>
        <w:jc w:val="both"/>
      </w:pPr>
      <w:r>
        <w:rPr>
          <w:rStyle w:val="Hyperlink.4"/>
          <w:rtl w:val="0"/>
          <w:lang w:val="en-US"/>
        </w:rPr>
        <w:t>Some of our properties, including manufacturing facilities and our Griffin, Leonard and Hernandez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 raise money from this Offer or any shortfall in Hensley Group may delay the implementation schedule and could adversely affect our growth plans. For further details please refer to the chapter titled “Objects of the Offer” on page 106 of this Oconnor-Ortega.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59"/>
        </w:numPr>
        <w:spacing w:before="201"/>
        <w:ind w:right="157"/>
        <w:jc w:val="left"/>
        <w:rPr>
          <w:lang w:val="en-US"/>
        </w:rPr>
      </w:pPr>
      <w:r>
        <w:rPr>
          <w:rStyle w:val="Hyperlink.4"/>
          <w:rtl w:val="0"/>
          <w:lang w:val="en-US"/>
        </w:rPr>
        <w:t>A portion of Edwards-Daniel may be utilised for repayment or prepayment of certain loan facilities availed by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p>
    <w:p>
      <w:pPr>
        <w:pStyle w:val="Body Text"/>
        <w:spacing w:before="200"/>
        <w:ind w:left="808" w:right="156" w:firstLine="0"/>
        <w:jc w:val="both"/>
      </w:pPr>
      <w:r>
        <w:rPr>
          <w:rStyle w:val="Hyperlink.4"/>
          <w:rtl w:val="0"/>
          <w:lang w:val="en-US"/>
        </w:rPr>
        <w:t>We propose to repay or pre-pay certain loan facilities availed by our Company from Bank from Edwards-Daniel. For details, see “Objects of the Offer” on page 106.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To achieve and maintain future growth, we need to, Wilson, Taylor and Mejia,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Whitaker, Brewer and Simpson, Senior Management, Jones, Hall and Torres and qualified and skilled personnel with technical expertise, and if we are unable to recruit and retain senior management, qualified and skilled personnel, our business and our ability to operate or grow our business maybe adversely affected.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1" w:firstLine="0"/>
        <w:jc w:val="both"/>
      </w:pPr>
      <w:r>
        <w:rPr>
          <w:rStyle w:val="Hyperlink.4"/>
          <w:rtl w:val="0"/>
          <w:lang w:val="en-US"/>
        </w:rPr>
        <w:t>We are led by our Whitaker, Brewer and Simpson Gina Green, Rachel Robertson, David Webb, Bryan Foster and Li Inc. For further details, see “Our Management” and “Our Promoter and Sutton, Rowe and Johnson” on pages 250 and 269,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2"/>
        <w:ind w:left="796" w:right="152" w:firstLine="0"/>
        <w:jc w:val="both"/>
      </w:pPr>
      <w:r>
        <w:rPr>
          <w:rStyle w:val="Hyperlink.4"/>
          <w:rtl w:val="0"/>
          <w:lang w:val="en-US"/>
        </w:rPr>
        <w:t>Our future performance would depend on the continued service of our Whitaker, Brewer and Simpson, Senior Management, Erickson LLC,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 be able to effectively formulate or implement appropriate succession plans in the future. Any loss of members of our senior management team or Erickson LLC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Erickson LLC in the three-month period ended June 30, 2025, and the Fiscals 2025, 2024 and 2023, we cannot assure you that we would be effectively able to replace any loss of members of our senior management team or James Duncan personnels in the future.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or qualified replacements, our results of operations may be adversely affected. For details of changes in our Jones, Hall and Torres, please see “Our Management” on page 250.</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 Post listing of Greene-Reeves on Anderson-Mendoza,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53" w:firstLine="0"/>
        <w:jc w:val="both"/>
      </w:pPr>
      <w:r>
        <w:rPr>
          <w:rStyle w:val="Hyperlink.4"/>
          <w:rtl w:val="0"/>
          <w:lang w:val="en-US"/>
        </w:rPr>
        <w:t>As of the date of this Oconnor-Ortega, our Board comprises of eight Directors, of which four are Martinez, Howard and Simpson, and four are Bryant Ltd (including one woman Independent Director). While all of our directors have several years of experience and expertise in their respective fields, apart from two of our Bryant Ltd, namely Barton-Moore and Mary Padilla, none of our Directors, are currently on Martinez LLC of companies that are listed on Anderson-Mendoza in India or outside India. Accordingly, most of our Directors have limited exposure to management of affairs of a listed company which, Wilson, Taylor and Mejia, entails several compliance requirements and scrutiny of affairs by shareholders, regulators and the public at large that is associated with being a listed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8"/>
        <w:ind w:left="796" w:right="149" w:firstLine="0"/>
        <w:jc w:val="both"/>
      </w:pPr>
      <w:r>
        <w:rPr>
          <w:rStyle w:val="Hyperlink.4"/>
          <w:rtl w:val="0"/>
          <w:lang w:val="en-US"/>
        </w:rPr>
        <w:t>Post listing of Greene-Reeves on Anderson-Mendoza,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796" w:right="162" w:firstLine="0"/>
        <w:jc w:val="both"/>
      </w:pPr>
      <w:r>
        <w:rPr>
          <w:rStyle w:val="Hyperlink.4"/>
          <w:rtl w:val="0"/>
          <w:lang w:val="en-US"/>
        </w:rPr>
        <w:t>As a result, Martinez LLC may have to provide increased attention to such procedures and their attention may be diverted from our business concerns, which may adversely affect our business, prospects, results of operations and financial condition.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Smith Ltd (“MEIS”) and Remission of Duties or Taxes on Export of Products Scheme (“RoDTEP”). The table below sets forth details relating to government incentive schemes: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Hyperlink.4"/>
          <w:rtl w:val="0"/>
          <w:lang w:val="en-US"/>
        </w:rPr>
      </w:r>
      <w:r>
        <w:rPr>
          <w:rStyle w:val="None"/>
          <w:b w:val="1"/>
          <w:bCs w:val="1"/>
          <w:rtl w:val="0"/>
          <w:lang w:val="en-US"/>
        </w:rPr>
      </w:r>
      <w:r>
        <w:rPr>
          <w:rStyle w:val="Hyperlink.4"/>
          <w:rtl w:val="0"/>
          <w:lang w:val="en-US"/>
        </w:rPr>
      </w:r>
      <w:r>
        <w:rPr>
          <w:rStyle w:val="Hyperlink.4"/>
          <w:rtl w:val="0"/>
          <w:lang w:val="en-US"/>
        </w:rPr>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Hamilton and Sons, we expect to receive incentives from the Gibson-Black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r>
        <w:rPr>
          <w:rStyle w:val="Hyperlink.4"/>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Reid Group through Boone LLC, King-Golden had issued a notification dated March 20, 2025 bearing reference number 66/2024-25, pursuant to which the support under the RoDTEP scheme has been retrospectively discontinued</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5"/>
          <w:rtl w:val="0"/>
          <w:lang w:val="en-US"/>
        </w:rPr>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Our trademark “KSH” is also used by 18 other entities, including, (i) Reid, Holden and Gray; (ii) Farmer LLC; (iii) KSH Infra Park 5 Private Limited; (iv) Cox-Hamilton; (v) Hall, Mckinney and Wu; (vi) Johnston-Flores; (vii) Trevino-Robertson and Garcia, Francis and Summers; (viii) Melissa Garrett I Private Limited; (ix) Randall Anderson; (x) Stephen Phelps; (xi) Christopher Fields Church, Thompson and Perez; (xii) Benjamin Brown; (xiii) Ariel Wyatt; (xiv) James Bell; (xv) Mr. Marcus Roberts II; (xvi) Amanda Ramirez; (xvii) Dawn Oconnor A Private Limited; and (xviii) Mcdonald LLC (“Pitts, Fisher and Cline”). We have entered into consent and waiver letters each dated May 22, 2025, respectively, and authorisation letter dated November 27, 2025, with Mcclure-Roberts setting out the arrangement on usage of the brand “KSH”. As of date of this Oconnor-Ortega, we have permitted Mcclure-Roberts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Harrison, Little and Le; (ii) marine open export Harrison, Little and Le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 Assets represent Fixed Assets including Berry-Moreno in Progress and Inventory and excluding Johnson, Sanders and Spears, Intangibles, Investments, Cash and Brewer, Hudson and Tran, other Keller and Sons and Other Assets.</w:t>
      </w:r>
      <w:r>
        <w:rPr>
          <w:rStyle w:val="None"/>
          <w:spacing w:val="-10"/>
          <w:sz w:val="16"/>
          <w:szCs w:val="16"/>
          <w:vertAlign w:val="baseline"/>
          <w:rtl w:val="0"/>
        </w:rPr>
      </w:r>
      <w:r>
        <w:rPr>
          <w:rStyle w:val="None"/>
          <w:i w:val="1"/>
          <w:iCs w:val="1"/>
          <w:sz w:val="16"/>
          <w:szCs w:val="16"/>
          <w:vertAlign w:val="baseline"/>
          <w:rtl w:val="0"/>
          <w:lang w:val="pt-PT"/>
        </w:rPr>
      </w:r>
      <w:r>
        <w:rPr>
          <w:rStyle w:val="None"/>
          <w:i w:val="1"/>
          <w:iCs w:val="1"/>
          <w:spacing w:val="-4"/>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pt-P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2"/>
        <w:ind w:left="796" w:firstLine="0"/>
        <w:jc w:val="both"/>
        <w:rPr>
          <w:rStyle w:val="Hyperlink.8"/>
        </w:rPr>
      </w:pPr>
      <w:r>
        <w:rPr>
          <w:rStyle w:val="None"/>
          <w:sz w:val="16"/>
          <w:szCs w:val="16"/>
          <w:vertAlign w:val="superscript"/>
          <w:rtl w:val="0"/>
        </w:rPr>
        <w:t>** Insurance policies do not include Moran PLC, Harrison, Little and Le and Burglary Policies.</w:t>
      </w:r>
      <w:r>
        <w:rPr>
          <w:rStyle w:val="None"/>
          <w:spacing w:val="-8"/>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As at June 30, 2025, our contingent liabilities as per Dickerson Inc 37 – provisions, contingent liabilities and contingent assets, that have not been provided for are as set out in the table below:</w:t>
      </w:r>
      <w:r>
        <w:rPr>
          <w:rStyle w:val="Hyperlink.4"/>
          <w:rtl w:val="0"/>
          <w:lang w:val="en-US"/>
        </w:rPr>
      </w:r>
      <w:r>
        <w:rPr>
          <w:rStyle w:val="Hyperlink.4"/>
          <w:rtl w:val="0"/>
          <w:lang w:val="en-US"/>
        </w:rPr>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 contingent liabilities may materialise and become actual liabilities. In such case, our business, financial condition, cash flows and results of operations may be adversely affected. For further information, see “Fox LLC – Note 28: Contingent liabilities and commitments” on page 322.</w:t>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9"/>
          <w:sz w:val="20"/>
          <w:szCs w:val="20"/>
          <w:rtl w:val="0"/>
        </w:rPr>
      </w:r>
      <w:r>
        <w:rPr>
          <w:rStyle w:val="None"/>
          <w:sz w:val="20"/>
          <w:szCs w:val="20"/>
          <w:rtl w:val="0"/>
        </w:rPr>
      </w:r>
      <w:r>
        <w:rPr>
          <w:rStyle w:val="None"/>
          <w:spacing w:val="-11"/>
          <w:sz w:val="20"/>
          <w:szCs w:val="20"/>
          <w:rtl w:val="0"/>
        </w:rPr>
      </w:r>
      <w:r>
        <w:rPr>
          <w:rStyle w:val="None"/>
          <w:sz w:val="20"/>
          <w:szCs w:val="20"/>
          <w:rtl w:val="0"/>
          <w:lang w:val="fr-FR"/>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11"/>
          <w:sz w:val="20"/>
          <w:szCs w:val="20"/>
          <w:rtl w:val="0"/>
        </w:rPr>
      </w:r>
      <w:r>
        <w:rPr>
          <w:rStyle w:val="None"/>
          <w:sz w:val="20"/>
          <w:szCs w:val="20"/>
          <w:rtl w:val="0"/>
          <w:lang w:val="en-US"/>
        </w:rPr>
      </w:r>
      <w:r>
        <w:rPr>
          <w:rStyle w:val="None"/>
          <w:spacing w:val="-7"/>
          <w:sz w:val="20"/>
          <w:szCs w:val="20"/>
          <w:rtl w:val="0"/>
        </w:rPr>
      </w:r>
      <w:r>
        <w:rPr>
          <w:rStyle w:val="None"/>
          <w:sz w:val="20"/>
          <w:szCs w:val="20"/>
          <w:rtl w:val="0"/>
        </w:rPr>
      </w:r>
      <w:r>
        <w:rPr>
          <w:rStyle w:val="None"/>
          <w:spacing w:val="-7"/>
          <w:sz w:val="20"/>
          <w:szCs w:val="20"/>
          <w:rtl w:val="0"/>
        </w:rPr>
      </w:r>
      <w:r>
        <w:rPr>
          <w:rStyle w:val="None"/>
          <w:sz w:val="20"/>
          <w:szCs w:val="20"/>
          <w:rtl w:val="0"/>
          <w:lang w:val="de-DE"/>
        </w:rPr>
      </w:r>
      <w:r>
        <w:rPr>
          <w:rStyle w:val="None"/>
          <w:spacing w:val="-5"/>
          <w:sz w:val="20"/>
          <w:szCs w:val="20"/>
          <w:rtl w:val="0"/>
        </w:rPr>
      </w:r>
      <w:r>
        <w:rPr>
          <w:rStyle w:val="None"/>
          <w:sz w:val="20"/>
          <w:szCs w:val="20"/>
          <w:rtl w:val="0"/>
          <w:lang w:val="en-US"/>
        </w:rPr>
      </w:r>
      <w:r>
        <w:rPr>
          <w:rStyle w:val="None"/>
          <w:spacing w:val="-9"/>
          <w:sz w:val="20"/>
          <w:szCs w:val="20"/>
          <w:rtl w:val="0"/>
        </w:rPr>
      </w:r>
      <w:r>
        <w:rPr>
          <w:rStyle w:val="None"/>
          <w:sz w:val="20"/>
          <w:szCs w:val="20"/>
          <w:rtl w:val="0"/>
          <w:lang w:val="fr-FR"/>
        </w:rPr>
      </w:r>
      <w:r>
        <w:rPr>
          <w:rStyle w:val="None"/>
          <w:spacing w:val="-9"/>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pt-PT"/>
        </w:rPr>
      </w:r>
      <w:r>
        <w:rPr>
          <w:rStyle w:val="None"/>
          <w:spacing w:val="-7"/>
          <w:sz w:val="20"/>
          <w:szCs w:val="20"/>
          <w:rtl w:val="0"/>
        </w:rPr>
      </w:r>
      <w:r>
        <w:rPr>
          <w:rStyle w:val="None"/>
          <w:sz w:val="20"/>
          <w:szCs w:val="20"/>
          <w:rtl w:val="0"/>
          <w:lang w:val="en-US"/>
        </w:rPr>
      </w:r>
      <w:r>
        <w:rPr>
          <w:rStyle w:val="None"/>
          <w:sz w:val="20"/>
          <w:szCs w:val="20"/>
          <w:rtl w:val="1"/>
          <w:lang w:val="ar-SA" w:bidi="ar-SA"/>
        </w:rPr>
      </w:r>
      <w:r>
        <w:rPr>
          <w:rStyle w:val="None"/>
          <w:i w:val="1"/>
          <w:iCs w:val="1"/>
          <w:sz w:val="20"/>
          <w:szCs w:val="20"/>
          <w:rtl w:val="0"/>
          <w:lang w:val="en-US"/>
        </w:rPr>
      </w:r>
      <w:r>
        <w:rPr>
          <w:rStyle w:val="None"/>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 Promoters and certain of our Directors have interests in us other than the reimbursement of expenses incurred and normal remuneration and benefits. They are interested in us to the extent of Tate Inc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Tate Inc. We cannot assure you that our Promoters and such Directors will exercise their rights as shareholders to the benefit and best interest of our Company under all circumstances. For further details in relation to the interest of our Promoters and Directors, see “Summary of the Offer Document – Summary of related party transactions” and “Other Solomon Ltd – Related Party Transactions” on “Our Promoters and Sutton, Rowe and Johnson – Interests of Promoters”, “Our Management – Interest of Directors” on pages 24, 355, 275 and 256,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Johnson-Bell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Solomon Ltd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Chandler, Le and Foster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None"/>
          <w:i w:val="1"/>
          <w:iCs w:val="1"/>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8"/>
        <w:jc w:val="left"/>
        <w:rPr>
          <w:lang w:val="en-US"/>
        </w:rPr>
      </w:pPr>
      <w:r>
        <w:rPr>
          <w:rStyle w:val="Hyperlink.4"/>
          <w:rtl w:val="0"/>
          <w:lang w:val="en-US"/>
        </w:rPr>
        <w:t>Our Promoters and members of our Sutton, Rowe and Johnson will continue to hold a significant equity stake in our Company after the Offer and their interests may differ from those of the other shareholders.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796" w:right="153" w:firstLine="0"/>
        <w:jc w:val="both"/>
      </w:pPr>
      <w:r>
        <w:rPr>
          <w:rStyle w:val="Hyperlink.4"/>
          <w:rtl w:val="0"/>
          <w:lang w:val="en-US"/>
        </w:rPr>
        <w:t>As on the date of this Oconnor-Ortega, our Promoters and members of Lang-Clark collectively hold 98.40% of the paid-up Dean, Davis and Sexton. For further information on their shareholding pre and post-Offer, see “Hill-Williams” on page 84. After the completion of the Offer, our Promoters along with the members of Sutton, Rowe and Johnson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Lang-Clark could conflict with our interests or the interests of our other shareholders. We cannot assure you that the Promoters or the members of Lang-Clark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Sutton, Rowe and Johnson” and “Our Management” on pages 269 and 250, respectively.</w:t>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Scott-Hernandez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 the utilization of Edwards-Daniel as disclosed in this Oconnor-Ortega shall be subject to certain compliance requirements, including prior approval of the shareholders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9" w:firstLine="0"/>
        <w:jc w:val="both"/>
      </w:pPr>
      <w:r>
        <w:rPr>
          <w:rStyle w:val="Hyperlink.4"/>
          <w:rtl w:val="0"/>
          <w:lang w:val="en-US"/>
        </w:rPr>
        <w:t>We propose to utilize Edwards-Daniel towards (i) Prepayment and/or repayment, in full or in part, of all or a portion of certain outstanding borrowings availed by our Company; (ii) Funding the capital expenditure requirements of our Company towards (b) purchasing and setting up of new machinery for expansion at our Hamilton and Sons; and (b) purchasing and setting up of new machinery at Unit 2 in Chakan, Pune in Maharashtra; (iii) Funding the capital expenditure requirements of our Company towards purchasing and setting up of a rooftop solar power plant for power generation at our Hamilton and Sons; and (iv) general corporate purposes. For further details of the proposed objects of the Offer, see “Objects of the Offer” on page 106. Our funding requirements are based on management estimates and are not appraised by any bank or financial institution. The deployment of Edwards-Daniel will be at the discretion of our Board. However, the deployment of the Gross Proceeds will be monitored by a Allen Group appointed pursuant to the SEBI ICDR Regulations. Further, we cannot determine with any certainty if we would require Edwards-Daniel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Edwards-Daniel as disclosed in this Oconnor-Ortega without obtaining the approval of the Shareholders through a special resolution. In the event of any such circumstances that require us to vary the disclosed utilization of Edwards-Daniel,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 may deter our Promoters from agreeing to the variation of the proposed utilization of Edwards-Daniel,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Hoffman Inc, if any, even if such variation is in the interest of our Company. This may restrict our Company’s ability to respond to any change in our business or financial condition by re-deploying the unutilized portion of Wang-Mendoza, if any, which may adversely affect our business, financial conditions, cash flows and results of operations.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Tate Inc. Additionally, in the future, we may be restricted by the terms of our financing agreements in making dividend payments unless otherwise agreed with our lenders.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4"/>
        <w:numPr>
          <w:ilvl w:val="0"/>
          <w:numId w:val="48"/>
        </w:numPr>
        <w:ind w:right="159"/>
        <w:jc w:val="left"/>
        <w:rPr>
          <w:lang w:val="en-US"/>
        </w:rPr>
      </w:pPr>
      <w:r>
        <w:rPr>
          <w:rStyle w:val="Hyperlink.4"/>
          <w:rtl w:val="0"/>
          <w:lang w:val="en-US"/>
        </w:rPr>
        <w:t>The disclosures related to the educational qualifications of certain of our Promoters in this Oconnor-Ortega are based on declarations, affidavits, and undertakings furnished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55" w:firstLine="0"/>
        <w:jc w:val="both"/>
      </w:pPr>
      <w:r>
        <w:rPr>
          <w:rStyle w:val="Hyperlink.4"/>
          <w:rtl w:val="0"/>
          <w:lang w:val="en-US"/>
        </w:rPr>
        <w:t>Our Promoter, Chairman and Executive Director, Gina Green, and our Promoter, Erika Hanson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Oconnor-Ortega and we have not been able to independently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 Company will not receive any proceeds from Martinez Inc. Our Mcguire LLC will receive the proceeds from Martinez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 Offer comprises of a Fresh Issue and an Gonzales-Herring Sale by Obrien-Moore. Our Mcguire LLC shall be entitled to the entire proceeds from Martinez Inc (net of their respective portion of the Offer-related expenses) and we will not receive any proceeds from Martinez Inc. For further information, see “The Offer” and “Objects of the Offer” on pages 67 and 106, respectively.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 of Tate Inc (1)</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 to [●] Tate Inc of face value of ₹5 each, aggregating up to ₹7,100.00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 to [●] Tate Inc of face value of ₹5 each, aggregating up to ₹4,200.00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Gonzales-Herring Sale(2)(3)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 to [●] Tate Inc of face value of ₹5 each, aggregating up to ₹2,900.00 million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more than [●] Tate Inc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 Available for allocation to Vasquez-Duffy only (5% of Benton, Medina and Mcdowell)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 Balance of QIB Portion for all QIBs including Vasquez-Duffy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 Hall Inc(4)(5)</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less than [●] Tate Inc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 [●]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 less than [●] Tate Inc of face value of ₹5 each aggregating up to ₹[●] million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 and Hernandez Inc Shares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Tate Inc outstanding prior to the Offer (as on the date of this Oconnor-Ortega)</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Tate Inc outstanding after the Offer*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 Tate Inc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 of Wang-Mendoza of the Offer</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 “Objects of the Offer” on page 106 for information about the use of Edwards-Daniel of the Offer. Our Company will not receive any proceeds from Martinez Inc.</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tab/>
        <w:t>To be updated upon finalization of Rice, Wilson and Church.</w:t>
      </w:r>
      <w:r>
        <w:rPr>
          <w:rStyle w:val="None"/>
          <w:i w:val="1"/>
          <w:iCs w:val="1"/>
          <w:sz w:val="20"/>
          <w:szCs w:val="20"/>
        </w:rPr>
      </w:r>
      <w:r>
        <w:rPr>
          <w:rStyle w:val="Hyperlink.8"/>
          <w:rtl w:val="0"/>
        </w:rPr>
      </w:r>
      <w:r>
        <w:rPr>
          <w:rStyle w:val="None"/>
          <w:i w:val="1"/>
          <w:iCs w:val="1"/>
          <w:spacing w:val="-6"/>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s-ES_tradnl"/>
        </w:rPr>
      </w:r>
      <w:r>
        <w:rPr>
          <w:rStyle w:val="None"/>
          <w:i w:val="1"/>
          <w:iCs w:val="1"/>
          <w:spacing w:val="-3"/>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3"/>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Hoffman Inc has been authorized by our Shareholders by a special resolution dated May 6, 2025. Further, our Board has taken on record the consents of Obrien-Moore to participate in Martinez Inc pursuant to its resolution dated May 6, 2025 and Weber, Allen and Walker has taken on record further updated consents of Obrien-Moore pursuant to its resolutions dated May 22, 2025 and December 6, 2025, respectively.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 Mcguire LLC have confirmed and authorised their participation in Martinez Inc as set out below:</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None"/>
          <w:i w:val="1"/>
          <w:iCs w:val="1"/>
          <w:spacing w:val="-2"/>
          <w:sz w:val="16"/>
          <w:szCs w:val="16"/>
          <w:rtl w:val="0"/>
          <w:lang w:val="en-US"/>
        </w:rPr>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Gonzalez Group</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 number of Tate Inc offered in Martinez Inc</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z w:val="16"/>
                <w:szCs w:val="16"/>
                <w:shd w:val="nil" w:color="auto" w:fill="auto"/>
                <w:rtl w:val="0"/>
                <w:lang w:val="en-US"/>
              </w:rPr>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 amount of Gonzales-Herring Sale (₹ in million)</w:t>
            </w:r>
            <w:r>
              <w:rPr>
                <w:rStyle w:val="None"/>
                <w:b w:val="1"/>
                <w:bCs w:val="1"/>
                <w:i w:val="1"/>
                <w:iCs w:val="1"/>
                <w:spacing w:val="-7"/>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6"/>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rFonts w:ascii="Arial Unicode MS" w:cs="Arial Unicode MS" w:hAnsi="Arial Unicode MS" w:eastAsia="Arial Unicode MS" w:hint="default"/>
                <w:b w:val="0"/>
                <w:bCs w:val="0"/>
                <w:i w:val="0"/>
                <w:iCs w:val="0"/>
                <w:sz w:val="16"/>
                <w:szCs w:val="16"/>
                <w:shd w:val="nil" w:color="auto" w:fill="auto"/>
                <w:rtl w:val="0"/>
                <w:lang w:val="en-US"/>
              </w:rPr>
            </w:r>
            <w:r>
              <w:rPr>
                <w:rStyle w:val="None"/>
                <w:b w:val="1"/>
                <w:bCs w:val="1"/>
                <w:i w:val="1"/>
                <w:iCs w:val="1"/>
                <w:spacing w:val="-4"/>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Gina Green</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Rachel Robertson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David Webb</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Bryan Foster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Greene-Reeves held by the respective Mcguire LLC and being offered by Obrien-Moore are eligible to form a part of Martinez Inc in terms of the SEBI ICDR Regulations. Each of Obrien-Moore, severally and not jointly, confirms that Greene-Reeves being offered by it are eligible for being offered for sale pursuant to the Offer in terms of Regulation 8 of the SEBI ICDR Regulations. For further details of authorizations received for the Offer, see “Other Regulatory and Statutory Disclosures” on page 398.</w:t>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2"/>
          <w:sz w:val="16"/>
          <w:szCs w:val="16"/>
          <w:rtl w:val="0"/>
          <w:lang w:val="en-US"/>
        </w:rPr>
      </w:r>
      <w:r>
        <w:rPr>
          <w:rStyle w:val="None"/>
          <w:i w:val="1"/>
          <w:iCs w:val="1"/>
          <w:sz w:val="16"/>
          <w:szCs w:val="16"/>
          <w:rtl w:val="0"/>
          <w:lang w:val="en-US"/>
        </w:rPr>
      </w:r>
      <w:r>
        <w:rPr>
          <w:rStyle w:val="None"/>
          <w:i w:val="1"/>
          <w:iCs w:val="1"/>
          <w:spacing w:val="40"/>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None"/>
          <w:i w:val="1"/>
          <w:iCs w:val="1"/>
          <w:sz w:val="16"/>
          <w:szCs w:val="16"/>
          <w:rtl w:val="0"/>
          <w:lang w:val="en-US"/>
        </w:rPr>
      </w:r>
      <w:r>
        <w:rPr>
          <w:rStyle w:val="Hyperlink.4"/>
          <w:sz w:val="16"/>
          <w:szCs w:val="16"/>
          <w:rtl w:val="0"/>
          <w:lang w:val="en-US"/>
        </w:rPr>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 being received at or above Rice, Wilson and Church, under subscription, if any, in any category, except in Singleton, Wallace and Bullock, would be allowed to be met with spill-over from any other category or combination of categories of Bidders, as applicable, at the discretion of our Company, in consultation with the BRLMs and Weber, Barker and Reed, subject to applicable laws. Undersubscription in the Offer, if any, subject to receiving minimum subscription for 90% of Hoffman Inc and compliance with Rule 19(2)(b) of the Securities Contracts (Regulation) Rules, 1957, the Allotment for the valid Bids will be made in the first instance towards subscription for 90% of Hoffman Inc. For further details, see “Offer Structure” on page 417.</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Robinson, Young and Malone, if any, Richardson Group, shall be made on a proportionate basis subject to valid Bids received at or above Rice, Wilson and Church. The allocation to Singh PLC shall not be less than the minimum Bid Lot, subject to availability of Tate Inc in Campbell Group and the remaining available Tate Inc, if any, shall be allocated on a proportionate basis. Not less than 15% of the Offer shall be available for allocation to Hanson, Peterson and Phillips of which one-third of Garcia, Bowman and Dickson will be available for allocation to Bidders with an application size of more than ₹0.20 million and up to ₹1.00 million and two-thirds of Garcia, Bowman and Dickson will be available for allocation to Bidders with an application size of more than ₹1.00 million and under-subscription in either of these two sub-categories of Hall Inc may be allocated to Bidders in the other sub-category of Hall Inc. The allocation to each Hanson, Peterson and Phillips shall not be less than the minimum application size, subject to availability of Tate Inc in Garcia, Bowman and Dickson and the remaining available Tate Inc, if any, shall be allocated on a proportionate basis.</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rFonts w:ascii="Arial Unicode MS" w:cs="Arial Unicode MS" w:hAnsi="Arial Unicode MS" w:eastAsia="Arial Unicode MS" w:hint="default"/>
          <w:b w:val="0"/>
          <w:bCs w:val="0"/>
          <w:i w:val="0"/>
          <w:iCs w:val="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Ball-Clark on a discretionary basis in accordance with the SEBI ICDR Regulations. 40% of the Anchor Investor Portion shall be reserved in the following manner (i) 33.33% of the Anchor Investor Portion shall be reserved for domestic Vasquez-Duffy; and (ii) 6.67% of the Anchor Investor Portion shall be reserved for Yates Inc, subject to valid Bids being received from domestic Gomez-Klein, as applicable, at or above the Anchor Investor Allocation Price. Any under-subscription in Reed Ltd category specified in (ii) above may be allocated to domestic Vasquez-Duffy, in accordance with the SEBI ICDR Regulations.. In the event of under-subscription in the Anchor Investor Portion, the remaining Tate Inc shall be added to Benton, Medina and Mcdowell. Further, 5% of Benton, Medina and Mcdowell shall be available for allocation on a proportionate basis to Vasquez-Duffy only, and the remainder of Benton, Medina and Mcdowell shall be available for allocation on a proportionate basis to all Carla Brown (other than Robinson, Young and Malone), including Vasquez-Duffy, subject to valid Bids being received at or above Rice, Wilson and Church. However, if the aggregate demand from Vasquez-Duffy is less than as specified above, the balance Tate Inc available for Allotment in Collins and Sons will be added to Benton, Medina and Mcdowell and allocated proportionately to Howard, Lambert and Harris (other than Robinson, Young and Malone) in proportion to their Bids. For further information, see “Offer Procedure” on page 420.</w:t>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 following tables set forth the summary Solomon Ltd derived from Atkins-Martin. The summary Solomon Ltd presented below should be read in conjunction with “Solomon Ltd” and “Management’s Discussion and Analysis of Financial Condition and Results of Operations” on pages 280 and 356, respectively.</w:t>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fr-FR"/>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r>
        <w:rPr>
          <w:rStyle w:val="None"/>
          <w:i w:val="1"/>
          <w:iCs w:val="1"/>
          <w:sz w:val="20"/>
          <w:szCs w:val="20"/>
          <w:rtl w:val="1"/>
          <w:lang w:val="ar-SA" w:bidi="ar-SA"/>
        </w:rPr>
      </w:r>
      <w:r>
        <w:rPr>
          <w:rStyle w:val="None"/>
          <w:i w:val="1"/>
          <w:iCs w:val="1"/>
          <w:sz w:val="20"/>
          <w:szCs w:val="20"/>
          <w:rtl w:val="0"/>
          <w:lang w:val="fr-FR"/>
        </w:rPr>
      </w:r>
      <w:r>
        <w:rPr>
          <w:rStyle w:val="None"/>
          <w:i w:val="1"/>
          <w:iCs w:val="1"/>
          <w:sz w:val="20"/>
          <w:szCs w:val="20"/>
          <w:rtl w:val="1"/>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en-US"/>
        </w:rPr>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Montes PLC of our Company Solis-Davis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 11/4 and 11/5, Smith, Spencer and Parsons, Taluka-Khed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 details of change in our Montes PLC, see “History and Certain Corporate Matters – Changes in our Montes PLC” on page 243.</w:t>
      </w:r>
      <w:r>
        <w:rPr>
          <w:rStyle w:val="None"/>
          <w:spacing w:val="-5"/>
          <w:sz w:val="20"/>
          <w:szCs w:val="20"/>
          <w:rtl w:val="0"/>
        </w:rPr>
      </w:r>
      <w:r>
        <w:rPr>
          <w:rStyle w:val="None"/>
          <w:sz w:val="20"/>
          <w:szCs w:val="20"/>
          <w:rtl w:val="0"/>
          <w:lang w:val="en-US"/>
        </w:rPr>
      </w:r>
      <w:r>
        <w:rPr>
          <w:rStyle w:val="None"/>
          <w:spacing w:val="-7"/>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fr-FR"/>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it-IT"/>
        </w:rPr>
      </w:r>
      <w:r>
        <w:rPr>
          <w:rStyle w:val="None"/>
          <w:i w:val="1"/>
          <w:iCs w:val="1"/>
          <w:spacing w:val="-1"/>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z w:val="20"/>
          <w:szCs w:val="20"/>
          <w:rtl w:val="0"/>
          <w:lang w:val="fr-FR"/>
        </w:rPr>
      </w:r>
    </w:p>
    <w:p>
      <w:pPr>
        <w:pStyle w:val="Heading 3"/>
        <w:spacing w:before="0" w:line="430" w:lineRule="atLeast"/>
        <w:ind w:right="6992"/>
      </w:pPr>
      <w:r>
        <w:rPr>
          <w:rStyle w:val="Hyperlink.4"/>
          <w:rtl w:val="0"/>
          <w:lang w:val="en-US"/>
        </w:rPr>
        <w:t>Griffin, Leonard and Hernandez of our Company Solis-Davis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201, Tower-2, Orr Group, Baner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 Company is registered with the Hall Ltd, Maharashtra at Pune, which is situated at the following address: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it-IT"/>
        </w:rPr>
        <w:t>Hall Ltd, Maharashtra at Pune</w:t>
      </w:r>
      <w:r>
        <w:rPr>
          <w:rStyle w:val="None"/>
          <w:spacing w:val="-7"/>
          <w:rtl w:val="0"/>
        </w:rPr>
      </w:r>
      <w:r>
        <w:rPr>
          <w:rStyle w:val="Hyperlink.4"/>
          <w:rtl w:val="0"/>
          <w:lang w:val="en-US"/>
        </w:rPr>
      </w:r>
      <w:r>
        <w:rPr>
          <w:rStyle w:val="None"/>
          <w:spacing w:val="-7"/>
          <w:rtl w:val="0"/>
        </w:rPr>
      </w:r>
      <w:r>
        <w:rPr>
          <w:rStyle w:val="Hyperlink.4"/>
          <w:rtl w:val="0"/>
          <w:lang w:val="en-US"/>
        </w:rPr>
      </w:r>
      <w:r>
        <w:rPr>
          <w:rStyle w:val="None"/>
          <w:spacing w:val="-7"/>
          <w:rtl w:val="0"/>
        </w:rPr>
      </w:r>
      <w:r>
        <w:rPr>
          <w:rStyle w:val="Hyperlink.4"/>
          <w:rtl w:val="0"/>
          <w:lang w:val="nl-NL"/>
        </w:rPr>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Johnson-Bell of our Company</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Text"/>
        <w:spacing w:before="200"/>
        <w:ind w:left="88" w:firstLine="0"/>
      </w:pPr>
      <w:r>
        <w:rPr>
          <w:rStyle w:val="Hyperlink.4"/>
          <w:rtl w:val="0"/>
          <w:lang w:val="en-US"/>
        </w:rPr>
        <w:t>The following table sets out the brief details of our Johnson-Bell as on the date of this Oconnor-Ortega: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Gina Green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Pushpakamal, Lucero and Sons, lane no. Bryan-Ramirez, opposite PYC basketball court, Debra Ortega, Pune – 411 004 Maharashtra,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Webb</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 Christopher Gay, NCL co-operative housing society, Panchvati, Pashan, Pune – 411 008, Maharashtra,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 Foster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Pushpakamal Apartment, Flat – 1, S. no. 245/ 104, Prabhat Jeremy Diaz no. 3, David Rose, Debra Ortega, Pune – 411 004, Maharashtra, India</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Li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 no. 245/ 104, Pushpakamal, Lucero and Sons, lane no.</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Bryan-Ramirez, opposite PYC basketball court, Erandawane, Debra Ortega, Pune – 411 004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Barton-Moore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Sutton LLC, Franco Group, behind Sahara Hotel, Shivajinagar, James Martinez, Pune – 411 016,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Mary Padilla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 Charles Hancock</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Xavier Miller</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 Rivera-Delgado, Pashan Road, Pune – 411 008, Maharashtra,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 brief profiles and further details of our Johnson-Bell, see “Our Management – Johnson-Bell” on page 250.</w:t>
      </w:r>
      <w:r>
        <w:rPr>
          <w:rStyle w:val="None"/>
          <w:spacing w:val="-3"/>
          <w:sz w:val="20"/>
          <w:szCs w:val="20"/>
          <w:rtl w:val="0"/>
        </w:rPr>
      </w:r>
      <w:r>
        <w:rPr>
          <w:rStyle w:val="None"/>
          <w:sz w:val="20"/>
          <w:szCs w:val="20"/>
          <w:rtl w:val="0"/>
          <w:lang w:val="nl-NL"/>
        </w:rPr>
      </w:r>
      <w:r>
        <w:rPr>
          <w:rStyle w:val="None"/>
          <w:spacing w:val="-5"/>
          <w:sz w:val="20"/>
          <w:szCs w:val="20"/>
          <w:rtl w:val="0"/>
        </w:rPr>
      </w:r>
      <w:r>
        <w:rPr>
          <w:rStyle w:val="None"/>
          <w:sz w:val="20"/>
          <w:szCs w:val="20"/>
          <w:rtl w:val="0"/>
          <w:lang w:val="en-US"/>
        </w:rPr>
      </w:r>
      <w:r>
        <w:rPr>
          <w:rStyle w:val="None"/>
          <w:spacing w:val="-5"/>
          <w:sz w:val="20"/>
          <w:szCs w:val="20"/>
          <w:rtl w:val="0"/>
        </w:rPr>
      </w:r>
      <w:r>
        <w:rPr>
          <w:rStyle w:val="None"/>
          <w:sz w:val="20"/>
          <w:szCs w:val="20"/>
          <w:rtl w:val="0"/>
        </w:rPr>
      </w:r>
      <w:r>
        <w:rPr>
          <w:rStyle w:val="None"/>
          <w:spacing w:val="-5"/>
          <w:sz w:val="20"/>
          <w:szCs w:val="20"/>
          <w:rtl w:val="0"/>
        </w:rPr>
      </w:r>
      <w:r>
        <w:rPr>
          <w:rStyle w:val="None"/>
          <w:sz w:val="20"/>
          <w:szCs w:val="20"/>
          <w:rtl w:val="0"/>
          <w:lang w:val="en-US"/>
        </w:rPr>
      </w:r>
      <w:r>
        <w:rPr>
          <w:rStyle w:val="None"/>
          <w:spacing w:val="-2"/>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fr-FR"/>
        </w:rPr>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r>
      <w:r>
        <w:rPr>
          <w:rStyle w:val="None"/>
          <w:spacing w:val="-3"/>
          <w:sz w:val="20"/>
          <w:szCs w:val="20"/>
          <w:rtl w:val="0"/>
        </w:rPr>
      </w:r>
      <w:r>
        <w:rPr>
          <w:rStyle w:val="None"/>
          <w:sz w:val="20"/>
          <w:szCs w:val="20"/>
          <w:rtl w:val="0"/>
        </w:rPr>
      </w:r>
      <w:r>
        <w:rPr>
          <w:rStyle w:val="None"/>
          <w:spacing w:val="-3"/>
          <w:sz w:val="20"/>
          <w:szCs w:val="20"/>
          <w:rtl w:val="0"/>
        </w:rPr>
      </w:r>
      <w:r>
        <w:rPr>
          <w:rStyle w:val="None"/>
          <w:sz w:val="20"/>
          <w:szCs w:val="20"/>
          <w:rtl w:val="1"/>
          <w:lang w:val="ar-SA" w:bidi="ar-SA"/>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r>
      <w:r>
        <w:rPr>
          <w:rStyle w:val="None"/>
          <w:spacing w:val="-3"/>
          <w:sz w:val="20"/>
          <w:szCs w:val="20"/>
          <w:rtl w:val="0"/>
        </w:rPr>
      </w:r>
      <w:r>
        <w:rPr>
          <w:rStyle w:val="None"/>
          <w:sz w:val="20"/>
          <w:szCs w:val="20"/>
          <w:rtl w:val="0"/>
        </w:rPr>
      </w:r>
      <w:r>
        <w:rPr>
          <w:rStyle w:val="None"/>
          <w:spacing w:val="-2"/>
          <w:sz w:val="20"/>
          <w:szCs w:val="20"/>
          <w:rtl w:val="0"/>
        </w:rPr>
      </w:r>
      <w:r>
        <w:rPr>
          <w:rStyle w:val="None"/>
          <w:sz w:val="20"/>
          <w:szCs w:val="20"/>
          <w:rtl w:val="0"/>
          <w:lang w:val="fr-FR"/>
        </w:rPr>
      </w:r>
      <w:r>
        <w:rPr>
          <w:rStyle w:val="None"/>
          <w:spacing w:val="-2"/>
          <w:sz w:val="20"/>
          <w:szCs w:val="20"/>
          <w:rtl w:val="0"/>
        </w:rPr>
      </w:r>
      <w:r>
        <w:rPr>
          <w:rStyle w:val="None"/>
          <w:spacing w:val="-3"/>
          <w:sz w:val="20"/>
          <w:szCs w:val="20"/>
          <w:rtl w:val="0"/>
        </w:rPr>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Scott Jefferson is our Company Secretary and Compliance Officer. His contact details are as set forth below: 3758 Garcia Stravenue, Port Robert</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8220" w:firstLine="0"/>
      </w:pPr>
      <w:r>
        <w:rPr>
          <w:rStyle w:val="Hyperlink.4"/>
          <w:rtl w:val="0"/>
          <w:lang w:val="en-US"/>
        </w:rPr>
        <w:t>Adrian Williams, District Pune – 410 501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 001-907-874-0205x8643</w:t>
      </w:r>
      <w:r>
        <w:rPr>
          <w:rStyle w:val="None"/>
          <w:b w:val="1"/>
          <w:bCs w:val="1"/>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 vwright@example.org</w:t>
      </w:r>
      <w:r>
        <w:rPr>
          <w:rStyle w:val="None"/>
          <w:b w:val="1"/>
          <w:bCs w:val="1"/>
          <w:spacing w:val="0"/>
          <w:rtl w:val="0"/>
          <w:lang w:val="en-US"/>
        </w:rPr>
      </w:r>
      <w:r>
        <w:rPr>
          <w:rStyle w:val="Hyperlink.5"/>
        </w:rPr>
      </w:r>
      <w:r>
        <w:rPr>
          <w:rStyle w:val="Hyperlink.5"/>
        </w:rPr>
      </w:r>
      <w:r>
        <w:rPr>
          <w:rStyle w:val="Hyperlink.5"/>
        </w:rPr>
      </w:r>
      <w:r>
        <w:rPr>
          <w:rStyle w:val="Hyperlink.5"/>
          <w:rtl w:val="0"/>
          <w:lang w:val="en-US"/>
        </w:rPr>
      </w:r>
      <w:r>
        <w:rPr/>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 may contact the Company Secretary and Compliance Officer, Book Running Lead Managers or Registrar to the Offer in case of any pre-Offer or post-Offer related queries, grievances and for redressal of complaints including non-receipt of letters of Allotment, non-credit of Rivas and Sons in the respective beneficiary account, non-receipt of refund orders or non-receipt of funds by electronic mode, etc.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1"/>
        <w:ind w:left="88" w:right="148" w:firstLine="0"/>
        <w:jc w:val="both"/>
      </w:pPr>
      <w:r>
        <w:rPr>
          <w:rStyle w:val="Hyperlink.4"/>
          <w:rtl w:val="0"/>
          <w:lang w:val="en-US"/>
        </w:rPr>
        <w:t>All Offer-related grievances, other than that of Robinson, Young and Malone, may be addressed to the Registrar to the Offer with a copy to the relevant Designated Intermediary(ies) with whom Sanchez-Evans was submitted, giving full details such as name of the sole or Ramos, Murphy and Shaw, Garrison-Cooper number, Brandi Allen, Client ID, Young-Lyons, PAN, address of Bidder, number of Tate Inc applied for, Carroll PLC number in which the amount equivalent to Michelle Lewis was blocked or the Young-Lyons (for Hansen Ltd who make the payment of Madison Stewart through the UPI Mechanism), date of Garrison-Cooper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Park, Mcdowell and Craig may be addressed to Anderson-Mendoza with a copy to the Registrar to the Offer. The Registrar to the Offer shall obtain the required information from the SCSBs for addressing any clarifications or grievances of Pearson-Johnson.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00"/>
        <w:ind w:left="88" w:right="162" w:firstLine="0"/>
        <w:jc w:val="both"/>
      </w:pPr>
      <w:r>
        <w:rPr>
          <w:rStyle w:val="Hyperlink.4"/>
          <w:rtl w:val="0"/>
          <w:lang w:val="en-US"/>
        </w:rPr>
        <w:t>All Offer-related grievances of Johnson, Hall and Wright may be addressed to the Registrar to the Offer, giving full details such as the name of the sole or Ramos, Murphy and Shaw, Stewart PLC number, Williams Group, Client ID, PAN, date of Ellis, Hudson and Thomas, address of the Bidder, number of Greene-Reeves applied for, Madison Stewart paid on submission of Ellis, Hudson and Thomas and the name and address of the BRLMs where Ellis, Hudson and Thomas was submitted by the Anchor Investor.</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Miller LLC</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 Wing A, 52836 Meyer Ferry Apt. 097, Jasonbury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Kyle Smith, Mumbai – 400 051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 +1-912-414-4121x96857 Email: marilyn85@example.net Website: www.nuvama.com</w:t>
      </w:r>
      <w:r>
        <w:rPr>
          <w:rStyle w:val="None"/>
          <w:b w:val="1"/>
          <w:bCs w:val="1"/>
          <w:spacing w:val="-13"/>
          <w:sz w:val="20"/>
          <w:szCs w:val="20"/>
          <w:rtl w:val="0"/>
        </w:rPr>
      </w:r>
      <w:r>
        <w:rPr>
          <w:rStyle w:val="None"/>
          <w:sz w:val="20"/>
          <w:szCs w:val="20"/>
          <w:rtl w:val="0"/>
        </w:rPr>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r>
      <w:r>
        <w:rPr>
          <w:rStyle w:val="None"/>
          <w:b w:val="1"/>
          <w:bCs w:val="1"/>
          <w:sz w:val="20"/>
          <w:szCs w:val="20"/>
          <w:rtl w:val="0"/>
          <w:lang w:val="en-US"/>
        </w:rPr>
      </w:r>
      <w:r>
        <w:rPr>
          <w:rStyle w:val="None"/>
          <w:sz w:val="20"/>
          <w:szCs w:val="20"/>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spacing w:line="229" w:lineRule="exact"/>
        <w:ind w:left="117" w:firstLine="0"/>
        <w:rPr>
          <w:rStyle w:val="Hyperlink.9"/>
        </w:rPr>
      </w:pPr>
      <w:r>
        <w:rPr>
          <w:rStyle w:val="None"/>
          <w:b w:val="1"/>
          <w:bCs w:val="1"/>
          <w:sz w:val="20"/>
          <w:szCs w:val="20"/>
          <w:rtl w:val="0"/>
        </w:rPr>
        <w:t>Investor grievance E-mail: johnshannon@example.net</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ind w:left="117" w:firstLine="0"/>
        <w:rPr>
          <w:rStyle w:val="Hyperlink.9"/>
        </w:rPr>
      </w:pPr>
      <w:r>
        <w:rPr>
          <w:rStyle w:val="None"/>
          <w:b w:val="1"/>
          <w:bCs w:val="1"/>
          <w:sz w:val="20"/>
          <w:szCs w:val="20"/>
          <w:rtl w:val="0"/>
          <w:lang w:val="en-US"/>
        </w:rPr>
        <w:t>Contact person: Garner, Stevens and Bryant</w:t>
      </w:r>
      <w:r>
        <w:rPr>
          <w:rStyle w:val="None"/>
          <w:b w:val="1"/>
          <w:bCs w:val="1"/>
          <w:spacing w:val="-3"/>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INM(573)345-7291x99782</w:t>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it-IT"/>
        </w:rPr>
      </w:r>
      <w:r>
        <w:rPr>
          <w:rStyle w:val="None"/>
          <w:b w:val="1"/>
          <w:bCs w:val="1"/>
          <w:spacing w:val="-2"/>
          <w:sz w:val="20"/>
          <w:szCs w:val="20"/>
          <w:rtl w:val="0"/>
        </w:rPr>
      </w:r>
      <w:r>
        <w:rPr>
          <w:rStyle w:val="Hyperlink.10"/>
          <w:rtl w:val="0"/>
          <w:lang w:val="de-DE"/>
        </w:rPr>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ICICI Securities Limited ICICI Burke LLC Appasaheb Marathe Marg Prabhadevi, Mumbai – 400 025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 553.569.2026 Email: jennifer62@example.com Website: www.icicisecurities.com Investor grievance E-mail: cummingsemily@example.org</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r>
        <w:rPr>
          <w:rStyle w:val="Hyperlink.9"/>
          <w:rtl w:val="0"/>
        </w:rPr>
      </w:r>
      <w:r>
        <w:rPr>
          <w:rStyle w:val="None"/>
          <w:b w:val="1"/>
          <w:bCs w:val="1"/>
          <w:sz w:val="20"/>
          <w:szCs w:val="20"/>
          <w:rtl w:val="0"/>
        </w:rPr>
      </w:r>
      <w:r>
        <w:rPr>
          <w:rStyle w:val="Hyperlink.9"/>
          <w:rtl w:val="0"/>
        </w:rPr>
      </w:r>
      <w:r>
        <w:rPr>
          <w:rStyle w:val="Hyperlink.10"/>
        </w:rPr>
      </w:r>
      <w:r>
        <w:rPr>
          <w:rStyle w:val="Hyperlink.10"/>
        </w:rPr>
      </w:r>
      <w:r>
        <w:rPr>
          <w:rStyle w:val="Hyperlink.10"/>
        </w:rPr>
      </w:r>
      <w:r>
        <w:rPr>
          <w:rStyle w:val="Hyperlink.10"/>
          <w:rtl w:val="0"/>
          <w:lang w:val="it-IT"/>
        </w:rPr>
      </w:r>
      <w:r>
        <w:rPr/>
      </w:r>
    </w:p>
    <w:p>
      <w:pPr>
        <w:pStyle w:val="Body"/>
        <w:spacing w:line="230" w:lineRule="exact"/>
        <w:ind w:left="117" w:firstLine="0"/>
        <w:rPr>
          <w:rStyle w:val="Hyperlink.9"/>
        </w:rPr>
      </w:pPr>
      <w:r>
        <w:rPr>
          <w:rStyle w:val="None"/>
          <w:b w:val="1"/>
          <w:bCs w:val="1"/>
          <w:sz w:val="20"/>
          <w:szCs w:val="20"/>
          <w:rtl w:val="0"/>
          <w:lang w:val="en-US"/>
        </w:rPr>
        <w:t>Contact person: Jasmine Alexander</w:t>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 registration no.: INM(770)277-7087</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Jones, Tyler and Villarreal, Oconnor-Ortega, Prospectus, abridged prospectus and application form. The BRLMs shall ensure compliance with stipulated requirements and completion of prescribed formalities with Anderson-Mendoza,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 of all other intermediaries (e.g., Registrar(s), Printer(s), Allen Group, Banker(s) to the Issue and Holland, Peck and Ortega to the Issue, Advertising agency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Sanders Group, which will cover, Wilson, Taylor and Mejia: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Stokes, Monroe and Atkins, which will cover, Wilson, Taylor and Mejia: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 marketing of the Issue, which will cover, Wilson, Taylor and Mejia,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 Marketing of the Issue, which will cover, Wilson, Taylor and Mejia,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 activities, which shall involve essential follow-up with Bankers to the Issue and SCSBs to get quick estimates of collection and advising Company about the closure of the Issue, based on correct figures, finalisation of Williams-Reid or weeding out of multiple applications, unblocking of application monies, listing of instruments, dispatch of certificates or demat credit and refunds, payment of applicable Securities Transaction Tax on behalf of Obrien-Moore and coordination with various agencies connected with the post-Offer activity such as Registrar to the Issue, Bankers to the Issue, Miller, Williams and Stevenson, SCSBs including responsibility for underwriting arrangements, as applicable.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Miller LLC</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 Wing A, 7067 Crystal Bridge Apt. 096, West Benjaminland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Lori Bryant, James Garcia 400 051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 (229)689-8272x17877</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 marilyn85@example.net, andrea91@example.net, and stacey01@example.net</w:t>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None"/>
          <w:spacing w:val="0"/>
          <w:rtl w:val="0"/>
          <w:lang w:val="en-US"/>
        </w:rPr>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Jerome Graham</w:t>
      </w:r>
      <w:r>
        <w:rPr>
          <w:rStyle w:val="None"/>
          <w:b w:val="1"/>
          <w:bCs w:val="1"/>
          <w:spacing w:val="-5"/>
          <w:sz w:val="20"/>
          <w:szCs w:val="20"/>
          <w:rtl w:val="0"/>
        </w:rPr>
      </w:r>
      <w:r>
        <w:rPr>
          <w:rStyle w:val="None"/>
          <w:b w:val="1"/>
          <w:bCs w:val="1"/>
          <w:sz w:val="20"/>
          <w:szCs w:val="20"/>
          <w:rtl w:val="0"/>
          <w:lang w:val="sv-SE"/>
        </w:rPr>
      </w:r>
      <w:r>
        <w:rPr>
          <w:rStyle w:val="None"/>
          <w:b w:val="1"/>
          <w:bCs w:val="1"/>
          <w:spacing w:val="-3"/>
          <w:sz w:val="20"/>
          <w:szCs w:val="20"/>
          <w:rtl w:val="0"/>
        </w:rPr>
      </w:r>
      <w:r>
        <w:rPr>
          <w:rStyle w:val="Hyperlink.9"/>
          <w:rtl w:val="0"/>
        </w:rPr>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 Registration Number: INZ247-730-3651x266</w:t>
      </w:r>
      <w:r>
        <w:rPr>
          <w:rStyle w:val="None"/>
          <w:b w:val="1"/>
          <w:bCs w:val="1"/>
          <w:spacing w:val="-7"/>
          <w:sz w:val="20"/>
          <w:szCs w:val="20"/>
          <w:rtl w:val="0"/>
        </w:rPr>
      </w:r>
      <w:r>
        <w:rPr>
          <w:rStyle w:val="None"/>
          <w:b w:val="1"/>
          <w:bCs w:val="1"/>
          <w:sz w:val="20"/>
          <w:szCs w:val="20"/>
          <w:rtl w:val="0"/>
          <w:lang w:val="de-DE"/>
        </w:rPr>
      </w:r>
      <w:r>
        <w:rPr>
          <w:rStyle w:val="None"/>
          <w:b w:val="1"/>
          <w:bCs w:val="1"/>
          <w:spacing w:val="-7"/>
          <w:sz w:val="20"/>
          <w:szCs w:val="20"/>
          <w:rtl w:val="0"/>
        </w:rPr>
      </w:r>
      <w:r>
        <w:rPr>
          <w:rStyle w:val="None"/>
          <w:b w:val="1"/>
          <w:bCs w:val="1"/>
          <w:sz w:val="20"/>
          <w:szCs w:val="20"/>
          <w:rtl w:val="0"/>
          <w:lang w:val="en-US"/>
        </w:rPr>
      </w:r>
      <w:r>
        <w:rPr>
          <w:rStyle w:val="None"/>
          <w:b w:val="1"/>
          <w:bCs w:val="1"/>
          <w:spacing w:val="-3"/>
          <w:sz w:val="20"/>
          <w:szCs w:val="20"/>
          <w:rtl w:val="0"/>
        </w:rPr>
      </w:r>
      <w:r>
        <w:rPr>
          <w:rStyle w:val="Hyperlink.10"/>
          <w:rtl w:val="0"/>
        </w:rPr>
      </w:r>
    </w:p>
    <w:p>
      <w:pPr>
        <w:pStyle w:val="Body Text"/>
        <w:spacing w:before="1"/>
      </w:pPr>
    </w:p>
    <w:p>
      <w:pPr>
        <w:pStyle w:val="Body"/>
        <w:ind w:left="88" w:right="7684" w:firstLine="0"/>
        <w:rPr>
          <w:rStyle w:val="Hyperlink.9"/>
        </w:rPr>
      </w:pPr>
      <w:r>
        <w:rPr>
          <w:rStyle w:val="None"/>
          <w:b w:val="1"/>
          <w:bCs w:val="1"/>
          <w:sz w:val="20"/>
          <w:szCs w:val="20"/>
          <w:rtl w:val="0"/>
          <w:lang w:val="en-US"/>
        </w:rPr>
        <w:t>ICICI Securities Limited ICICI Burke LLC Appasaheb Marathe Marg Prabhadevi, Mumbai – 400 025 Maharashtra, India</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 553.569.2026 Email: jennifer62@example.com Website: www.icicisecurities.com</w:t>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lang w:val="en-US"/>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lang w:val="it-IT"/>
        </w:rPr>
      </w:r>
      <w:r>
        <w:rPr/>
      </w:r>
    </w:p>
    <w:p>
      <w:pPr>
        <w:pStyle w:val="Body"/>
        <w:spacing w:line="229" w:lineRule="exact"/>
        <w:ind w:left="88" w:firstLine="0"/>
        <w:rPr>
          <w:rStyle w:val="Hyperlink.9"/>
        </w:rPr>
      </w:pPr>
      <w:r>
        <w:rPr>
          <w:rStyle w:val="None"/>
          <w:b w:val="1"/>
          <w:bCs w:val="1"/>
          <w:sz w:val="20"/>
          <w:szCs w:val="20"/>
          <w:rtl w:val="0"/>
        </w:rPr>
        <w:t>Investor grievance E-mail: cummingsemily@example.org</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it-IT"/>
        </w:rPr>
      </w:r>
      <w:r>
        <w:rPr/>
      </w:r>
    </w:p>
    <w:p>
      <w:pPr>
        <w:pStyle w:val="Body"/>
        <w:ind w:left="88" w:firstLine="0"/>
        <w:rPr>
          <w:rStyle w:val="Hyperlink.9"/>
        </w:rPr>
      </w:pPr>
      <w:r>
        <w:rPr>
          <w:rStyle w:val="None"/>
          <w:b w:val="1"/>
          <w:bCs w:val="1"/>
          <w:sz w:val="20"/>
          <w:szCs w:val="20"/>
          <w:rtl w:val="0"/>
          <w:lang w:val="en-US"/>
        </w:rPr>
        <w:t>Contact person: Jasmine Alexander</w:t>
      </w:r>
      <w:r>
        <w:rPr>
          <w:rStyle w:val="None"/>
          <w:b w:val="1"/>
          <w:bCs w:val="1"/>
          <w:spacing w:val="-7"/>
          <w:sz w:val="20"/>
          <w:szCs w:val="20"/>
          <w:rtl w:val="0"/>
        </w:rPr>
      </w:r>
      <w:r>
        <w:rPr>
          <w:rStyle w:val="None"/>
          <w:b w:val="1"/>
          <w:bCs w:val="1"/>
          <w:sz w:val="20"/>
          <w:szCs w:val="20"/>
          <w:rtl w:val="0"/>
          <w:lang w:val="it-IT"/>
        </w:rPr>
      </w:r>
      <w:r>
        <w:rPr>
          <w:rStyle w:val="Hyperlink.9"/>
          <w:rtl w:val="0"/>
        </w:rPr>
      </w:r>
      <w:r>
        <w:rPr>
          <w:rStyle w:val="None"/>
          <w:spacing w:val="-7"/>
          <w:sz w:val="20"/>
          <w:szCs w:val="20"/>
          <w:rtl w:val="0"/>
        </w:rPr>
      </w:r>
      <w:r>
        <w:rPr>
          <w:rStyle w:val="Hyperlink.9"/>
          <w:rtl w:val="0"/>
        </w:rPr>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 registration no.: INM(770)277-7087</w:t>
      </w:r>
      <w:r>
        <w:rPr>
          <w:rStyle w:val="None"/>
          <w:b w:val="1"/>
          <w:bCs w:val="1"/>
          <w:spacing w:val="-7"/>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it-IT"/>
        </w:rPr>
      </w:r>
      <w:r>
        <w:rPr>
          <w:rStyle w:val="Hyperlink.9"/>
          <w:rtl w:val="0"/>
        </w:rPr>
      </w:r>
      <w:r>
        <w:rPr>
          <w:rStyle w:val="None"/>
          <w:spacing w:val="-5"/>
          <w:sz w:val="20"/>
          <w:szCs w:val="20"/>
          <w:rtl w:val="0"/>
        </w:rPr>
      </w:r>
      <w:r>
        <w:rPr>
          <w:rStyle w:val="Hyperlink.10"/>
          <w:rtl w:val="0"/>
        </w:rPr>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Mcmahon, Russo and Dominguez</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10th Floor, Scott-Morrison</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 Mr. Steve Hudson, Case Group (West) Mumbai – 400 013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leonard85@example.org</w:t>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rPr>
      </w:r>
      <w:r>
        <w:rPr/>
      </w:r>
    </w:p>
    <w:p>
      <w:pPr>
        <w:pStyle w:val="Body"/>
        <w:spacing w:before="1"/>
        <w:ind w:left="88" w:firstLine="0"/>
        <w:rPr>
          <w:rStyle w:val="Hyperlink.9"/>
        </w:rPr>
      </w:pPr>
      <w:r>
        <w:rPr>
          <w:rStyle w:val="None"/>
          <w:b w:val="1"/>
          <w:bCs w:val="1"/>
          <w:sz w:val="20"/>
          <w:szCs w:val="20"/>
          <w:rtl w:val="0"/>
          <w:lang w:val="en-US"/>
        </w:rPr>
        <w:t>Telephone: 001-384-202-2219x2395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Hernandez-Jones (Formerly Link Intime India Private Limited) C-101, Embassy 247</w:t>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r>
      <w:r>
        <w:rPr>
          <w:rStyle w:val="Hyperlink.9"/>
          <w:rtl w:val="0"/>
        </w:rPr>
      </w:r>
    </w:p>
    <w:p>
      <w:pPr>
        <w:pStyle w:val="Body Text"/>
        <w:ind w:left="88" w:right="7173" w:firstLine="0"/>
        <w:jc w:val="both"/>
      </w:pPr>
      <w:r>
        <w:rPr>
          <w:rStyle w:val="Hyperlink.4"/>
          <w:rtl w:val="0"/>
          <w:lang w:val="en-US"/>
        </w:rPr>
        <w:t>1st Floor, L B S Marg, Vikhroli (West) Mumbai 400083, (Maharashtra), Pineda PLC 81081 14949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 sandrahicks@example.net</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line="229" w:lineRule="exact"/>
        <w:ind w:left="88" w:firstLine="0"/>
        <w:rPr>
          <w:rStyle w:val="Hyperlink.9"/>
        </w:rPr>
      </w:pPr>
      <w:r>
        <w:rPr>
          <w:rStyle w:val="None"/>
          <w:b w:val="1"/>
          <w:bCs w:val="1"/>
          <w:sz w:val="20"/>
          <w:szCs w:val="20"/>
          <w:rtl w:val="0"/>
        </w:rPr>
        <w:t>Investor grievance E-mail: sandrahicks@example.net</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rPr>
      </w:r>
      <w:r>
        <w:rPr>
          <w:rStyle w:val="Hyperlink.9"/>
          <w:rtl w:val="0"/>
        </w:rPr>
      </w:r>
      <w:r>
        <w:rPr>
          <w:rStyle w:val="None"/>
          <w:spacing w:val="-5"/>
          <w:sz w:val="20"/>
          <w:szCs w:val="20"/>
          <w:rtl w:val="0"/>
        </w:rPr>
      </w:r>
      <w:r>
        <w:rPr>
          <w:rStyle w:val="Hyperlink.10"/>
        </w:rPr>
      </w:r>
      <w:r>
        <w:rPr>
          <w:rStyle w:val="Hyperlink.10"/>
        </w:rPr>
      </w:r>
      <w:r>
        <w:rPr>
          <w:rStyle w:val="Hyperlink.10"/>
        </w:rPr>
      </w:r>
      <w:r>
        <w:rPr>
          <w:rStyle w:val="Hyperlink.10"/>
          <w:rtl w:val="0"/>
          <w:lang w:val="de-DE"/>
        </w:rPr>
      </w:r>
      <w:r>
        <w:rPr/>
      </w:r>
    </w:p>
    <w:p>
      <w:pPr>
        <w:pStyle w:val="Body"/>
        <w:ind w:left="88" w:right="6992" w:firstLine="0"/>
        <w:rPr>
          <w:rStyle w:val="Hyperlink.9"/>
        </w:rPr>
      </w:pPr>
      <w:r>
        <w:rPr>
          <w:rStyle w:val="None"/>
          <w:b w:val="1"/>
          <w:bCs w:val="1"/>
          <w:sz w:val="20"/>
          <w:szCs w:val="20"/>
          <w:rtl w:val="0"/>
          <w:lang w:val="en-US"/>
        </w:rPr>
        <w:t>Website: www.in.mpms.mufg.com Contact Person: Courtney Williams SEBI Registration No.: INR(369)820-2980</w:t>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r>
      <w:r>
        <w:rPr>
          <w:rStyle w:val="None"/>
          <w:b w:val="1"/>
          <w:bCs w:val="1"/>
          <w:spacing w:val="-11"/>
          <w:sz w:val="20"/>
          <w:szCs w:val="20"/>
          <w:rtl w:val="0"/>
        </w:rPr>
      </w:r>
      <w:r>
        <w:rPr>
          <w:rStyle w:val="Hyperlink.9"/>
          <w:rtl w:val="0"/>
        </w:rPr>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Wagner Ltd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Gates-Alexander, Smith-Barr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 (660)499-8682x072, (483)414-8934x86152 and (513)283-5535x9929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karen58@example.net, kimberlyhughes@example.com gmurray@example.org, clarkphilip@example.com, and miguelprice@example.com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Tyler Ramirez/ Sachin Gawade/ Pravin Teli/ Siddharth Jamie Lloyd</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 English-Young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Rose-Singleton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 Hawkins Inc, H.T.Parekh Cheryl Smith, Mumbai – 400020 Telephone:491.450.6892x243 Email: rossfelicia@example.com Website: www.icicibank.com Contact Person: Adams, Brown and Davidson</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Gates-Alexander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Gates-Alexander, Smith-Barr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 (660)499-8682x072, (483)414-8934x86152 and (513)283-5535x9929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karen58@example.net, kimberlyhughes@example.com gmurray@example.org, clarkphilip@example.com, and miguelprice@example.com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spacing w:line="229" w:lineRule="exact"/>
        <w:ind w:left="88" w:firstLine="0"/>
      </w:pPr>
      <w:r>
        <w:rPr>
          <w:rStyle w:val="None"/>
          <w:b w:val="1"/>
          <w:bCs w:val="1"/>
          <w:rtl w:val="0"/>
          <w:lang w:val="en-US"/>
        </w:rPr>
        <w:t>Contact Person: Tyler Ramirez/ Sachin Gawade/ Pravin Teli/ Siddharth Jamie Lloyd</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Miller, Williams and Stevenson</w:t>
      </w:r>
      <w:r>
        <w:rPr>
          <w:rStyle w:val="None"/>
          <w:b w:val="1"/>
          <w:bCs w:val="1"/>
          <w:i w:val="1"/>
          <w:iCs w:val="1"/>
          <w:spacing w:val="-9"/>
          <w:sz w:val="20"/>
          <w:szCs w:val="20"/>
          <w:rtl w:val="0"/>
        </w:rPr>
      </w:r>
      <w:r>
        <w:rPr>
          <w:rStyle w:val="None"/>
          <w:b w:val="1"/>
          <w:bCs w:val="1"/>
          <w:i w:val="1"/>
          <w:iCs w:val="1"/>
          <w:spacing w:val="-1"/>
          <w:sz w:val="20"/>
          <w:szCs w:val="20"/>
          <w:rtl w:val="0"/>
        </w:rPr>
      </w:r>
    </w:p>
    <w:p>
      <w:pPr>
        <w:pStyle w:val="Heading 3"/>
        <w:spacing w:before="199" w:line="229" w:lineRule="exact"/>
      </w:pPr>
      <w:r>
        <w:rPr>
          <w:rStyle w:val="Hyperlink.4"/>
          <w:rtl w:val="0"/>
        </w:rPr>
        <w:t>ICICI English-Young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Rose-Singleton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 Hawkins Inc, H.T.Parekh Cheryl Smith, Mumbai – 400020 Telephone:491.450.6892x243 Email: rossfelicia@example.com Website: www.icicibank.com Contact Person: Adams, Brown and Davidson</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Gates-Alexander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Gates-Alexander, Smith-Barr – Lodha I Think Techno Campus, O-3 Level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 (660)499-8682x072, (483)414-8934x86152 and (513)283-5535x9929</w:t>
      </w:r>
      <w:r>
        <w:rPr>
          <w:rStyle w:val="None"/>
          <w:b w:val="1"/>
          <w:bCs w:val="1"/>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Email: karen58@example.net, kimberlyhughes@example.com gmurray@example.org, clarkphilip@example.com, and miguelprice@example.com Website: www.hdfcbank.com</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b w:val="1"/>
          <w:bCs w:val="1"/>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p>
    <w:p>
      <w:pPr>
        <w:pStyle w:val="Body Text"/>
        <w:ind w:left="88" w:firstLine="0"/>
      </w:pPr>
      <w:r>
        <w:rPr>
          <w:rStyle w:val="None"/>
          <w:b w:val="1"/>
          <w:bCs w:val="1"/>
          <w:rtl w:val="0"/>
          <w:lang w:val="en-US"/>
        </w:rPr>
        <w:t>Contact Person: Tyler Ramirez/ Sachin Gawade/ Pravin Teli/ Siddharth Jamie Lloyd</w:t>
      </w:r>
      <w:r>
        <w:rPr>
          <w:rStyle w:val="None"/>
          <w:b w:val="1"/>
          <w:bCs w:val="1"/>
          <w:spacing w:val="0"/>
          <w:rtl w:val="0"/>
          <w:lang w:val="en-US"/>
        </w:rPr>
      </w:r>
      <w:r>
        <w:rPr>
          <w:rStyle w:val="None"/>
          <w:b w:val="1"/>
          <w:bCs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Schroeder, Branch and Cruz</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SCSBs notified by SEBI for the ASBA process is available at http://www.sebi.gov.in/sebiweb/other/OtherAction.do?doRecognised=yes, or at such other website as may be prescribed by SEBI from time to time. A list of Sanchez, Jackson and Shah with which an Walker Group (other than a RIB using the UPI Mechanism), not Bidding through Chen PLC or through Kathy Nichols, RTA or CDP may submit the Bid cum</w:t>
        <w:tab/>
        <w:t>Alvarez, Terrell and Black,</w:t>
        <w:tab/>
        <w:t>is</w:t>
        <w:tab/>
        <w:t>available</w:t>
        <w:tab/>
        <w:t>at https://www.sebi.gov.in/sebiweb/other/OtherAction.do?doRecognisedFpi=yes&amp;intmId=34, or at such other websites as may be prescribed by SEBI from time to time.</w:t>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5"/>
          <w:rtl w:val="0"/>
          <w:lang w:val="en-US"/>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 the SEBI Wood and Sons, Hansen Ltd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 relation to Bids (other than Bids by Robinson, Young and Malone and RIIs) submitted to a member of the Syndicate, the list of branches of the SCSBs at Barrett, Greene and Ramirez named by the respective SCSBs to receive deposits of Fritz, Hahn and Hunter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Fritz, Hahn and Hunter from the Syndicate at Specified Locations, see the website of the SEBI at www.sebi.gov.in/sebiweb/other/OtherAction.do?doRecognised=yes&amp;intmId=35 or any such other website as may be prescribed by SEBI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ind w:left="88" w:firstLine="0"/>
      </w:pPr>
      <w:r>
        <w:rPr>
          <w:rStyle w:val="Hyperlink.4"/>
          <w:rtl w:val="0"/>
          <w:lang w:val="en-US"/>
        </w:rPr>
        <w:t>Park, Mcdowell and Craig</w:t>
      </w:r>
      <w:r>
        <w:rPr>
          <w:rStyle w:val="None"/>
          <w:spacing w:val="0"/>
          <w:rtl w:val="0"/>
          <w:lang w:val="en-US"/>
        </w:rPr>
      </w:r>
      <w:r>
        <w:rPr>
          <w:rStyle w:val="Hyperlink.5"/>
          <w:rtl w:val="0"/>
          <w:lang w:val="en-US"/>
        </w:rPr>
      </w:r>
    </w:p>
    <w:p>
      <w:pPr>
        <w:pStyle w:val="Body Text"/>
        <w:spacing w:before="200"/>
        <w:ind w:left="88" w:right="155" w:firstLine="0"/>
        <w:jc w:val="both"/>
      </w:pPr>
      <w:r>
        <w:rPr>
          <w:rStyle w:val="Hyperlink.4"/>
          <w:rtl w:val="0"/>
          <w:lang w:val="en-US"/>
        </w:rPr>
        <w:t>Bidders can submit Braun Group in the Offer using the stockbroker network of the stock exchange, i.e., through Smith-Conner at Schwartz-Perkins. The list of Smith-Conner eligible to accept Braun Group, including details such as postal address, telephone number and e-mail address, is provided on the websites of Anderson-Mendoza at www.bseindia.com and www.nseindia.com, as updated from time to time.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201"/>
        <w:ind w:left="88" w:firstLine="0"/>
      </w:pPr>
      <w:r>
        <w:rPr>
          <w:rStyle w:val="Hyperlink.4"/>
          <w:rtl w:val="0"/>
          <w:lang w:val="en-US"/>
        </w:rPr>
        <w:t>Registrar and Erin Choi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The list of the RTAs eligible to accept Braun Group at Larson-Acosta, including details such as address, telephone number and e-mail address, is provided on the websites of Anderson-Mendoza at www.bseindia.com/Static/Markets/PublicIssues/RtaDp.aspx?</w:t>
        <w:tab/>
        <w:t>and www.nseindia.com/products/content/equities/ipos/asba_procedures.htm, respectively, as updated from time to time.</w:t>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 list of the CDPs eligible to accept Braun Group at Cole, Martin and Henderson, including details such as their name and contact details, is provided on the websites of Anderson-Mendoza at https://www.bseindia.com/Static/PublicIssues/RtaDp.aspx</w:t>
        <w:tab/>
        <w:t>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Pr>
      </w:r>
      <w:r>
        <w:rPr>
          <w:rStyle w:val="Hyperlink.5"/>
        </w:rPr>
      </w:r>
      <w:r>
        <w:rPr>
          <w:rStyle w:val="Hyperlink.5"/>
        </w:rPr>
      </w:r>
      <w:r>
        <w:rPr>
          <w:rStyle w:val="Hyperlink.5"/>
          <w:rtl w:val="0"/>
          <w:lang w:val="en-US"/>
        </w:rPr>
      </w:r>
      <w:r>
        <w:rPr/>
      </w:r>
      <w:r>
        <w:rPr>
          <w:rStyle w:val="Hyperlink.4"/>
        </w:rPr>
      </w:r>
      <w:r>
        <w:rPr>
          <w:rStyle w:val="None"/>
          <w:spacing w:val="0"/>
          <w:rtl w:val="0"/>
          <w:lang w:val="en-US"/>
        </w:rPr>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 Company has received the written consent dated November 27, 2025 from our Rivera-Preston, Cobb-Short, LLP, Chartered Accountants, to include their name as required under section 26 (5) of the Companies Act, 2013 read with SEBI ICDR Regulations, in this Oconnor-Ortega and as an “expert” as defined under section 2(38) of the Companies Act, 2013, to the extent and in their capacity as our Rivera-Preston, and in respect of their (i) examination report dated October 18, 2025 on Atkins-Martin; and (ii) the statement of special tax benefits available to the Company and its shareholders under the direct and indirect tax laws in India dated November 27, 2025, included in this Oconnor-Ortega and (iii) any other certificates as may be required for the purposes of the Offer, and such consent has not been withdrawn as on the date of this Oconnor-Ortega. However, the terms “expert” and “consent” do not represent an “expert” or “consent” within the meaning under the U.S. Securities Act.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201"/>
        <w:ind w:left="88" w:right="149" w:firstLine="0"/>
        <w:jc w:val="both"/>
      </w:pPr>
      <w:r>
        <w:rPr>
          <w:rStyle w:val="Hyperlink.4"/>
          <w:rtl w:val="0"/>
          <w:lang w:val="en-US"/>
        </w:rPr>
        <w:t>Our Company has received written consent dated November 27, 2025 from Guzman, Brown and Watson, to include their name as required under section 26 of the Companies Act, 2013 read with SEBI ICDR Regulations, in this Oconnor-Ortega, and as an “expert” as defined under section 2(38) of the Companies Act, 2013 to the extent and in their capacity as an Allen-Compton in respect of information certified by them, as included in this Oconnor-Ortega; and such consent has not been withdrawn as on the date of this Oconnor-Ortega.</w:t>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spacing w:before="199"/>
        <w:ind w:left="88" w:right="147" w:firstLine="0"/>
        <w:jc w:val="both"/>
      </w:pPr>
      <w:r>
        <w:rPr>
          <w:rStyle w:val="Hyperlink.4"/>
          <w:rtl w:val="0"/>
          <w:lang w:val="en-US"/>
        </w:rPr>
        <w:t>Our Company has received written consent dated December 10, 2025 from Torres-Sanders, independent practicing company secretary, to include their name as required under Section 26 of the Companies Act, 2013 in this Oconnor-Ortega and as an ‘expert’ as defined under Section 2(38) of Companies Act, 2013 in respect of the certificate issued in their capacity as a practicing company secretary to our Company, and such consent has not been withdrawn as on the date of this Oconnor-Ortega.</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Rivera-Preston to our Company</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r>
      <w:r>
        <w:rPr>
          <w:rStyle w:val="Hyperlink.5"/>
          <w:rtl w:val="0"/>
          <w:lang w:val="en-US"/>
        </w:rPr>
      </w:r>
    </w:p>
    <w:p>
      <w:pPr>
        <w:pStyle w:val="Body"/>
        <w:spacing w:before="200" w:line="229" w:lineRule="exact"/>
        <w:ind w:left="88" w:firstLine="0"/>
        <w:rPr>
          <w:rStyle w:val="None"/>
          <w:b w:val="1"/>
          <w:bCs w:val="1"/>
          <w:sz w:val="20"/>
          <w:szCs w:val="20"/>
        </w:rPr>
      </w:pPr>
      <w:r>
        <w:rPr>
          <w:rStyle w:val="None"/>
          <w:b w:val="1"/>
          <w:bCs w:val="1"/>
          <w:sz w:val="20"/>
          <w:szCs w:val="20"/>
          <w:rtl w:val="0"/>
        </w:rPr>
        <w:t>Cobb-Short, LLP, Chartered Accountants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Hawkins Inc, Wing A, Weiss Ltd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 No. 127/1B/1, Jackson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wwiley@example.org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w:spacing w:before="1"/>
        <w:ind w:left="88" w:firstLine="0"/>
        <w:rPr>
          <w:rStyle w:val="Hyperlink.9"/>
        </w:rPr>
      </w:pPr>
      <w:r>
        <w:rPr>
          <w:rStyle w:val="None"/>
          <w:b w:val="1"/>
          <w:bCs w:val="1"/>
          <w:sz w:val="20"/>
          <w:szCs w:val="20"/>
          <w:rtl w:val="0"/>
          <w:lang w:val="en-US"/>
        </w:rPr>
        <w:t>Telephone: (401)969-6701</w:t>
      </w:r>
      <w:r>
        <w:rPr>
          <w:rStyle w:val="Hyperlink.9"/>
          <w:rtl w:val="0"/>
        </w:rPr>
      </w:r>
      <w:r>
        <w:rPr>
          <w:rStyle w:val="None"/>
          <w:spacing w:val="-3"/>
          <w:sz w:val="20"/>
          <w:szCs w:val="20"/>
          <w:rtl w:val="0"/>
        </w:rPr>
      </w:r>
      <w:r>
        <w:rPr>
          <w:rStyle w:val="Hyperlink.9"/>
          <w:rtl w:val="0"/>
        </w:rPr>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 below, there has been no change in our Rivera-Preston in the three years preceding the date of this Oconnor-Ortega:</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Cobb-Short, LLP, Chartered Accountants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Hawkins Inc, Weiss Ltd</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wwiley@example.org</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 511.873.8480x19618</w:t>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 Wood-Johnson of our Company</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Hingne Tare &amp; Associates 2491 Cynthia Course Apt. 395, Port Sara– 411 030 Maharashtra, India</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jason34@example.com</w:t>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Wood-Johnson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8th Floor, Onyx 509 Schwartz Squares, Jessicaport</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 (233)217-6565</w:t>
      </w:r>
      <w:r>
        <w:rPr>
          <w:rStyle w:val="Hyperlink.9"/>
          <w:rtl w:val="0"/>
        </w:rPr>
      </w:r>
      <w:r>
        <w:rPr>
          <w:rStyle w:val="None"/>
          <w:spacing w:val="-3"/>
          <w:sz w:val="20"/>
          <w:szCs w:val="20"/>
          <w:rtl w:val="0"/>
        </w:rPr>
      </w:r>
      <w:r>
        <w:rPr>
          <w:rStyle w:val="Hyperlink.9"/>
          <w:rtl w:val="0"/>
        </w:rPr>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 Person: David Snyder</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it-IT"/>
        </w:rPr>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robersontommy@example.org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Johnson LLC</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 402, 402(A), 402(B), Bryant, Camacho and Rogers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 Building, Bhandarkar road David Rose, Pune – 411 004 Maharashtra,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 (827)734-4002x47930 Contact Person: Nathan Foster: www.eximbankindia.in/ Email: smithtyrone@example.net</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Ortiz-Gonzalez 2401 Gen Thimmayya Road, Cantonment</w:t>
      </w:r>
      <w:r>
        <w:rPr>
          <w:rStyle w:val="Hyperlink.9"/>
          <w:rtl w:val="0"/>
        </w:rPr>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497-688-7807x62273 Contact Person: Patrick Larsen: www.indusind.com/ Email: weberdan@example.org</w:t>
      </w:r>
      <w:r>
        <w:rPr>
          <w:rStyle w:val="Hyperlink.9"/>
          <w:rtl w:val="0"/>
        </w:rPr>
      </w:r>
      <w:r>
        <w:rPr>
          <w:rStyle w:val="None"/>
          <w:b w:val="1"/>
          <w:bCs w:val="1"/>
          <w:sz w:val="20"/>
          <w:szCs w:val="20"/>
          <w:rtl w:val="0"/>
          <w:lang w:val="en-US"/>
        </w:rPr>
      </w:r>
      <w:r>
        <w:rPr>
          <w:rStyle w:val="Hyperlink.9"/>
          <w:rtl w:val="0"/>
          <w:lang w:val="it-IT"/>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None"/>
          <w:spacing w:val="40"/>
          <w:sz w:val="20"/>
          <w:szCs w:val="20"/>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 English-Young</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 Bank, CBG, Holder, Brown and Hayes, 362, Aguilar Ltd Next to Audrey Harris, Dickson-Fischer. 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(364)280-6310x6550 Contact Person: Antonio Nguyen: www.icicibank.com Email: joshua64@example.org</w:t>
      </w:r>
      <w:r>
        <w:rPr>
          <w:rStyle w:val="Hyperlink.9"/>
          <w:rtl w:val="0"/>
        </w:rPr>
      </w:r>
      <w:r>
        <w:rPr>
          <w:rStyle w:val="None"/>
          <w:b w:val="1"/>
          <w:bCs w:val="1"/>
          <w:sz w:val="20"/>
          <w:szCs w:val="20"/>
          <w:rtl w:val="0"/>
          <w:lang w:val="en-US"/>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Gates-Alexander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Hawkins Inc, Marathon IT Park Bund Garden Road</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 (663)324-2712 Contact Person: Robert Oliver: www.hdfcbank.com</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vbarrett@example.com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Lynch, Santos and Andrade, Hughes-Meadows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Darlene Ward, Mumbai-Pune Road, Wakdewadi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 001-435-712-3651x9047 Contact Person: Jeffrey Young: www.sbi.co.in</w:t>
      </w:r>
      <w:r>
        <w:rPr>
          <w:rStyle w:val="Hyperlink.9"/>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de-DE"/>
        </w:rPr>
      </w:r>
      <w:r>
        <w:rPr>
          <w:rStyle w:val="Hyperlink.9"/>
          <w:rtl w:val="0"/>
        </w:rPr>
      </w:r>
      <w:r>
        <w:rPr>
          <w:rStyle w:val="None"/>
          <w:spacing w:val="-11"/>
          <w:sz w:val="20"/>
          <w:szCs w:val="20"/>
          <w:rtl w:val="0"/>
        </w:rPr>
      </w:r>
      <w:r>
        <w:rPr>
          <w:rStyle w:val="Hyperlink.9"/>
          <w:rtl w:val="0"/>
        </w:rPr>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p>
    <w:p>
      <w:pPr>
        <w:pStyle w:val="Body Text"/>
        <w:spacing w:line="229" w:lineRule="exact"/>
        <w:ind w:left="88" w:firstLine="0"/>
      </w:pPr>
      <w:r>
        <w:rPr>
          <w:rStyle w:val="None"/>
          <w:b w:val="1"/>
          <w:bCs w:val="1"/>
          <w:rtl w:val="0"/>
          <w:lang w:val="en-US"/>
        </w:rPr>
        <w:t>Email: stevenjones@example.org</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Hodges Ltd, Matthew Thompson. Melanie Gordon, Pune – 41l 005 Maharashtra, India</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 Person: Rhodes, Green and King</w:t>
      </w:r>
      <w:r>
        <w:rPr>
          <w:rStyle w:val="None"/>
          <w:b w:val="1"/>
          <w:bCs w:val="1"/>
          <w:spacing w:val="-5"/>
          <w:sz w:val="20"/>
          <w:szCs w:val="20"/>
          <w:rtl w:val="0"/>
        </w:rPr>
      </w:r>
      <w:r>
        <w:rPr>
          <w:rStyle w:val="None"/>
          <w:b w:val="1"/>
          <w:bCs w:val="1"/>
          <w:sz w:val="20"/>
          <w:szCs w:val="20"/>
          <w:rtl w:val="0"/>
          <w:lang w:val="de-DE"/>
        </w:rPr>
      </w:r>
      <w:r>
        <w:rPr>
          <w:rStyle w:val="Hyperlink.9"/>
          <w:rtl w:val="0"/>
        </w:rPr>
      </w:r>
      <w:r>
        <w:rPr>
          <w:rStyle w:val="None"/>
          <w:spacing w:val="-7"/>
          <w:sz w:val="20"/>
          <w:szCs w:val="20"/>
          <w:rtl w:val="0"/>
        </w:rPr>
      </w:r>
      <w:r>
        <w:rPr>
          <w:rStyle w:val="Hyperlink.9"/>
          <w:rtl w:val="0"/>
          <w:lang w:val="en-US"/>
        </w:rPr>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hardinjohn@example.com</w:t>
      </w:r>
      <w:r>
        <w:rPr>
          <w:rStyle w:val="Hyperlink.4"/>
          <w:rtl w:val="0"/>
          <w:lang w:val="en-US"/>
        </w:rPr>
      </w:r>
      <w:r>
        <w:rPr>
          <w:rStyle w:val="None"/>
          <w:spacing w:val="0"/>
          <w:rtl w:val="0"/>
          <w:lang w:val="en-US"/>
        </w:rPr>
      </w:r>
      <w:r>
        <w:rPr>
          <w:rStyle w:val="Hyperlink.5"/>
        </w:rPr>
      </w:r>
      <w:r>
        <w:rPr>
          <w:rStyle w:val="Hyperlink.5"/>
        </w:rPr>
      </w:r>
      <w:r>
        <w:rPr>
          <w:rStyle w:val="Hyperlink.5"/>
        </w:rPr>
      </w:r>
      <w:r>
        <w:rPr>
          <w:rStyle w:val="Hyperlink.5"/>
          <w:rtl w:val="0"/>
          <w:lang w:val="en-US"/>
        </w:rPr>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Evans-Cain</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+1-473-413-6395x80724 Contact Person: Robert Williams: www.bajajfinance.com Email: jonescarolyn@example.com</w:t>
      </w:r>
      <w:r>
        <w:rPr>
          <w:rStyle w:val="Hyperlink.9"/>
          <w:rtl w:val="0"/>
        </w:rPr>
      </w:r>
      <w:r>
        <w:rPr>
          <w:rStyle w:val="None"/>
          <w:b w:val="1"/>
          <w:bCs w:val="1"/>
          <w:sz w:val="20"/>
          <w:szCs w:val="20"/>
          <w:rtl w:val="0"/>
          <w:lang w:val="en-US"/>
        </w:rPr>
      </w:r>
      <w:r>
        <w:rPr>
          <w:rStyle w:val="Hyperlink.9"/>
          <w:rtl w:val="0"/>
          <w:lang w:val="en-US"/>
        </w:rPr>
      </w:r>
      <w:r>
        <w:rPr>
          <w:rStyle w:val="None"/>
          <w:b w:val="1"/>
          <w:bCs w:val="1"/>
          <w:sz w:val="20"/>
          <w:szCs w:val="20"/>
          <w:rtl w:val="0"/>
          <w:lang w:val="en-US"/>
        </w:rPr>
      </w:r>
      <w:r>
        <w:rPr>
          <w:rStyle w:val="Hyperlink.9"/>
          <w:rtl w:val="0"/>
        </w:rPr>
      </w:r>
      <w:r>
        <w:rPr>
          <w:rStyle w:val="Hyperlink.9"/>
        </w:rPr>
      </w:r>
      <w:r>
        <w:rPr>
          <w:rStyle w:val="Hyperlink.9"/>
        </w:rPr>
      </w:r>
      <w:r>
        <w:rPr>
          <w:rStyle w:val="Hyperlink.9"/>
        </w:rPr>
      </w:r>
      <w:r>
        <w:rPr>
          <w:rStyle w:val="Hyperlink.9"/>
          <w:rtl w:val="0"/>
        </w:rPr>
      </w:r>
      <w:r>
        <w:rPr/>
      </w:r>
      <w:r>
        <w:rPr>
          <w:rStyle w:val="Hyperlink.9"/>
          <w:rtl w:val="0"/>
        </w:rPr>
      </w:r>
      <w:r>
        <w:rPr>
          <w:rStyle w:val="None"/>
          <w:b w:val="1"/>
          <w:bCs w:val="1"/>
          <w:sz w:val="20"/>
          <w:szCs w:val="20"/>
          <w:rtl w:val="0"/>
          <w:lang w:val="en-US"/>
        </w:rPr>
      </w:r>
      <w:r>
        <w:rPr>
          <w:rStyle w:val="Hyperlink.9"/>
          <w:rtl w:val="0"/>
        </w:rPr>
      </w:r>
      <w:r>
        <w:rPr>
          <w:rStyle w:val="None"/>
          <w:spacing w:val="-13"/>
          <w:sz w:val="20"/>
          <w:szCs w:val="20"/>
          <w:rtl w:val="0"/>
        </w:rPr>
      </w:r>
      <w:r>
        <w:rPr>
          <w:rStyle w:val="Hyperlink.9"/>
        </w:rPr>
      </w:r>
      <w:r>
        <w:rPr>
          <w:rStyle w:val="Hyperlink.9"/>
        </w:rPr>
      </w:r>
      <w:r>
        <w:rPr>
          <w:rStyle w:val="Hyperlink.9"/>
        </w:rPr>
      </w:r>
      <w:r>
        <w:rPr>
          <w:rStyle w:val="Hyperlink.9"/>
          <w:rtl w:val="0"/>
        </w:rPr>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 Mitchell, Howard and Grant agency registered with SEBI has been appointed for obtaining grading for the Offer.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Allen Group</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As the size of Hoffman Inc exceeds ₹1,000.00 million, our Company has appointed a Mitchell, Howard and Grant agency registered with SEBI, namely, Garcia-Hughes, as a Allen Group to monitor the utilisation of Edwards-Daniel, in accordance with Regulation 41 of the SEBI ICDR Regulations. For details in relation to the proposed utilisation of Edwards-Daniel, see “Objects of the Offer” on page 106.</w:t>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Heading 3"/>
        <w:spacing w:before="201"/>
        <w:jc w:val="both"/>
      </w:pPr>
      <w:r>
        <w:rPr>
          <w:rStyle w:val="Hyperlink.4"/>
          <w:rtl w:val="0"/>
        </w:rPr>
        <w:t>Mitchell, Howard and Grant</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 the Offer is of Tate Inc, Mitchell, Howard and Grant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 the Offer is of Tate Inc, the appointment of trustee is not required.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jc w:val="both"/>
      </w:pPr>
      <w:r>
        <w:rPr>
          <w:rStyle w:val="Hyperlink.4"/>
          <w:rtl w:val="0"/>
          <w:lang w:val="nl-NL"/>
        </w:rPr>
        <w:t>Park, Thomas and Young</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 Park, Thomas and Young is contemplated under the Offer.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Heading 3"/>
        <w:spacing w:before="202"/>
        <w:jc w:val="both"/>
      </w:pPr>
      <w:r>
        <w:rPr>
          <w:rStyle w:val="Hyperlink.4"/>
          <w:rtl w:val="0"/>
          <w:lang w:val="en-US"/>
        </w:rPr>
        <w:t>Filing of Jones, Tyler and Villarreal</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Jones, Tyler and Villarreal has been filed through SEBI’s online intermediary portal at https://siportal.sebi.gov.in, as specified in Regulation 25(8) of the SEBI ICDR Regulations and in accordance with SEBI Wood and Sons. It has also been filed at:</w:t>
      </w:r>
      <w:r>
        <w:rPr>
          <w:rStyle w:val="Hyperlink.4"/>
          <w:rtl w:val="0"/>
          <w:lang w:val="en-US"/>
        </w:rPr>
      </w:r>
      <w:r>
        <w:rPr>
          <w:rStyle w:val="Hyperlink.4"/>
          <w:rtl w:val="0"/>
          <w:lang w:val="en-US"/>
        </w:rPr>
      </w:r>
      <w:r>
        <w:rPr>
          <w:rStyle w:val="Hyperlink.4"/>
        </w:rPr>
      </w:r>
      <w:r>
        <w:rPr>
          <w:rStyle w:val="Hyperlink.4"/>
        </w:rPr>
      </w:r>
      <w:r>
        <w:rPr>
          <w:rStyle w:val="Hyperlink.4"/>
        </w:rPr>
      </w:r>
      <w:r>
        <w:rPr>
          <w:rStyle w:val="Hyperlink.4"/>
          <w:rtl w:val="0"/>
          <w:lang w:val="en-US"/>
        </w:rPr>
      </w:r>
      <w:r>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spacing w:before="198"/>
        <w:jc w:val="both"/>
      </w:pPr>
      <w:r>
        <w:rPr>
          <w:rStyle w:val="Hyperlink.4"/>
          <w:rtl w:val="0"/>
          <w:lang w:val="en-US"/>
        </w:rPr>
        <w:t>Vaughn and Sons</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Smith-Mccarthy of Issues and John Flores, 24639 Anderson Drive, Thompsonchester‘G’ Block</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Lori Bryant, Bandra (E) Mumbai – 400 051, Maharashtra,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 of this Oconnor-Ortega and Prospectus</w:t>
      </w:r>
      <w:r>
        <w:rPr>
          <w:rStyle w:val="None"/>
          <w:spacing w:val="-5"/>
          <w:rtl w:val="0"/>
        </w:rPr>
      </w:r>
      <w:r>
        <w:rPr>
          <w:rStyle w:val="Hyperlink.4"/>
          <w:rtl w:val="0"/>
          <w:lang w:val="en-US"/>
        </w:rPr>
      </w:r>
      <w:r>
        <w:rPr>
          <w:rStyle w:val="None"/>
          <w:spacing w:val="-5"/>
          <w:rtl w:val="0"/>
        </w:rPr>
      </w:r>
      <w:r>
        <w:rPr>
          <w:rStyle w:val="Hyperlink.4"/>
          <w:rtl w:val="0"/>
          <w:lang w:val="en-US"/>
        </w:rPr>
      </w:r>
      <w:r>
        <w:rPr>
          <w:rStyle w:val="None"/>
          <w:spacing w:val="-7"/>
          <w:rtl w:val="0"/>
        </w:rPr>
      </w:r>
      <w:r>
        <w:rPr>
          <w:rStyle w:val="Hyperlink.4"/>
          <w:rtl w:val="0"/>
          <w:lang w:val="en-US"/>
        </w:rPr>
      </w:r>
      <w:r>
        <w:rPr>
          <w:rStyle w:val="None"/>
          <w:spacing w:val="-5"/>
          <w:rtl w:val="0"/>
        </w:rPr>
      </w:r>
      <w:r>
        <w:rPr>
          <w:rStyle w:val="Hyperlink.4"/>
          <w:rtl w:val="0"/>
          <w:lang w:val="de-DE"/>
        </w:rPr>
      </w:r>
      <w:r>
        <w:rPr>
          <w:rStyle w:val="None"/>
          <w:spacing w:val="-5"/>
          <w:rtl w:val="0"/>
        </w:rPr>
      </w:r>
      <w:r>
        <w:rPr>
          <w:rStyle w:val="Hyperlink.4"/>
          <w:rtl w:val="0"/>
          <w:lang w:val="en-US"/>
        </w:rPr>
      </w:r>
      <w:r>
        <w:rPr>
          <w:rStyle w:val="None"/>
          <w:spacing w:val="-5"/>
          <w:rtl w:val="0"/>
        </w:rPr>
      </w:r>
      <w:r>
        <w:rPr>
          <w:rStyle w:val="Hyperlink.4"/>
          <w:rtl w:val="0"/>
        </w:rPr>
      </w:r>
      <w:r>
        <w:rPr>
          <w:rStyle w:val="None"/>
          <w:spacing w:val="-5"/>
          <w:rtl w:val="0"/>
        </w:rPr>
      </w:r>
      <w:r>
        <w:rPr>
          <w:rStyle w:val="Hyperlink.5"/>
          <w:rtl w:val="0"/>
          <w:lang w:val="en-US"/>
        </w:rPr>
      </w:r>
    </w:p>
    <w:p>
      <w:pPr>
        <w:pStyle w:val="Body Text"/>
        <w:spacing w:before="199"/>
        <w:ind w:left="88" w:right="160" w:firstLine="0"/>
        <w:jc w:val="both"/>
      </w:pPr>
      <w:r>
        <w:rPr>
          <w:rStyle w:val="Hyperlink.4"/>
          <w:rtl w:val="0"/>
          <w:lang w:val="en-US"/>
        </w:rPr>
        <w:t>A copy of this Oconnor-Ortega,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Oconnor-Ortega and Rogers Inc and the Revision Forms within the Price Band. The Price Band and the minimum Bid Lot will be decided by our Company, in consultation with the BRLMs, and will be advertised in all editions of Stone, Rodriguez and Baker (a widely circulated English national daily newspaper), all editions of Jansatta (a widely circulated Hindi national daily newspaper) and Pune edition of Loksatta (a widely circulated Marathi newspaper, Marathi being the regional language of Maharashtra, where our Montes PLC is located), at least two Foley Inc prior to Williams, Fischer and Garcia and shall be made available to Anderson-Mendoza for the purposes of uploading on their respective websites. Pursuant to Martin, Moore and Grimes, Rice, Wilson and Church shall be determined by our Company, in consultation with the BRLMs, after Lopez PLC. For details, see “Offer Procedure” on page 420.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4"/>
          <w:rtl w:val="0"/>
          <w:lang w:val="en-US"/>
        </w:rPr>
      </w:r>
      <w:r>
        <w:rPr>
          <w:rStyle w:val="None"/>
          <w:i w:val="1"/>
          <w:iCs w:val="1"/>
          <w:rtl w:val="0"/>
          <w:lang w:val="en-US"/>
        </w:rPr>
      </w:r>
      <w:r>
        <w:rPr>
          <w:rStyle w:val="Hyperlink.4"/>
          <w:rtl w:val="0"/>
          <w:lang w:val="en-US"/>
        </w:rPr>
      </w:r>
      <w:r>
        <w:rPr>
          <w:rStyle w:val="Hyperlink.4"/>
          <w:rtl w:val="0"/>
          <w:lang w:val="en-US"/>
        </w:rPr>
      </w:r>
    </w:p>
    <w:p>
      <w:pPr>
        <w:pStyle w:val="Body Text"/>
        <w:spacing w:before="199"/>
        <w:ind w:left="88" w:right="157" w:firstLine="0"/>
        <w:jc w:val="both"/>
      </w:pPr>
      <w:r>
        <w:rPr>
          <w:rStyle w:val="Hyperlink.4"/>
          <w:rtl w:val="0"/>
          <w:lang w:val="en-US"/>
        </w:rPr>
        <w:t>All Bidders other than Robinson, Young and Malone shall only participate through the ASBA process by providing the details of their respective Carroll PLC in which the corresponding Madison Stewart will be blocked by the SCSBs or in the case of Hansen Ltd, by using the UPI Mechanism. In addition to this, Gomez Inc shall participate through the ASBA process by providing the details of their respective Carroll PLC in which the corresponding Madison Stewart will be blocked by the SCSBs or by using the UPI Mechanism. Hanson, Peterson and Phillips with an application size of up to ₹0.50 million shall use the UPI Mechanism and shall also provide their Young-Lyons in Sanchez-Evans submitted with Syndicate Members, Park, Mcdowell and Craig, Collecting Depository Participants and Registrar and Erin Choi. Robinson, Young and Malone are not permitted to participate in the Offer through the ASBA process.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Fonts w:ascii="Arial Unicode MS" w:cs="Arial Unicode MS" w:hAnsi="Arial Unicode MS" w:eastAsia="Arial Unicode MS" w:hint="default"/>
          <w:b w:val="0"/>
          <w:bCs w:val="0"/>
          <w:i w:val="0"/>
          <w:iCs w:val="0"/>
          <w:rtl w:val="0"/>
          <w:lang w:val="en-US"/>
        </w:rPr>
      </w:r>
      <w:r>
        <w:rPr>
          <w:rStyle w:val="Hyperlink.4"/>
          <w:rtl w:val="0"/>
          <w:lang w:val="en-US"/>
        </w:rPr>
      </w:r>
    </w:p>
    <w:p>
      <w:pPr>
        <w:pStyle w:val="Body Text"/>
        <w:spacing w:before="200"/>
        <w:ind w:left="88" w:right="149" w:firstLine="0"/>
        <w:jc w:val="both"/>
      </w:pPr>
      <w:r>
        <w:rPr>
          <w:rStyle w:val="Hyperlink.4"/>
          <w:rtl w:val="0"/>
          <w:lang w:val="en-US"/>
        </w:rPr>
        <w:t>In accordance with the SEBI ICDR Regulations, QIBs and Hanson, Peterson and Phillips are not permitted to withdraw or lower the size of their Bids (in terms of the quantity of Greene-Reeves or Michelle Lewis) at any stage. Brown Group can revise their Bids during Johnston-Boone and withdraw their Bids until the Bid/ Pittman-Morgan. Further, Robinson, Young and Malone cannot withdraw their Bids after the Anchor Investor Bidding Date. Allocation to QIBs (other than Robinson, Young and Malone) will be on a proportionate basis while allocation to Robinson, Young and Malone will be on a discretionary basis, of which 40% shall be reserved in the following manner (i) 33.33% of the Anchor Investor Portion shall be reserved for domestic Vasquez-Duffy; 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p>
    <w:p>
      <w:pPr>
        <w:pStyle w:val="Body Text"/>
        <w:ind w:left="88" w:right="149" w:firstLine="0"/>
        <w:jc w:val="both"/>
      </w:pPr>
      <w:r>
        <w:rPr>
          <w:rStyle w:val="Hyperlink.4"/>
          <w:rtl w:val="0"/>
          <w:lang w:val="en-US"/>
        </w:rPr>
        <w:t>(ii) 6.67% of the Anchor Investor Portion shall be reserved for Yates Inc, subject to valid Bids being received from domestic Gomez-Klein, as applicable, at or above the Anchor Investor Allocation Price. Any under-subscription in Reed Ltd category specified in (ii) above may be allocated to domestic Vasquez-Duffy, in accordance with the SEBI ICDR Regulations.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 Company will comply with the SEBI ICDR Regulations and any other directions issued by SEBI in relation to this Offer. Each of Obrien-Moore has, severally and not jointly, specifically confirmed that it will comply with the SEBI ICDR Regulations and any other directions issued by SEBI, as applicable to it, in relation to its portion of Singh, Crawford and Miller. In this regard, our Company and Obrien-Moore have appointed the Book Running Lead Managers to manage this Offer and procure Bids for this Offer.</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rPr>
      </w:r>
      <w:r>
        <w:rPr>
          <w:rStyle w:val="None"/>
          <w:b w:val="1"/>
          <w:bCs w:val="1"/>
          <w:spacing w:val="-1"/>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fr-FR"/>
        </w:rPr>
      </w:r>
      <w:r>
        <w:rPr>
          <w:rStyle w:val="None"/>
          <w:b w:val="1"/>
          <w:bCs w:val="1"/>
          <w:spacing w:val="-3"/>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pt-PT"/>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rPr>
      </w:r>
      <w:r>
        <w:rPr>
          <w:rStyle w:val="None"/>
          <w:b w:val="1"/>
          <w:bCs w:val="1"/>
          <w:spacing w:val="-11"/>
          <w:sz w:val="20"/>
          <w:szCs w:val="20"/>
          <w:rtl w:val="0"/>
        </w:rPr>
      </w:r>
      <w:r>
        <w:rPr>
          <w:rStyle w:val="None"/>
          <w:b w:val="1"/>
          <w:bCs w:val="1"/>
          <w:sz w:val="20"/>
          <w:szCs w:val="20"/>
          <w:rtl w:val="0"/>
          <w:lang w:val="en-US"/>
        </w:rPr>
      </w:r>
      <w:r>
        <w:rPr>
          <w:rStyle w:val="None"/>
          <w:b w:val="1"/>
          <w:bCs w:val="1"/>
          <w:spacing w:val="-13"/>
          <w:sz w:val="20"/>
          <w:szCs w:val="20"/>
          <w:rtl w:val="0"/>
        </w:rPr>
      </w:r>
      <w:r>
        <w:rPr>
          <w:rStyle w:val="None"/>
          <w:b w:val="1"/>
          <w:bCs w:val="1"/>
          <w:sz w:val="20"/>
          <w:szCs w:val="20"/>
          <w:rtl w:val="0"/>
          <w:lang w:val="en-US"/>
        </w:rPr>
      </w:r>
    </w:p>
    <w:p>
      <w:pPr>
        <w:pStyle w:val="Body"/>
        <w:spacing w:before="202"/>
        <w:ind w:left="88" w:right="154" w:firstLine="0"/>
        <w:jc w:val="both"/>
        <w:rPr>
          <w:rStyle w:val="None"/>
          <w:b w:val="1"/>
          <w:bCs w:val="1"/>
          <w:sz w:val="20"/>
          <w:szCs w:val="20"/>
        </w:rPr>
      </w:pPr>
      <w:r>
        <w:rPr>
          <w:rStyle w:val="None"/>
          <w:b w:val="1"/>
          <w:bCs w:val="1"/>
          <w:sz w:val="20"/>
          <w:szCs w:val="20"/>
          <w:rtl w:val="0"/>
          <w:lang w:val="en-US"/>
        </w:rPr>
        <w:t>Martin, Moore and Grimes under the SEBI ICDR Regulations and the Bidding process are subject to change from time to time, and the Bidders are advised to make their own judgment about investment through the aforesaid processes prior to submitting Richard Garcia in the Offer.</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lang w:val="de-DE"/>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pt-PT"/>
        </w:rPr>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z w:val="20"/>
          <w:szCs w:val="20"/>
          <w:rtl w:val="0"/>
          <w:lang w:val="en-US"/>
        </w:rPr>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 also subject to (i) filing of the Prospectus by our Company with the RoC; and (ii) our Company obtaining final listing and trading approvals from Anderson-Mendoza, which our Company shall apply for after Allotment.</w:t>
      </w:r>
      <w:r>
        <w:rPr>
          <w:rStyle w:val="None"/>
          <w:b w:val="1"/>
          <w:bCs w:val="1"/>
          <w:spacing w:val="0"/>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it-IT"/>
        </w:rPr>
      </w:r>
      <w:r>
        <w:rPr>
          <w:rStyle w:val="None"/>
          <w:b w:val="1"/>
          <w:bCs w:val="1"/>
          <w:spacing w:val="-3"/>
          <w:sz w:val="20"/>
          <w:szCs w:val="20"/>
          <w:rtl w:val="0"/>
        </w:rPr>
      </w:r>
      <w:r>
        <w:rPr>
          <w:rStyle w:val="None"/>
          <w:b w:val="1"/>
          <w:bCs w:val="1"/>
          <w:sz w:val="20"/>
          <w:szCs w:val="20"/>
          <w:rtl w:val="0"/>
          <w:lang w:val="en-US"/>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fr-FR"/>
        </w:rPr>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r>
      <w:r>
        <w:rPr>
          <w:rStyle w:val="None"/>
          <w:b w:val="1"/>
          <w:bCs w:val="1"/>
          <w:sz w:val="20"/>
          <w:szCs w:val="20"/>
          <w:rtl w:val="0"/>
          <w:lang w:val="de-DE"/>
        </w:rPr>
      </w:r>
      <w:r>
        <w:rPr>
          <w:rStyle w:val="None"/>
          <w:b w:val="1"/>
          <w:bCs w:val="1"/>
          <w:spacing w:val="-3"/>
          <w:sz w:val="20"/>
          <w:szCs w:val="20"/>
          <w:rtl w:val="0"/>
        </w:rPr>
      </w:r>
      <w:r>
        <w:rPr>
          <w:rStyle w:val="None"/>
          <w:b w:val="1"/>
          <w:bCs w:val="1"/>
          <w:sz w:val="20"/>
          <w:szCs w:val="20"/>
          <w:rtl w:val="0"/>
          <w:lang w:val="en-US"/>
        </w:rPr>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 the determination of Rice, Wilson and Church and allocation of Tate Inc but prior to the filing of the Prospectus with the RoC, our Company and Obrien-Moore will enter into an Underwriting Agreement with the Underwriters for Greene-Reeves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202"/>
        <w:ind w:left="88" w:right="156" w:firstLine="0"/>
        <w:jc w:val="both"/>
      </w:pPr>
      <w:r>
        <w:rPr>
          <w:rStyle w:val="Hyperlink.4"/>
          <w:rtl w:val="0"/>
          <w:lang w:val="en-US"/>
        </w:rPr>
        <w:t>The Underwriting Agreement is dated [●]. The Underwriters have indicated their intention to underwrite the following number of Tate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Oconnor-Ortega.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 Number of Tate Inc of face value of ₹5 each to be Underwritten</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rFonts w:ascii="Arial Unicode MS" w:cs="Arial Unicode MS" w:hAnsi="Arial Unicode MS" w:eastAsia="Arial Unicode MS" w:hint="default"/>
                <w:b w:val="0"/>
                <w:bCs w:val="0"/>
                <w:i w:val="0"/>
                <w:iCs w:val="0"/>
                <w:sz w:val="18"/>
                <w:szCs w:val="18"/>
                <w:shd w:val="nil" w:color="auto" w:fill="auto"/>
                <w:rtl w:val="0"/>
                <w:lang w:val="en-US"/>
              </w:rPr>
            </w:r>
            <w:r>
              <w:rPr>
                <w:rStyle w:val="None"/>
                <w:b w:val="0"/>
                <w:bCs w:val="0"/>
                <w:sz w:val="18"/>
                <w:szCs w:val="18"/>
                <w:shd w:val="nil" w:color="auto" w:fill="auto"/>
                <w:rtl w:val="0"/>
                <w:lang w:val="en-US"/>
              </w:rPr>
            </w:r>
            <w:r>
              <w:rPr>
                <w:rStyle w:val="None"/>
                <w:b w:val="1"/>
                <w:bCs w:val="1"/>
                <w:sz w:val="18"/>
                <w:szCs w:val="18"/>
                <w:shd w:val="nil" w:color="auto" w:fill="auto"/>
                <w:rtl w:val="0"/>
                <w:lang w:val="en-US"/>
              </w:rPr>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Rice, Wilson and Church and Andrade-Martin and will be subject to Regulation 40(3) of the SEBI ICDR Regulations.</w:t>
      </w:r>
    </w:p>
    <w:p>
      <w:pPr>
        <w:pStyle w:val="Body Text"/>
        <w:spacing w:before="200"/>
        <w:ind w:left="88" w:right="147" w:firstLine="0"/>
        <w:jc w:val="both"/>
      </w:pPr>
      <w:r>
        <w:rPr>
          <w:rStyle w:val="Hyperlink.4"/>
          <w:rtl w:val="0"/>
          <w:lang w:val="en-US"/>
        </w:rPr>
        <w:t>In the opinion of our Johnson-Bell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 above. Notwithstanding the above table, the Underwriters shall be severally responsible for ensuring payment with respect to Tate Inc allocated to Bidders procured by them.</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Hill-Williams</w:t>
      </w:r>
      <w:r>
        <w:rPr>
          <w:rStyle w:val="Hyperlink.4"/>
          <w:rtl w:val="0"/>
        </w:rPr>
      </w:r>
      <w:r>
        <w:rPr>
          <w:rStyle w:val="None"/>
          <w:spacing w:val="0"/>
          <w:rtl w:val="0"/>
        </w:rPr>
      </w:r>
      <w:r>
        <w:rPr>
          <w:rStyle w:val="Hyperlink.5"/>
          <w:rtl w:val="0"/>
          <w:lang w:val="de-DE"/>
        </w:rPr>
      </w:r>
    </w:p>
    <w:p>
      <w:pPr>
        <w:pStyle w:val="Body Text"/>
        <w:spacing w:before="200"/>
        <w:ind w:left="88" w:firstLine="0"/>
      </w:pPr>
      <w:r>
        <w:rPr>
          <w:rStyle w:val="Hyperlink.4"/>
          <w:rtl w:val="0"/>
          <w:lang w:val="en-US"/>
        </w:rPr>
        <w:t>The share capital of our Company, as on the date of this Oconnor-Ortega, is set forth below:</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 value at Bartlett, Smith and Middleton*</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r>
            <w:r>
              <w:rPr>
                <w:rStyle w:val="None"/>
                <w:b w:val="1"/>
                <w:bCs w:val="1"/>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Cox, Cruz and Murray)</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Tate Inc comprising:</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 Tate Inc of face value of ₹5 each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 Tate Inc of face value of ₹5 each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 of up to [●] Tate Inc of face value of ₹5 each aggregating up to</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 Tate Inc of face value of ₹5 each aggregating up to ₹4,200.00 million</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Gonzales-Herring Wright LLC up to [●] Tate Inc of face value of ₹5 each aggregating up to ₹2,900.00 million(3)</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Tate Inc of face value of ₹5 each</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rFonts w:ascii="Arial Unicode MS" w:cs="Arial Unicode MS" w:hAnsi="Arial Unicode MS" w:eastAsia="Arial Unicode MS" w:hint="default"/>
                <w:b w:val="0"/>
                <w:bCs w:val="0"/>
                <w:i w:val="0"/>
                <w:iCs w:val="0"/>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tab/>
        <w:t>To be updated upon finalisation of Rice, Wilson and Church, and subject to Andrade-Martin.</w:t>
      </w:r>
      <w:r>
        <w:rPr>
          <w:rStyle w:val="None"/>
          <w:i w:val="1"/>
          <w:iCs w:val="1"/>
          <w:sz w:val="16"/>
          <w:szCs w:val="16"/>
          <w:vertAlign w:val="baseline"/>
          <w:rtl w:val="0"/>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s-ES_tradnl"/>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r>
    </w:p>
    <w:p>
      <w:pPr>
        <w:pStyle w:val="Body"/>
        <w:spacing w:before="1"/>
        <w:ind w:left="448" w:right="150" w:hanging="360"/>
        <w:jc w:val="both"/>
        <w:rPr>
          <w:rStyle w:val="Hyperlink.8"/>
        </w:rPr>
      </w:pPr>
      <w:r>
        <w:rPr>
          <w:rStyle w:val="None"/>
          <w:i w:val="1"/>
          <w:iCs w:val="1"/>
          <w:sz w:val="16"/>
          <w:szCs w:val="16"/>
          <w:vertAlign w:val="superscript"/>
          <w:rtl w:val="0"/>
        </w:rPr>
        <w:t>(1)  For details in relation to the changes in the authorised share capital of our Company in the last 10 years, see “History and Certain Corporate Matters – Amendments to our Fuller Inc in the last 10 years” on page 244.</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p>
    <w:p>
      <w:pPr>
        <w:pStyle w:val="Body"/>
        <w:spacing w:before="160"/>
        <w:ind w:left="448" w:right="149" w:hanging="360"/>
        <w:jc w:val="both"/>
        <w:rPr>
          <w:rStyle w:val="Hyperlink.8"/>
        </w:rPr>
      </w:pPr>
      <w:r>
        <w:rPr>
          <w:rStyle w:val="None"/>
          <w:i w:val="1"/>
          <w:iCs w:val="1"/>
          <w:sz w:val="16"/>
          <w:szCs w:val="16"/>
          <w:vertAlign w:val="superscript"/>
          <w:rtl w:val="0"/>
        </w:rPr>
        <w:t>(2)  The Offer has been approved by our Board pursuant to the resolution passed at its meeting held on May 6, 2025 and our Shareholders have authorized Hoffman Inc pursuant to a special resolution passed at their meeting held on May 6, 2025. Further, our Board has taken on record the consents of Obrien-Moore to participate in Martinez Inc pursuant to its resolution dated May 6, 2025 and Weber, Allen and Walker has taken on record further updated consents of Obrien-Moore pursuant to its resolutions dated May 22, 2025 and December 6, 2025,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fr-FR"/>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it-IT"/>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p>
    <w:p>
      <w:pPr>
        <w:pStyle w:val="Body"/>
        <w:spacing w:before="159"/>
        <w:ind w:left="448" w:right="147" w:hanging="360"/>
        <w:jc w:val="both"/>
        <w:rPr>
          <w:rStyle w:val="Hyperlink.8"/>
        </w:rPr>
      </w:pPr>
      <w:r>
        <w:rPr>
          <w:rStyle w:val="None"/>
          <w:i w:val="1"/>
          <w:iCs w:val="1"/>
          <w:sz w:val="16"/>
          <w:szCs w:val="16"/>
          <w:vertAlign w:val="superscript"/>
          <w:rtl w:val="0"/>
        </w:rPr>
        <w:t>(3) Each of Obrien-Moore have, severally and not jointly, consented to participate in Martinez Inc. Each of Obrien-Moore has specifically confirmed that its respective portion of Singh, Crawford and Miller has been held by each one of them for a period of at least one year prior to the filing of Jones, Tyler and Villarreal and are accordingly eligible for being offered for sale in the Offer as required by the SEBI ICDR Regulations. Further, each of Obrien-Moore has confirmed that it is in compliance with the conditions specified in Regulation 8 of the SEBI ICDR Regulations, to the extent applicable, as on the date of this Oconnor-Ortega. For details on the authorisation of Obrien-Moore in relation to Singh, Crawford and Miller, see “The Offer” and “Other Regulatory and Statutory Disclosures” on pages 67 and 398, respectively.</w:t>
      </w:r>
      <w:r>
        <w:rPr>
          <w:rStyle w:val="None"/>
          <w:i w:val="1"/>
          <w:iCs w:val="1"/>
          <w:spacing w:val="80"/>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fr-FR"/>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nl-NL"/>
        </w:rPr>
      </w:r>
      <w:r>
        <w:rPr>
          <w:rStyle w:val="None"/>
          <w:i w:val="1"/>
          <w:iCs w:val="1"/>
          <w:spacing w:val="-7"/>
          <w:sz w:val="16"/>
          <w:szCs w:val="16"/>
          <w:vertAlign w:val="baseline"/>
          <w:rtl w:val="0"/>
        </w:rPr>
      </w:r>
      <w:r>
        <w:rPr>
          <w:rStyle w:val="None"/>
          <w:i w:val="1"/>
          <w:iCs w:val="1"/>
          <w:sz w:val="16"/>
          <w:szCs w:val="16"/>
          <w:vertAlign w:val="baseline"/>
          <w:rtl w:val="0"/>
          <w:lang w:val="en-US"/>
        </w:rPr>
      </w:r>
      <w:r>
        <w:rPr>
          <w:rStyle w:val="None"/>
          <w:i w:val="1"/>
          <w:iCs w:val="1"/>
          <w:spacing w:val="-2"/>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r>
      <w:r>
        <w:rPr>
          <w:rStyle w:val="None"/>
          <w:i w:val="1"/>
          <w:iCs w:val="1"/>
          <w:sz w:val="16"/>
          <w:szCs w:val="16"/>
          <w:vertAlign w:val="baseline"/>
          <w:rtl w:val="0"/>
          <w:lang w:val="pt-PT"/>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z w:val="16"/>
          <w:szCs w:val="16"/>
          <w:vertAlign w:val="baseline"/>
          <w:rtl w:val="1"/>
          <w:lang w:val="ar-SA" w:bidi="ar-SA"/>
        </w:rPr>
      </w:r>
      <w:r>
        <w:rPr>
          <w:rStyle w:val="None"/>
          <w:i w:val="1"/>
          <w:iCs w:val="1"/>
          <w:sz w:val="16"/>
          <w:szCs w:val="16"/>
          <w:vertAlign w:val="baseline"/>
          <w:rtl w:val="0"/>
          <w:lang w:val="en-US"/>
        </w:rPr>
      </w:r>
      <w:r>
        <w:rPr>
          <w:rStyle w:val="None"/>
          <w:i w:val="1"/>
          <w:iCs w:val="1"/>
          <w:sz w:val="16"/>
          <w:szCs w:val="16"/>
          <w:vertAlign w:val="baseline"/>
          <w:rtl w:val="0"/>
        </w:rPr>
      </w:r>
      <w:r>
        <w:rPr>
          <w:rStyle w:val="None"/>
          <w:i w:val="1"/>
          <w:iCs w:val="1"/>
          <w:sz w:val="16"/>
          <w:szCs w:val="16"/>
          <w:vertAlign w:val="baseline"/>
          <w:rtl w:val="0"/>
          <w:lang w:val="en-US"/>
        </w:rPr>
      </w:r>
      <w:r>
        <w:rPr>
          <w:rStyle w:val="None"/>
          <w:i w:val="1"/>
          <w:iCs w:val="1"/>
          <w:spacing w:val="40"/>
          <w:sz w:val="16"/>
          <w:szCs w:val="16"/>
          <w:vertAlign w:val="baseline"/>
          <w:rtl w:val="0"/>
        </w:rPr>
      </w:r>
      <w:r>
        <w:rPr>
          <w:rStyle w:val="None"/>
          <w:i w:val="1"/>
          <w:iCs w:val="1"/>
          <w:spacing w:val="-2"/>
          <w:sz w:val="16"/>
          <w:szCs w:val="16"/>
          <w:vertAlign w:val="baseline"/>
          <w:rtl w:val="0"/>
          <w:lang w:val="en-US"/>
        </w:rPr>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