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center"/>
      </w:pPr>
      <w:r>
        <w:rPr>
          <w:rFonts w:ascii="Times New Roman" w:hAnsi="Times New Roman"/>
          <w:b/>
          <w:color w:val="000000"/>
          <w:sz w:val="32"/>
        </w:rPr>
        <w:t>KNOTS: AI-Powered Community-Based Career and Collaboration Platform</w:t>
      </w:r>
    </w:p>
    <w:p>
      <w:pPr>
        <w:spacing w:before="0" w:after="40"/>
        <w:jc w:val="center"/>
      </w:pPr>
      <w:r>
        <w:rPr>
          <w:rFonts w:ascii="Times New Roman" w:hAnsi="Times New Roman"/>
          <w:b/>
          <w:sz w:val="21"/>
        </w:rPr>
        <w:t>Yash Kapse, Kanchan Gaikwad, Dhanshree Bhorkar, Shrushti Zod</w:t>
      </w:r>
    </w:p>
    <w:p>
      <w:pPr>
        <w:spacing w:before="0" w:after="160"/>
        <w:jc w:val="center"/>
      </w:pPr>
      <w:r>
        <w:rPr>
          <w:rFonts w:ascii="Times New Roman" w:hAnsi="Times New Roman"/>
          <w:i/>
          <w:sz w:val="19"/>
        </w:rPr>
        <w:t>Department of Computer Science and Engineering</w:t>
        <w:br/>
      </w:r>
      <w:r>
        <w:rPr>
          <w:rFonts w:ascii="Times New Roman" w:hAnsi="Times New Roman"/>
          <w:i/>
          <w:sz w:val="19"/>
        </w:rPr>
        <w:t>S. B. Jain Institute of Technology, Management &amp; Research (SBJITMR), Nagpur, Maharashtra, India</w:t>
      </w:r>
    </w:p>
    <w:p>
      <w:pPr>
        <w:spacing w:before="60" w:after="80" w:line="269" w:lineRule="auto"/>
        <w:jc w:val="both"/>
      </w:pPr>
      <w:r>
        <w:rPr>
          <w:rFonts w:ascii="Times New Roman" w:hAnsi="Times New Roman"/>
          <w:b/>
          <w:sz w:val="19"/>
        </w:rPr>
        <w:t>Abstract—</w:t>
      </w:r>
      <w:r>
        <w:rPr>
          <w:rFonts w:ascii="Times New Roman" w:hAnsi="Times New Roman"/>
          <w:sz w:val="19"/>
        </w:rPr>
        <w:t>Higher education institutions frequently rely on fragmented software tools to manage placement operations, student networking, campus organizations, alumni engagement, and career preparation. This fragmentation results in administrative overhead for Training and Placement Officers (TPOs), delayed communication between recruiters and students, inconsistent alumni mentorship, and difficulties in maintaining verified student academic portfolios. This paper presents KNOTS (Knowledge Network and Organizational Tracking System), an end-to-end university ecosystem platform designed using an asynchronous domain-driven architecture. Built on FastAPI, SQLAlchemy, PostgreSQL, and persistent WebSockets, KNOTS unifies verified academic profiling, campus organization management, event orchestration, alumni mentorship channels, real-time messaging, and profile-driven resume generation into a single scalable infrastructure. The platform features an automated eligibility validation engine that dynamically filters candidates based on academic criteria (CGPA, active backlogs, batch year, and branch cutoffs), an automated profile-to-resume compiler that formats verified profile data into standardized ATS-compliant documents, a dedicated alumni networking portal for 1-on-1 mentorship and job referrals, and multi-tier Role-Based Access Control (RBAC) with immutable audit logging. Comprehensive evaluations validate that the asynchronous ASGI backend achieves high request throughput and low operational latency, establishing a robust, transparent digital infrastructure for higher education institutions.</w:t>
      </w:r>
    </w:p>
    <w:p>
      <w:pPr>
        <w:spacing w:before="40" w:after="200"/>
        <w:jc w:val="both"/>
      </w:pPr>
      <w:r>
        <w:rPr>
          <w:rFonts w:ascii="Times New Roman" w:hAnsi="Times New Roman"/>
          <w:b/>
          <w:sz w:val="19"/>
        </w:rPr>
        <w:t>Index Terms—</w:t>
      </w:r>
      <w:r>
        <w:rPr>
          <w:rFonts w:ascii="Times New Roman" w:hAnsi="Times New Roman"/>
          <w:i/>
          <w:sz w:val="19"/>
        </w:rPr>
        <w:t>Campus Networking, Placement Automation, Alumni Mentorship, Resume Generation, FastAPI, WebSockets, Role-Based Access Control, Academic Governance, Information Systems.</w:t>
      </w:r>
    </w:p>
    <w:p>
      <w:pPr>
        <w:keepNext/>
        <w:spacing w:before="240" w:after="80"/>
        <w:jc w:val="center"/>
      </w:pPr>
      <w:r>
        <w:rPr>
          <w:rFonts w:ascii="Times New Roman" w:hAnsi="Times New Roman"/>
          <w:b/>
          <w:sz w:val="22"/>
        </w:rPr>
        <w:t>I. INTRODUCTION</w:t>
      </w:r>
    </w:p>
    <w:p>
      <w:pPr>
        <w:spacing w:after="80" w:before="0" w:line="269" w:lineRule="auto"/>
        <w:jc w:val="both"/>
      </w:pPr>
      <w:r>
        <w:rPr>
          <w:rFonts w:ascii="Times New Roman" w:hAnsi="Times New Roman"/>
          <w:sz w:val="20"/>
        </w:rPr>
        <w:t>Higher education institutions face significant operational challenges in coordinating student placement drives, facilitating student-alumni networking, managing campus organizations, and providing scalable career guidance. Modern university administrative workflows are typically divided across disconnected channels:</w:t>
      </w:r>
    </w:p>
    <w:p>
      <w:pPr>
        <w:spacing w:after="80" w:before="0" w:line="269" w:lineRule="auto"/>
        <w:jc w:val="both"/>
      </w:pPr>
      <w:r>
        <w:rPr>
          <w:rFonts w:ascii="Times New Roman" w:hAnsi="Times New Roman"/>
          <w:sz w:val="20"/>
        </w:rPr>
        <w:t>• Placement Operations: Handled through legacy web portals or manual spreadsheet submissions, leading to verification delays, data redundancy, and error-prone candidate filtering during corporate campus drives.</w:t>
      </w:r>
    </w:p>
    <w:p>
      <w:pPr>
        <w:spacing w:after="80" w:before="0" w:line="269" w:lineRule="auto"/>
        <w:jc w:val="both"/>
      </w:pPr>
      <w:r>
        <w:rPr>
          <w:rFonts w:ascii="Times New Roman" w:hAnsi="Times New Roman"/>
          <w:sz w:val="20"/>
        </w:rPr>
        <w:t>• Campus &amp; Alumni Engagement: Managed via unofficial instant messaging channels and standalone social platforms, scattering official notices regarding club activities and technical workshops, while losing active touchpoints with graduated alumni who can provide essential industry mentorship.</w:t>
      </w:r>
    </w:p>
    <w:p>
      <w:pPr>
        <w:spacing w:after="80" w:before="0" w:line="269" w:lineRule="auto"/>
        <w:jc w:val="both"/>
      </w:pPr>
      <w:r>
        <w:rPr>
          <w:rFonts w:ascii="Times New Roman" w:hAnsi="Times New Roman"/>
          <w:sz w:val="20"/>
        </w:rPr>
        <w:t>• Career Preparation &amp; Profiling: Heavily reliant on students manually drafting unverified resumes and faculty spending limited hours manually validating academic records, preventing standardized, verified document generation for campus placement.</w:t>
      </w:r>
    </w:p>
    <w:p>
      <w:pPr>
        <w:spacing w:after="80" w:before="0" w:line="269" w:lineRule="auto"/>
        <w:jc w:val="both"/>
      </w:pPr>
      <w:r>
        <w:rPr>
          <w:rFonts w:ascii="Times New Roman" w:hAnsi="Times New Roman"/>
          <w:sz w:val="20"/>
        </w:rPr>
        <w:t>To resolve these inefficiencies, this paper introduces KNOTS (Knowledge Network and Organizational Tracking System), a unified platform designed to serve as a centralized digital backbone for academic institutions. KNOTS combines verified academic management with interactive peer-alumni networking, automated placement administration, and institutional governance.</w:t>
      </w:r>
    </w:p>
    <w:p>
      <w:pPr>
        <w:keepNext/>
        <w:spacing w:before="160" w:after="40"/>
        <w:jc w:val="left"/>
      </w:pPr>
      <w:r>
        <w:rPr>
          <w:rFonts w:ascii="Times New Roman" w:hAnsi="Times New Roman"/>
          <w:b/>
          <w:i/>
          <w:sz w:val="20"/>
        </w:rPr>
        <w:t>Key Technical Contributions</w:t>
      </w:r>
    </w:p>
    <w:p>
      <w:pPr>
        <w:spacing w:after="40" w:before="0" w:line="264" w:lineRule="auto"/>
        <w:jc w:val="both"/>
      </w:pPr>
      <w:r>
        <w:rPr>
          <w:rFonts w:ascii="Times New Roman" w:hAnsi="Times New Roman"/>
          <w:sz w:val="20"/>
        </w:rPr>
        <w:t>1. Domain-Driven Asynchronous Architecture: A scalable Python backend built with FastAPI, utilizing asynchronous I/O and domain segregation (auth, jobs, events, clubs, messaging, profiles, connections, admin) to handle concurrent usage during campus drives.</w:t>
      </w:r>
    </w:p>
    <w:p>
      <w:pPr>
        <w:spacing w:after="40" w:before="0" w:line="264" w:lineRule="auto"/>
        <w:jc w:val="both"/>
      </w:pPr>
      <w:r>
        <w:rPr>
          <w:rFonts w:ascii="Times New Roman" w:hAnsi="Times New Roman"/>
          <w:sz w:val="20"/>
        </w:rPr>
        <w:t>2. Automated Profile-to-Resume Generator: An integrated document compiler that extracts verified academic credentials (CGPA, marks), technical skills, project experiences, and certifications directly from user profile edits into standard, professional resume documents.</w:t>
      </w:r>
    </w:p>
    <w:p>
      <w:pPr>
        <w:spacing w:after="40" w:before="0" w:line="264" w:lineRule="auto"/>
        <w:jc w:val="both"/>
      </w:pPr>
      <w:r>
        <w:rPr>
          <w:rFonts w:ascii="Times New Roman" w:hAnsi="Times New Roman"/>
          <w:sz w:val="20"/>
        </w:rPr>
        <w:t>3. Alumni Mentorship &amp; Referral Network: A dedicated subsystem connecting students with verified institutional alumni for 1-on-1 career guidance, industry insights, and corporate referral pathways.</w:t>
      </w:r>
    </w:p>
    <w:p>
      <w:pPr>
        <w:spacing w:after="40" w:before="0" w:line="264" w:lineRule="auto"/>
        <w:jc w:val="both"/>
      </w:pPr>
      <w:r>
        <w:rPr>
          <w:rFonts w:ascii="Times New Roman" w:hAnsi="Times New Roman"/>
          <w:sz w:val="20"/>
        </w:rPr>
        <w:t>4. Dynamic Eligibility Filtering Engine: An automated rule evaluation pipeline that instantly checks candidate criteria (minimum CGPA, 10th/12th percentages, backlog counts, allowed branches) against corporate drive requirements.</w:t>
      </w:r>
    </w:p>
    <w:p>
      <w:pPr>
        <w:spacing w:after="40" w:before="0" w:line="264" w:lineRule="auto"/>
        <w:jc w:val="both"/>
      </w:pPr>
      <w:r>
        <w:rPr>
          <w:rFonts w:ascii="Times New Roman" w:hAnsi="Times New Roman"/>
          <w:sz w:val="20"/>
        </w:rPr>
        <w:t>5. Real-Time Asynchronous WebSocket Broker: An in-app messaging and notification infrastructure designed for multi-tier communication (peer-to-peer, alumni mentorship, club channels, and automated system alerts) with low latency.</w:t>
      </w:r>
    </w:p>
    <w:p>
      <w:pPr>
        <w:spacing w:after="40" w:before="0" w:line="264" w:lineRule="auto"/>
        <w:jc w:val="both"/>
      </w:pPr>
      <w:r>
        <w:rPr>
          <w:rFonts w:ascii="Times New Roman" w:hAnsi="Times New Roman"/>
          <w:sz w:val="20"/>
        </w:rPr>
        <w:t>6. Multi-Tier Governance &amp; Audit Logging: Role-Based Access Control (RBAC) across Students, Alumni, Faculty, HODs, Club Leads, and TPOs, backed by immutable audit trails and content moderation.</w:t>
      </w:r>
    </w:p>
    <w:p>
      <w:pPr>
        <w:spacing w:before="120" w:after="40"/>
        <w:jc w:val="center"/>
      </w:pPr>
      <w:r>
        <w:drawing>
          <wp:inline xmlns:a="http://schemas.openxmlformats.org/drawingml/2006/main" xmlns:pic="http://schemas.openxmlformats.org/drawingml/2006/picture">
            <wp:extent cx="5303520" cy="3045742"/>
            <wp:docPr id="1" name="Picture 1"/>
            <wp:cNvGraphicFramePr>
              <a:graphicFrameLocks noChangeAspect="1"/>
            </wp:cNvGraphicFramePr>
            <a:graphic>
              <a:graphicData uri="http://schemas.openxmlformats.org/drawingml/2006/picture">
                <pic:pic>
                  <pic:nvPicPr>
                    <pic:cNvPr id="0" name="fig1_platform_overview.png"/>
                    <pic:cNvPicPr/>
                  </pic:nvPicPr>
                  <pic:blipFill>
                    <a:blip r:embed="rId11"/>
                    <a:stretch>
                      <a:fillRect/>
                    </a:stretch>
                  </pic:blipFill>
                  <pic:spPr>
                    <a:xfrm>
                      <a:off x="0" y="0"/>
                      <a:ext cx="5303520" cy="3045742"/>
                    </a:xfrm>
                    <a:prstGeom prst="rect"/>
                  </pic:spPr>
                </pic:pic>
              </a:graphicData>
            </a:graphic>
          </wp:inline>
        </w:drawing>
      </w:r>
    </w:p>
    <w:p>
      <w:pPr>
        <w:spacing w:before="40" w:after="120"/>
        <w:jc w:val="center"/>
      </w:pPr>
      <w:r>
        <w:rPr>
          <w:rFonts w:ascii="Times New Roman" w:hAnsi="Times New Roman"/>
          <w:i/>
          <w:sz w:val="18"/>
        </w:rPr>
        <w:t>Fig. 1. KNOTS platform overview and core functional pillars.</w:t>
      </w:r>
    </w:p>
    <w:p>
      <w:pPr>
        <w:keepNext/>
        <w:spacing w:before="240" w:after="80"/>
        <w:jc w:val="center"/>
      </w:pPr>
      <w:r>
        <w:rPr>
          <w:rFonts w:ascii="Times New Roman" w:hAnsi="Times New Roman"/>
          <w:b/>
          <w:sz w:val="22"/>
        </w:rPr>
        <w:t>II. LITERATURE REVIEW &amp; RELATED WORK</w:t>
      </w:r>
    </w:p>
    <w:p>
      <w:pPr>
        <w:spacing w:after="80" w:before="0" w:line="269" w:lineRule="auto"/>
        <w:jc w:val="both"/>
      </w:pPr>
      <w:r>
        <w:rPr>
          <w:rFonts w:ascii="Times New Roman" w:hAnsi="Times New Roman"/>
          <w:sz w:val="20"/>
        </w:rPr>
        <w:t>Automated academic placement prediction and student evaluation systems have evolved from rule-based classifiers to integrated web ecosystems [1], [2]. Early implementations utilized classical statistical models and manual spreadsheets to manage student eligibility records [2], [3]. While these approaches provided basic record-keeping, they could not validate dynamic multi-criteria requirements, such as simultaneous verification of cumulative grade points, backlog restrictions, and departmental quotas [3], [5].</w:t>
      </w:r>
    </w:p>
    <w:p>
      <w:pPr>
        <w:spacing w:after="80" w:before="0" w:line="269" w:lineRule="auto"/>
        <w:jc w:val="both"/>
      </w:pPr>
      <w:r>
        <w:rPr>
          <w:rFonts w:ascii="Times New Roman" w:hAnsi="Times New Roman"/>
          <w:sz w:val="20"/>
        </w:rPr>
        <w:t>In automated candidate evaluation and profiling, traditional applicant management portals often depended on manual resume uploads without verifiable link back to institutional registrar records [4]. Recent research by Mishra et al. [14] and Chen et al. [5] highlights that verifying academic metrics directly from institutional databases ensures data authenticity and prevents candidate misrepresentation during recruitment.</w:t>
      </w:r>
    </w:p>
    <w:p>
      <w:pPr>
        <w:spacing w:after="80" w:before="0" w:line="269" w:lineRule="auto"/>
        <w:jc w:val="both"/>
      </w:pPr>
      <w:r>
        <w:rPr>
          <w:rFonts w:ascii="Times New Roman" w:hAnsi="Times New Roman"/>
          <w:sz w:val="20"/>
        </w:rPr>
        <w:t>In institutional networking and alumni relations, studies by Thorne &amp; Martinez [18] and Lee et al. [19] demonstrated that structured, institutionally verified alumni networks significantly enhance student career readiness. Direct interaction between undergraduates and verified alumni working in industry provides realistic project mentorship, career guidance, and organic referral pipelines that generic external platforms cannot match [18].</w:t>
      </w:r>
    </w:p>
    <w:p>
      <w:pPr>
        <w:spacing w:after="80" w:before="0" w:line="269" w:lineRule="auto"/>
        <w:jc w:val="both"/>
      </w:pPr>
      <w:r>
        <w:rPr>
          <w:rFonts w:ascii="Times New Roman" w:hAnsi="Times New Roman"/>
          <w:sz w:val="20"/>
        </w:rPr>
        <w:t>Concurrently, modern web platform design for institutional environments has shifted from synchronous WSGI-based architectures (e.g., Django, Flask) to asynchronous ASGI frameworks (e.g., FastAPI, Node.js) [10], [11], [17]. Asynchronous frameworks allow server nodes to handle persistent WebSocket connections and concurrent API requests efficiently without thread starvation, making them ideal for high-concurrency educational platforms [11], [12].</w:t>
      </w:r>
    </w:p>
    <w:p>
      <w:pPr>
        <w:keepNext/>
        <w:spacing w:before="240" w:after="80"/>
        <w:jc w:val="center"/>
      </w:pPr>
      <w:r>
        <w:rPr>
          <w:rFonts w:ascii="Times New Roman" w:hAnsi="Times New Roman"/>
          <w:b/>
          <w:sz w:val="22"/>
        </w:rPr>
        <w:t>III. SYSTEM ARCHITECTURE &amp; METHODOLOGY</w:t>
      </w:r>
    </w:p>
    <w:p>
      <w:pPr>
        <w:spacing w:after="80" w:before="0" w:line="269" w:lineRule="auto"/>
        <w:jc w:val="both"/>
      </w:pPr>
      <w:r>
        <w:rPr>
          <w:rFonts w:ascii="Times New Roman" w:hAnsi="Times New Roman"/>
          <w:sz w:val="20"/>
        </w:rPr>
        <w:t>The KNOTS platform is structured as a layered, domain-driven micro-monolith running on an Asynchronous Server Gateway Interface (ASGI). This topology minimizes inter-service network overhead while maintaining strict domain separation.</w:t>
      </w:r>
    </w:p>
    <w:p>
      <w:pPr>
        <w:spacing w:before="120" w:after="40"/>
        <w:jc w:val="center"/>
      </w:pPr>
      <w:r>
        <w:drawing>
          <wp:inline xmlns:a="http://schemas.openxmlformats.org/drawingml/2006/main" xmlns:pic="http://schemas.openxmlformats.org/drawingml/2006/picture">
            <wp:extent cx="5303520" cy="3423791"/>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2"/>
                    <a:stretch>
                      <a:fillRect/>
                    </a:stretch>
                  </pic:blipFill>
                  <pic:spPr>
                    <a:xfrm>
                      <a:off x="0" y="0"/>
                      <a:ext cx="5303520" cy="3423791"/>
                    </a:xfrm>
                    <a:prstGeom prst="rect"/>
                  </pic:spPr>
                </pic:pic>
              </a:graphicData>
            </a:graphic>
          </wp:inline>
        </w:drawing>
      </w:r>
    </w:p>
    <w:p>
      <w:pPr>
        <w:spacing w:before="40" w:after="120"/>
        <w:jc w:val="center"/>
      </w:pPr>
      <w:r>
        <w:rPr>
          <w:rFonts w:ascii="Times New Roman" w:hAnsi="Times New Roman"/>
          <w:i/>
          <w:sz w:val="18"/>
        </w:rPr>
        <w:t>Fig. 2. Layered system architecture of the KNOTS platform.</w:t>
      </w:r>
    </w:p>
    <w:p>
      <w:pPr>
        <w:keepNext/>
        <w:spacing w:before="160" w:after="40"/>
        <w:jc w:val="left"/>
      </w:pPr>
      <w:r>
        <w:rPr>
          <w:rFonts w:ascii="Times New Roman" w:hAnsi="Times New Roman"/>
          <w:b/>
          <w:i/>
          <w:sz w:val="20"/>
        </w:rPr>
        <w:t>A. System Modules</w:t>
      </w:r>
    </w:p>
    <w:p>
      <w:pPr>
        <w:spacing w:after="80" w:before="0" w:line="269" w:lineRule="auto"/>
        <w:jc w:val="both"/>
      </w:pPr>
      <w:r>
        <w:rPr>
          <w:rFonts w:ascii="Times New Roman" w:hAnsi="Times New Roman"/>
          <w:sz w:val="20"/>
        </w:rPr>
        <w:t>• Authentication &amp; Profile Management (/auth, /admin, /profiles): Implements Role-Based Access Control (RBAC) across five user roles: Student, Alumni, Faculty, Club Lead, and TPO Administrator. Tracks verified academic metrics (10th/12th percentages, CGPA, graduation year) alongside user-maintained portfolio attributes (skills, projects, certifications).</w:t>
      </w:r>
    </w:p>
    <w:p>
      <w:pPr>
        <w:spacing w:after="80" w:before="0" w:line="269" w:lineRule="auto"/>
        <w:jc w:val="both"/>
      </w:pPr>
      <w:r>
        <w:rPr>
          <w:rFonts w:ascii="Times New Roman" w:hAnsi="Times New Roman"/>
          <w:sz w:val="20"/>
        </w:rPr>
        <w:t>• Placement Engine (/jobs): Manages recruitment drives, application cutoffs, candidate shortlisting, and referral workflows.</w:t>
      </w:r>
    </w:p>
    <w:p>
      <w:pPr>
        <w:spacing w:after="80" w:before="0" w:line="269" w:lineRule="auto"/>
        <w:jc w:val="both"/>
      </w:pPr>
      <w:r>
        <w:rPr>
          <w:rFonts w:ascii="Times New Roman" w:hAnsi="Times New Roman"/>
          <w:sz w:val="20"/>
        </w:rPr>
        <w:t>• Alumni Mentorship &amp; Connections (/connections): Facilitates verified alumni-student pairing, mentorship connection requests, career guidance sessions, and corporate referral postings.</w:t>
      </w:r>
    </w:p>
    <w:p>
      <w:pPr>
        <w:spacing w:after="80" w:before="0" w:line="269" w:lineRule="auto"/>
        <w:jc w:val="both"/>
      </w:pPr>
      <w:r>
        <w:rPr>
          <w:rFonts w:ascii="Times New Roman" w:hAnsi="Times New Roman"/>
          <w:sz w:val="20"/>
        </w:rPr>
        <w:t>• Clubs &amp; Events Hub (/clubs, /events): Provides operational tools for campus organizations, including RSVP workflows, event head allocations, learning resource sharing, and content moderation (/flagged_post).</w:t>
      </w:r>
    </w:p>
    <w:p>
      <w:pPr>
        <w:spacing w:after="80" w:before="0" w:line="269" w:lineRule="auto"/>
        <w:jc w:val="both"/>
      </w:pPr>
      <w:r>
        <w:rPr>
          <w:rFonts w:ascii="Times New Roman" w:hAnsi="Times New Roman"/>
          <w:sz w:val="20"/>
        </w:rPr>
        <w:t>• Real-Time Communication (/messaging): Utilizes persistent WebSockets (websocket.py) to manage private messages, club group threads, and automated system alerts.</w:t>
      </w:r>
    </w:p>
    <w:p>
      <w:pPr>
        <w:keepNext/>
        <w:spacing w:before="240" w:after="80"/>
        <w:jc w:val="center"/>
      </w:pPr>
      <w:r>
        <w:rPr>
          <w:rFonts w:ascii="Times New Roman" w:hAnsi="Times New Roman"/>
          <w:b/>
          <w:sz w:val="22"/>
        </w:rPr>
        <w:t>IV. DATABASE DESIGN &amp; DATA MODELING</w:t>
      </w:r>
    </w:p>
    <w:p>
      <w:pPr>
        <w:spacing w:after="80" w:before="0" w:line="269" w:lineRule="auto"/>
        <w:jc w:val="both"/>
      </w:pPr>
      <w:r>
        <w:rPr>
          <w:rFonts w:ascii="Times New Roman" w:hAnsi="Times New Roman"/>
          <w:sz w:val="20"/>
        </w:rPr>
        <w:t>The database schema, implemented via SQLAlchemy and managed through Alembic migrations, maintains entity integrity across academic, professional, and social interactions.</w:t>
      </w:r>
    </w:p>
    <w:p>
      <w:pPr>
        <w:spacing w:before="120" w:after="40"/>
        <w:jc w:val="center"/>
      </w:pPr>
      <w:r>
        <w:drawing>
          <wp:inline xmlns:a="http://schemas.openxmlformats.org/drawingml/2006/main" xmlns:pic="http://schemas.openxmlformats.org/drawingml/2006/picture">
            <wp:extent cx="5303520" cy="3153021"/>
            <wp:docPr id="3" name="Picture 3"/>
            <wp:cNvGraphicFramePr>
              <a:graphicFrameLocks noChangeAspect="1"/>
            </wp:cNvGraphicFramePr>
            <a:graphic>
              <a:graphicData uri="http://schemas.openxmlformats.org/drawingml/2006/picture">
                <pic:pic>
                  <pic:nvPicPr>
                    <pic:cNvPr id="0" name="fig3_db_schema.png"/>
                    <pic:cNvPicPr/>
                  </pic:nvPicPr>
                  <pic:blipFill>
                    <a:blip r:embed="rId13"/>
                    <a:stretch>
                      <a:fillRect/>
                    </a:stretch>
                  </pic:blipFill>
                  <pic:spPr>
                    <a:xfrm>
                      <a:off x="0" y="0"/>
                      <a:ext cx="5303520" cy="3153021"/>
                    </a:xfrm>
                    <a:prstGeom prst="rect"/>
                  </pic:spPr>
                </pic:pic>
              </a:graphicData>
            </a:graphic>
          </wp:inline>
        </w:drawing>
      </w:r>
    </w:p>
    <w:p>
      <w:pPr>
        <w:spacing w:before="40" w:after="120"/>
        <w:jc w:val="center"/>
      </w:pPr>
      <w:r>
        <w:rPr>
          <w:rFonts w:ascii="Times New Roman" w:hAnsi="Times New Roman"/>
          <w:i/>
          <w:sz w:val="18"/>
        </w:rPr>
        <w:t>Fig. 3. Database schema entity relationships.</w:t>
      </w:r>
    </w:p>
    <w:p>
      <w:pPr>
        <w:spacing w:before="120" w:after="40"/>
        <w:jc w:val="center"/>
      </w:pPr>
      <w:r>
        <w:rPr>
          <w:rFonts w:ascii="Times New Roman" w:hAnsi="Times New Roman"/>
          <w:b/>
          <w:sz w:val="18"/>
        </w:rPr>
        <w:t>TABLE I</w:t>
        <w:br/>
        <w:t>USERS ENTITY SCHEMA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60"/>
        <w:gridCol w:w="3360"/>
        <w:gridCol w:w="3360"/>
      </w:tblGrid>
      <w:tr>
        <w:tc>
          <w:tcPr>
            <w:tcW w:type="dxa" w:w="3360"/>
            <w:shd w:fill="F1F5F9"/>
            <w:tcMar>
              <w:top w:w="40" w:type="dxa"/>
              <w:bottom w:w="40" w:type="dxa"/>
              <w:left w:w="60" w:type="dxa"/>
              <w:right w:w="60" w:type="dxa"/>
            </w:tcMar>
          </w:tcPr>
          <w:p>
            <w:pPr>
              <w:jc w:val="left"/>
            </w:pPr>
            <w:r>
              <w:rPr>
                <w:rFonts w:ascii="Times New Roman" w:hAnsi="Times New Roman"/>
                <w:b/>
                <w:sz w:val="17"/>
              </w:rPr>
              <w:t>Field Name</w:t>
            </w:r>
          </w:p>
        </w:tc>
        <w:tc>
          <w:tcPr>
            <w:tcW w:type="dxa" w:w="3360"/>
            <w:shd w:fill="F1F5F9"/>
            <w:tcMar>
              <w:top w:w="40" w:type="dxa"/>
              <w:bottom w:w="40" w:type="dxa"/>
              <w:left w:w="60" w:type="dxa"/>
              <w:right w:w="60" w:type="dxa"/>
            </w:tcMar>
          </w:tcPr>
          <w:p>
            <w:pPr>
              <w:jc w:val="left"/>
            </w:pPr>
            <w:r>
              <w:rPr>
                <w:rFonts w:ascii="Times New Roman" w:hAnsi="Times New Roman"/>
                <w:b/>
                <w:sz w:val="17"/>
              </w:rPr>
              <w:t>Data Type</w:t>
            </w:r>
          </w:p>
        </w:tc>
        <w:tc>
          <w:tcPr>
            <w:tcW w:type="dxa" w:w="3360"/>
            <w:shd w:fill="F1F5F9"/>
            <w:tcMar>
              <w:top w:w="40" w:type="dxa"/>
              <w:bottom w:w="40" w:type="dxa"/>
              <w:left w:w="60" w:type="dxa"/>
              <w:right w:w="60" w:type="dxa"/>
            </w:tcMar>
          </w:tcPr>
          <w:p>
            <w:pPr>
              <w:jc w:val="left"/>
            </w:pPr>
            <w:r>
              <w:rPr>
                <w:rFonts w:ascii="Times New Roman" w:hAnsi="Times New Roman"/>
                <w:b/>
                <w:sz w:val="17"/>
              </w:rPr>
              <w:t>Constraints / Description</w:t>
            </w:r>
          </w:p>
        </w:tc>
      </w:tr>
      <w:tr>
        <w:tc>
          <w:tcPr>
            <w:tcW w:type="dxa" w:w="3360"/>
            <w:tcMar>
              <w:top w:w="30" w:type="dxa"/>
              <w:bottom w:w="30" w:type="dxa"/>
              <w:left w:w="60" w:type="dxa"/>
              <w:right w:w="60" w:type="dxa"/>
            </w:tcMar>
          </w:tcPr>
          <w:p>
            <w:pPr>
              <w:jc w:val="left"/>
            </w:pPr>
            <w:r>
              <w:rPr>
                <w:rFonts w:ascii="Times New Roman" w:hAnsi="Times New Roman"/>
                <w:sz w:val="17"/>
              </w:rPr>
              <w:t>id</w:t>
            </w:r>
          </w:p>
        </w:tc>
        <w:tc>
          <w:tcPr>
            <w:tcW w:type="dxa" w:w="3360"/>
            <w:tcMar>
              <w:top w:w="30" w:type="dxa"/>
              <w:bottom w:w="30" w:type="dxa"/>
              <w:left w:w="60" w:type="dxa"/>
              <w:right w:w="60" w:type="dxa"/>
            </w:tcMar>
          </w:tcPr>
          <w:p>
            <w:pPr>
              <w:jc w:val="left"/>
            </w:pPr>
            <w:r>
              <w:rPr>
                <w:rFonts w:ascii="Times New Roman" w:hAnsi="Times New Roman"/>
                <w:sz w:val="17"/>
              </w:rPr>
              <w:t>UUID / Integer</w:t>
            </w:r>
          </w:p>
        </w:tc>
        <w:tc>
          <w:tcPr>
            <w:tcW w:type="dxa" w:w="3360"/>
            <w:tcMar>
              <w:top w:w="30" w:type="dxa"/>
              <w:bottom w:w="30" w:type="dxa"/>
              <w:left w:w="60" w:type="dxa"/>
              <w:right w:w="60" w:type="dxa"/>
            </w:tcMar>
          </w:tcPr>
          <w:p>
            <w:pPr>
              <w:jc w:val="left"/>
            </w:pPr>
            <w:r>
              <w:rPr>
                <w:rFonts w:ascii="Times New Roman" w:hAnsi="Times New Roman"/>
                <w:sz w:val="17"/>
              </w:rPr>
              <w:t>Primary Key, Indexed</w:t>
            </w:r>
          </w:p>
        </w:tc>
      </w:tr>
      <w:tr>
        <w:tc>
          <w:tcPr>
            <w:tcW w:type="dxa" w:w="3360"/>
            <w:tcMar>
              <w:top w:w="30" w:type="dxa"/>
              <w:bottom w:w="30" w:type="dxa"/>
              <w:left w:w="60" w:type="dxa"/>
              <w:right w:w="60" w:type="dxa"/>
            </w:tcMar>
          </w:tcPr>
          <w:p>
            <w:pPr>
              <w:jc w:val="left"/>
            </w:pPr>
            <w:r>
              <w:rPr>
                <w:rFonts w:ascii="Times New Roman" w:hAnsi="Times New Roman"/>
                <w:sz w:val="17"/>
              </w:rPr>
              <w:t>email</w:t>
            </w:r>
          </w:p>
        </w:tc>
        <w:tc>
          <w:tcPr>
            <w:tcW w:type="dxa" w:w="3360"/>
            <w:tcMar>
              <w:top w:w="30" w:type="dxa"/>
              <w:bottom w:w="30" w:type="dxa"/>
              <w:left w:w="60" w:type="dxa"/>
              <w:right w:w="60" w:type="dxa"/>
            </w:tcMar>
          </w:tcPr>
          <w:p>
            <w:pPr>
              <w:jc w:val="left"/>
            </w:pPr>
            <w:r>
              <w:rPr>
                <w:rFonts w:ascii="Times New Roman" w:hAnsi="Times New Roman"/>
                <w:sz w:val="17"/>
              </w:rPr>
              <w:t>String(255)</w:t>
            </w:r>
          </w:p>
        </w:tc>
        <w:tc>
          <w:tcPr>
            <w:tcW w:type="dxa" w:w="3360"/>
            <w:tcMar>
              <w:top w:w="30" w:type="dxa"/>
              <w:bottom w:w="30" w:type="dxa"/>
              <w:left w:w="60" w:type="dxa"/>
              <w:right w:w="60" w:type="dxa"/>
            </w:tcMar>
          </w:tcPr>
          <w:p>
            <w:pPr>
              <w:jc w:val="left"/>
            </w:pPr>
            <w:r>
              <w:rPr>
                <w:rFonts w:ascii="Times New Roman" w:hAnsi="Times New Roman"/>
                <w:sz w:val="17"/>
              </w:rPr>
              <w:t>Unique, Non-Nullable, Institutional Domain</w:t>
            </w:r>
          </w:p>
        </w:tc>
      </w:tr>
      <w:tr>
        <w:tc>
          <w:tcPr>
            <w:tcW w:type="dxa" w:w="3360"/>
            <w:tcMar>
              <w:top w:w="30" w:type="dxa"/>
              <w:bottom w:w="30" w:type="dxa"/>
              <w:left w:w="60" w:type="dxa"/>
              <w:right w:w="60" w:type="dxa"/>
            </w:tcMar>
          </w:tcPr>
          <w:p>
            <w:pPr>
              <w:jc w:val="left"/>
            </w:pPr>
            <w:r>
              <w:rPr>
                <w:rFonts w:ascii="Times New Roman" w:hAnsi="Times New Roman"/>
                <w:sz w:val="17"/>
              </w:rPr>
              <w:t>hashed_password</w:t>
            </w:r>
          </w:p>
        </w:tc>
        <w:tc>
          <w:tcPr>
            <w:tcW w:type="dxa" w:w="3360"/>
            <w:tcMar>
              <w:top w:w="30" w:type="dxa"/>
              <w:bottom w:w="30" w:type="dxa"/>
              <w:left w:w="60" w:type="dxa"/>
              <w:right w:w="60" w:type="dxa"/>
            </w:tcMar>
          </w:tcPr>
          <w:p>
            <w:pPr>
              <w:jc w:val="left"/>
            </w:pPr>
            <w:r>
              <w:rPr>
                <w:rFonts w:ascii="Times New Roman" w:hAnsi="Times New Roman"/>
                <w:sz w:val="17"/>
              </w:rPr>
              <w:t>String(255)</w:t>
            </w:r>
          </w:p>
        </w:tc>
        <w:tc>
          <w:tcPr>
            <w:tcW w:type="dxa" w:w="3360"/>
            <w:tcMar>
              <w:top w:w="30" w:type="dxa"/>
              <w:bottom w:w="30" w:type="dxa"/>
              <w:left w:w="60" w:type="dxa"/>
              <w:right w:w="60" w:type="dxa"/>
            </w:tcMar>
          </w:tcPr>
          <w:p>
            <w:pPr>
              <w:jc w:val="left"/>
            </w:pPr>
            <w:r>
              <w:rPr>
                <w:rFonts w:ascii="Times New Roman" w:hAnsi="Times New Roman"/>
                <w:sz w:val="17"/>
              </w:rPr>
              <w:t>Bcrypt Salted Hash, Non-Nullable</w:t>
            </w:r>
          </w:p>
        </w:tc>
      </w:tr>
      <w:tr>
        <w:tc>
          <w:tcPr>
            <w:tcW w:type="dxa" w:w="3360"/>
            <w:tcMar>
              <w:top w:w="30" w:type="dxa"/>
              <w:bottom w:w="30" w:type="dxa"/>
              <w:left w:w="60" w:type="dxa"/>
              <w:right w:w="60" w:type="dxa"/>
            </w:tcMar>
          </w:tcPr>
          <w:p>
            <w:pPr>
              <w:jc w:val="left"/>
            </w:pPr>
            <w:r>
              <w:rPr>
                <w:rFonts w:ascii="Times New Roman" w:hAnsi="Times New Roman"/>
                <w:sz w:val="17"/>
              </w:rPr>
              <w:t>role</w:t>
            </w:r>
          </w:p>
        </w:tc>
        <w:tc>
          <w:tcPr>
            <w:tcW w:type="dxa" w:w="3360"/>
            <w:tcMar>
              <w:top w:w="30" w:type="dxa"/>
              <w:bottom w:w="30" w:type="dxa"/>
              <w:left w:w="60" w:type="dxa"/>
              <w:right w:w="60" w:type="dxa"/>
            </w:tcMar>
          </w:tcPr>
          <w:p>
            <w:pPr>
              <w:jc w:val="left"/>
            </w:pPr>
            <w:r>
              <w:rPr>
                <w:rFonts w:ascii="Times New Roman" w:hAnsi="Times New Roman"/>
                <w:sz w:val="17"/>
              </w:rPr>
              <w:t>Enum</w:t>
            </w:r>
          </w:p>
        </w:tc>
        <w:tc>
          <w:tcPr>
            <w:tcW w:type="dxa" w:w="3360"/>
            <w:tcMar>
              <w:top w:w="30" w:type="dxa"/>
              <w:bottom w:w="30" w:type="dxa"/>
              <w:left w:w="60" w:type="dxa"/>
              <w:right w:w="60" w:type="dxa"/>
            </w:tcMar>
          </w:tcPr>
          <w:p>
            <w:pPr>
              <w:jc w:val="left"/>
            </w:pPr>
            <w:r>
              <w:rPr>
                <w:rFonts w:ascii="Times New Roman" w:hAnsi="Times New Roman"/>
                <w:sz w:val="17"/>
              </w:rPr>
              <w:t>[STUDENT, ALUMNI, FACULTY, ADMIN]</w:t>
            </w:r>
          </w:p>
        </w:tc>
      </w:tr>
      <w:tr>
        <w:tc>
          <w:tcPr>
            <w:tcW w:type="dxa" w:w="3360"/>
            <w:tcMar>
              <w:top w:w="30" w:type="dxa"/>
              <w:bottom w:w="30" w:type="dxa"/>
              <w:left w:w="60" w:type="dxa"/>
              <w:right w:w="60" w:type="dxa"/>
            </w:tcMar>
          </w:tcPr>
          <w:p>
            <w:pPr>
              <w:jc w:val="left"/>
            </w:pPr>
            <w:r>
              <w:rPr>
                <w:rFonts w:ascii="Times New Roman" w:hAnsi="Times New Roman"/>
                <w:sz w:val="17"/>
              </w:rPr>
              <w:t>cgpa / percentages</w:t>
            </w:r>
          </w:p>
        </w:tc>
        <w:tc>
          <w:tcPr>
            <w:tcW w:type="dxa" w:w="3360"/>
            <w:tcMar>
              <w:top w:w="30" w:type="dxa"/>
              <w:bottom w:w="30" w:type="dxa"/>
              <w:left w:w="60" w:type="dxa"/>
              <w:right w:w="60" w:type="dxa"/>
            </w:tcMar>
          </w:tcPr>
          <w:p>
            <w:pPr>
              <w:jc w:val="left"/>
            </w:pPr>
            <w:r>
              <w:rPr>
                <w:rFonts w:ascii="Times New Roman" w:hAnsi="Times New Roman"/>
                <w:sz w:val="17"/>
              </w:rPr>
              <w:t>Float</w:t>
            </w:r>
          </w:p>
        </w:tc>
        <w:tc>
          <w:tcPr>
            <w:tcW w:type="dxa" w:w="3360"/>
            <w:tcMar>
              <w:top w:w="30" w:type="dxa"/>
              <w:bottom w:w="30" w:type="dxa"/>
              <w:left w:w="60" w:type="dxa"/>
              <w:right w:w="60" w:type="dxa"/>
            </w:tcMar>
          </w:tcPr>
          <w:p>
            <w:pPr>
              <w:jc w:val="left"/>
            </w:pPr>
            <w:r>
              <w:rPr>
                <w:rFonts w:ascii="Times New Roman" w:hAnsi="Times New Roman"/>
                <w:sz w:val="17"/>
              </w:rPr>
              <w:t>Verified Academic Metrics (CGPA, 10th %, 12th %)</w:t>
            </w:r>
          </w:p>
        </w:tc>
      </w:tr>
    </w:tbl>
    <w:p>
      <w:pPr>
        <w:spacing w:before="120" w:after="40"/>
        <w:jc w:val="center"/>
      </w:pPr>
      <w:r>
        <w:rPr>
          <w:rFonts w:ascii="Times New Roman" w:hAnsi="Times New Roman"/>
          <w:b/>
          <w:sz w:val="18"/>
        </w:rPr>
        <w:t>TABLE II</w:t>
        <w:br/>
        <w:t>JOBS ENTITY SCHEMA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60"/>
        <w:gridCol w:w="3360"/>
        <w:gridCol w:w="3360"/>
      </w:tblGrid>
      <w:tr>
        <w:tc>
          <w:tcPr>
            <w:tcW w:type="dxa" w:w="3360"/>
            <w:shd w:fill="F1F5F9"/>
            <w:tcMar>
              <w:top w:w="40" w:type="dxa"/>
              <w:bottom w:w="40" w:type="dxa"/>
              <w:left w:w="60" w:type="dxa"/>
              <w:right w:w="60" w:type="dxa"/>
            </w:tcMar>
          </w:tcPr>
          <w:p>
            <w:pPr>
              <w:jc w:val="left"/>
            </w:pPr>
            <w:r>
              <w:rPr>
                <w:rFonts w:ascii="Times New Roman" w:hAnsi="Times New Roman"/>
                <w:b/>
                <w:sz w:val="17"/>
              </w:rPr>
              <w:t>Field Name</w:t>
            </w:r>
          </w:p>
        </w:tc>
        <w:tc>
          <w:tcPr>
            <w:tcW w:type="dxa" w:w="3360"/>
            <w:shd w:fill="F1F5F9"/>
            <w:tcMar>
              <w:top w:w="40" w:type="dxa"/>
              <w:bottom w:w="40" w:type="dxa"/>
              <w:left w:w="60" w:type="dxa"/>
              <w:right w:w="60" w:type="dxa"/>
            </w:tcMar>
          </w:tcPr>
          <w:p>
            <w:pPr>
              <w:jc w:val="left"/>
            </w:pPr>
            <w:r>
              <w:rPr>
                <w:rFonts w:ascii="Times New Roman" w:hAnsi="Times New Roman"/>
                <w:b/>
                <w:sz w:val="17"/>
              </w:rPr>
              <w:t>Data Type</w:t>
            </w:r>
          </w:p>
        </w:tc>
        <w:tc>
          <w:tcPr>
            <w:tcW w:type="dxa" w:w="3360"/>
            <w:shd w:fill="F1F5F9"/>
            <w:tcMar>
              <w:top w:w="40" w:type="dxa"/>
              <w:bottom w:w="40" w:type="dxa"/>
              <w:left w:w="60" w:type="dxa"/>
              <w:right w:w="60" w:type="dxa"/>
            </w:tcMar>
          </w:tcPr>
          <w:p>
            <w:pPr>
              <w:jc w:val="left"/>
            </w:pPr>
            <w:r>
              <w:rPr>
                <w:rFonts w:ascii="Times New Roman" w:hAnsi="Times New Roman"/>
                <w:b/>
                <w:sz w:val="17"/>
              </w:rPr>
              <w:t>Constraints / Description</w:t>
            </w:r>
          </w:p>
        </w:tc>
      </w:tr>
      <w:tr>
        <w:tc>
          <w:tcPr>
            <w:tcW w:type="dxa" w:w="3360"/>
            <w:tcMar>
              <w:top w:w="30" w:type="dxa"/>
              <w:bottom w:w="30" w:type="dxa"/>
              <w:left w:w="60" w:type="dxa"/>
              <w:right w:w="60" w:type="dxa"/>
            </w:tcMar>
          </w:tcPr>
          <w:p>
            <w:pPr>
              <w:jc w:val="left"/>
            </w:pPr>
            <w:r>
              <w:rPr>
                <w:rFonts w:ascii="Times New Roman" w:hAnsi="Times New Roman"/>
                <w:sz w:val="17"/>
              </w:rPr>
              <w:t>id</w:t>
            </w:r>
          </w:p>
        </w:tc>
        <w:tc>
          <w:tcPr>
            <w:tcW w:type="dxa" w:w="3360"/>
            <w:tcMar>
              <w:top w:w="30" w:type="dxa"/>
              <w:bottom w:w="30" w:type="dxa"/>
              <w:left w:w="60" w:type="dxa"/>
              <w:right w:w="60" w:type="dxa"/>
            </w:tcMar>
          </w:tcPr>
          <w:p>
            <w:pPr>
              <w:jc w:val="left"/>
            </w:pPr>
            <w:r>
              <w:rPr>
                <w:rFonts w:ascii="Times New Roman" w:hAnsi="Times New Roman"/>
                <w:sz w:val="17"/>
              </w:rPr>
              <w:t>UUID / Integer</w:t>
            </w:r>
          </w:p>
        </w:tc>
        <w:tc>
          <w:tcPr>
            <w:tcW w:type="dxa" w:w="3360"/>
            <w:tcMar>
              <w:top w:w="30" w:type="dxa"/>
              <w:bottom w:w="30" w:type="dxa"/>
              <w:left w:w="60" w:type="dxa"/>
              <w:right w:w="60" w:type="dxa"/>
            </w:tcMar>
          </w:tcPr>
          <w:p>
            <w:pPr>
              <w:jc w:val="left"/>
            </w:pPr>
            <w:r>
              <w:rPr>
                <w:rFonts w:ascii="Times New Roman" w:hAnsi="Times New Roman"/>
                <w:sz w:val="17"/>
              </w:rPr>
              <w:t>Primary Key, Indexed</w:t>
            </w:r>
          </w:p>
        </w:tc>
      </w:tr>
      <w:tr>
        <w:tc>
          <w:tcPr>
            <w:tcW w:type="dxa" w:w="3360"/>
            <w:tcMar>
              <w:top w:w="30" w:type="dxa"/>
              <w:bottom w:w="30" w:type="dxa"/>
              <w:left w:w="60" w:type="dxa"/>
              <w:right w:w="60" w:type="dxa"/>
            </w:tcMar>
          </w:tcPr>
          <w:p>
            <w:pPr>
              <w:jc w:val="left"/>
            </w:pPr>
            <w:r>
              <w:rPr>
                <w:rFonts w:ascii="Times New Roman" w:hAnsi="Times New Roman"/>
                <w:sz w:val="17"/>
              </w:rPr>
              <w:t>company_name</w:t>
            </w:r>
          </w:p>
        </w:tc>
        <w:tc>
          <w:tcPr>
            <w:tcW w:type="dxa" w:w="3360"/>
            <w:tcMar>
              <w:top w:w="30" w:type="dxa"/>
              <w:bottom w:w="30" w:type="dxa"/>
              <w:left w:w="60" w:type="dxa"/>
              <w:right w:w="60" w:type="dxa"/>
            </w:tcMar>
          </w:tcPr>
          <w:p>
            <w:pPr>
              <w:jc w:val="left"/>
            </w:pPr>
            <w:r>
              <w:rPr>
                <w:rFonts w:ascii="Times New Roman" w:hAnsi="Times New Roman"/>
                <w:sz w:val="17"/>
              </w:rPr>
              <w:t>String(255)</w:t>
            </w:r>
          </w:p>
        </w:tc>
        <w:tc>
          <w:tcPr>
            <w:tcW w:type="dxa" w:w="3360"/>
            <w:tcMar>
              <w:top w:w="30" w:type="dxa"/>
              <w:bottom w:w="30" w:type="dxa"/>
              <w:left w:w="60" w:type="dxa"/>
              <w:right w:w="60" w:type="dxa"/>
            </w:tcMar>
          </w:tcPr>
          <w:p>
            <w:pPr>
              <w:jc w:val="left"/>
            </w:pPr>
            <w:r>
              <w:rPr>
                <w:rFonts w:ascii="Times New Roman" w:hAnsi="Times New Roman"/>
                <w:sz w:val="17"/>
              </w:rPr>
              <w:t>Non-Nullable Corporate Name</w:t>
            </w:r>
          </w:p>
        </w:tc>
      </w:tr>
      <w:tr>
        <w:tc>
          <w:tcPr>
            <w:tcW w:type="dxa" w:w="3360"/>
            <w:tcMar>
              <w:top w:w="30" w:type="dxa"/>
              <w:bottom w:w="30" w:type="dxa"/>
              <w:left w:w="60" w:type="dxa"/>
              <w:right w:w="60" w:type="dxa"/>
            </w:tcMar>
          </w:tcPr>
          <w:p>
            <w:pPr>
              <w:jc w:val="left"/>
            </w:pPr>
            <w:r>
              <w:rPr>
                <w:rFonts w:ascii="Times New Roman" w:hAnsi="Times New Roman"/>
                <w:sz w:val="17"/>
              </w:rPr>
              <w:t>title</w:t>
            </w:r>
          </w:p>
        </w:tc>
        <w:tc>
          <w:tcPr>
            <w:tcW w:type="dxa" w:w="3360"/>
            <w:tcMar>
              <w:top w:w="30" w:type="dxa"/>
              <w:bottom w:w="30" w:type="dxa"/>
              <w:left w:w="60" w:type="dxa"/>
              <w:right w:w="60" w:type="dxa"/>
            </w:tcMar>
          </w:tcPr>
          <w:p>
            <w:pPr>
              <w:jc w:val="left"/>
            </w:pPr>
            <w:r>
              <w:rPr>
                <w:rFonts w:ascii="Times New Roman" w:hAnsi="Times New Roman"/>
                <w:sz w:val="17"/>
              </w:rPr>
              <w:t>String(255)</w:t>
            </w:r>
          </w:p>
        </w:tc>
        <w:tc>
          <w:tcPr>
            <w:tcW w:type="dxa" w:w="3360"/>
            <w:tcMar>
              <w:top w:w="30" w:type="dxa"/>
              <w:bottom w:w="30" w:type="dxa"/>
              <w:left w:w="60" w:type="dxa"/>
              <w:right w:w="60" w:type="dxa"/>
            </w:tcMar>
          </w:tcPr>
          <w:p>
            <w:pPr>
              <w:jc w:val="left"/>
            </w:pPr>
            <w:r>
              <w:rPr>
                <w:rFonts w:ascii="Times New Roman" w:hAnsi="Times New Roman"/>
                <w:sz w:val="17"/>
              </w:rPr>
              <w:t>Job Role Designation</w:t>
            </w:r>
          </w:p>
        </w:tc>
      </w:tr>
      <w:tr>
        <w:tc>
          <w:tcPr>
            <w:tcW w:type="dxa" w:w="3360"/>
            <w:tcMar>
              <w:top w:w="30" w:type="dxa"/>
              <w:bottom w:w="30" w:type="dxa"/>
              <w:left w:w="60" w:type="dxa"/>
              <w:right w:w="60" w:type="dxa"/>
            </w:tcMar>
          </w:tcPr>
          <w:p>
            <w:pPr>
              <w:jc w:val="left"/>
            </w:pPr>
            <w:r>
              <w:rPr>
                <w:rFonts w:ascii="Times New Roman" w:hAnsi="Times New Roman"/>
                <w:sz w:val="17"/>
              </w:rPr>
              <w:t>min_cgpa / max_backlogs</w:t>
            </w:r>
          </w:p>
        </w:tc>
        <w:tc>
          <w:tcPr>
            <w:tcW w:type="dxa" w:w="3360"/>
            <w:tcMar>
              <w:top w:w="30" w:type="dxa"/>
              <w:bottom w:w="30" w:type="dxa"/>
              <w:left w:w="60" w:type="dxa"/>
              <w:right w:w="60" w:type="dxa"/>
            </w:tcMar>
          </w:tcPr>
          <w:p>
            <w:pPr>
              <w:jc w:val="left"/>
            </w:pPr>
            <w:r>
              <w:rPr>
                <w:rFonts w:ascii="Times New Roman" w:hAnsi="Times New Roman"/>
                <w:sz w:val="17"/>
              </w:rPr>
              <w:t>Float / Integer</w:t>
            </w:r>
          </w:p>
        </w:tc>
        <w:tc>
          <w:tcPr>
            <w:tcW w:type="dxa" w:w="3360"/>
            <w:tcMar>
              <w:top w:w="30" w:type="dxa"/>
              <w:bottom w:w="30" w:type="dxa"/>
              <w:left w:w="60" w:type="dxa"/>
              <w:right w:w="60" w:type="dxa"/>
            </w:tcMar>
          </w:tcPr>
          <w:p>
            <w:pPr>
              <w:jc w:val="left"/>
            </w:pPr>
            <w:r>
              <w:rPr>
                <w:rFonts w:ascii="Times New Roman" w:hAnsi="Times New Roman"/>
                <w:sz w:val="17"/>
              </w:rPr>
              <w:t>Academic Eligibility Thresholds</w:t>
            </w:r>
          </w:p>
        </w:tc>
      </w:tr>
      <w:tr>
        <w:tc>
          <w:tcPr>
            <w:tcW w:type="dxa" w:w="3360"/>
            <w:tcMar>
              <w:top w:w="30" w:type="dxa"/>
              <w:bottom w:w="30" w:type="dxa"/>
              <w:left w:w="60" w:type="dxa"/>
              <w:right w:w="60" w:type="dxa"/>
            </w:tcMar>
          </w:tcPr>
          <w:p>
            <w:pPr>
              <w:jc w:val="left"/>
            </w:pPr>
            <w:r>
              <w:rPr>
                <w:rFonts w:ascii="Times New Roman" w:hAnsi="Times New Roman"/>
                <w:sz w:val="17"/>
              </w:rPr>
              <w:t>allowed_departments</w:t>
            </w:r>
          </w:p>
        </w:tc>
        <w:tc>
          <w:tcPr>
            <w:tcW w:type="dxa" w:w="3360"/>
            <w:tcMar>
              <w:top w:w="30" w:type="dxa"/>
              <w:bottom w:w="30" w:type="dxa"/>
              <w:left w:w="60" w:type="dxa"/>
              <w:right w:w="60" w:type="dxa"/>
            </w:tcMar>
          </w:tcPr>
          <w:p>
            <w:pPr>
              <w:jc w:val="left"/>
            </w:pPr>
            <w:r>
              <w:rPr>
                <w:rFonts w:ascii="Times New Roman" w:hAnsi="Times New Roman"/>
                <w:sz w:val="17"/>
              </w:rPr>
              <w:t>JSON / String</w:t>
            </w:r>
          </w:p>
        </w:tc>
        <w:tc>
          <w:tcPr>
            <w:tcW w:type="dxa" w:w="3360"/>
            <w:tcMar>
              <w:top w:w="30" w:type="dxa"/>
              <w:bottom w:w="30" w:type="dxa"/>
              <w:left w:w="60" w:type="dxa"/>
              <w:right w:w="60" w:type="dxa"/>
            </w:tcMar>
          </w:tcPr>
          <w:p>
            <w:pPr>
              <w:jc w:val="left"/>
            </w:pPr>
            <w:r>
              <w:rPr>
                <w:rFonts w:ascii="Times New Roman" w:hAnsi="Times New Roman"/>
                <w:sz w:val="17"/>
              </w:rPr>
              <w:t>Eligible Academic Branches</w:t>
            </w:r>
          </w:p>
        </w:tc>
      </w:tr>
    </w:tbl>
    <w:p>
      <w:pPr>
        <w:spacing w:before="120" w:after="40"/>
        <w:jc w:val="center"/>
      </w:pPr>
      <w:r>
        <w:rPr>
          <w:rFonts w:ascii="Times New Roman" w:hAnsi="Times New Roman"/>
          <w:b/>
          <w:sz w:val="18"/>
        </w:rPr>
        <w:t>TABLE III</w:t>
        <w:br/>
        <w:t>APPLICATIONS AND CONNECTIONS ENTITY SCHEMA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60"/>
        <w:gridCol w:w="3360"/>
        <w:gridCol w:w="3360"/>
      </w:tblGrid>
      <w:tr>
        <w:tc>
          <w:tcPr>
            <w:tcW w:type="dxa" w:w="3360"/>
            <w:shd w:fill="F1F5F9"/>
            <w:tcMar>
              <w:top w:w="40" w:type="dxa"/>
              <w:bottom w:w="40" w:type="dxa"/>
              <w:left w:w="60" w:type="dxa"/>
              <w:right w:w="60" w:type="dxa"/>
            </w:tcMar>
          </w:tcPr>
          <w:p>
            <w:pPr>
              <w:jc w:val="left"/>
            </w:pPr>
            <w:r>
              <w:rPr>
                <w:rFonts w:ascii="Times New Roman" w:hAnsi="Times New Roman"/>
                <w:b/>
                <w:sz w:val="17"/>
              </w:rPr>
              <w:t>Field Name</w:t>
            </w:r>
          </w:p>
        </w:tc>
        <w:tc>
          <w:tcPr>
            <w:tcW w:type="dxa" w:w="3360"/>
            <w:shd w:fill="F1F5F9"/>
            <w:tcMar>
              <w:top w:w="40" w:type="dxa"/>
              <w:bottom w:w="40" w:type="dxa"/>
              <w:left w:w="60" w:type="dxa"/>
              <w:right w:w="60" w:type="dxa"/>
            </w:tcMar>
          </w:tcPr>
          <w:p>
            <w:pPr>
              <w:jc w:val="left"/>
            </w:pPr>
            <w:r>
              <w:rPr>
                <w:rFonts w:ascii="Times New Roman" w:hAnsi="Times New Roman"/>
                <w:b/>
                <w:sz w:val="17"/>
              </w:rPr>
              <w:t>Data Type</w:t>
            </w:r>
          </w:p>
        </w:tc>
        <w:tc>
          <w:tcPr>
            <w:tcW w:type="dxa" w:w="3360"/>
            <w:shd w:fill="F1F5F9"/>
            <w:tcMar>
              <w:top w:w="40" w:type="dxa"/>
              <w:bottom w:w="40" w:type="dxa"/>
              <w:left w:w="60" w:type="dxa"/>
              <w:right w:w="60" w:type="dxa"/>
            </w:tcMar>
          </w:tcPr>
          <w:p>
            <w:pPr>
              <w:jc w:val="left"/>
            </w:pPr>
            <w:r>
              <w:rPr>
                <w:rFonts w:ascii="Times New Roman" w:hAnsi="Times New Roman"/>
                <w:b/>
                <w:sz w:val="17"/>
              </w:rPr>
              <w:t>Constraints / Description</w:t>
            </w:r>
          </w:p>
        </w:tc>
      </w:tr>
      <w:tr>
        <w:tc>
          <w:tcPr>
            <w:tcW w:type="dxa" w:w="3360"/>
            <w:tcMar>
              <w:top w:w="30" w:type="dxa"/>
              <w:bottom w:w="30" w:type="dxa"/>
              <w:left w:w="60" w:type="dxa"/>
              <w:right w:w="60" w:type="dxa"/>
            </w:tcMar>
          </w:tcPr>
          <w:p>
            <w:pPr>
              <w:jc w:val="left"/>
            </w:pPr>
            <w:r>
              <w:rPr>
                <w:rFonts w:ascii="Times New Roman" w:hAnsi="Times New Roman"/>
                <w:sz w:val="17"/>
              </w:rPr>
              <w:t>id (application)</w:t>
            </w:r>
          </w:p>
        </w:tc>
        <w:tc>
          <w:tcPr>
            <w:tcW w:type="dxa" w:w="3360"/>
            <w:tcMar>
              <w:top w:w="30" w:type="dxa"/>
              <w:bottom w:w="30" w:type="dxa"/>
              <w:left w:w="60" w:type="dxa"/>
              <w:right w:w="60" w:type="dxa"/>
            </w:tcMar>
          </w:tcPr>
          <w:p>
            <w:pPr>
              <w:jc w:val="left"/>
            </w:pPr>
            <w:r>
              <w:rPr>
                <w:rFonts w:ascii="Times New Roman" w:hAnsi="Times New Roman"/>
                <w:sz w:val="17"/>
              </w:rPr>
              <w:t>UUID / Integer</w:t>
            </w:r>
          </w:p>
        </w:tc>
        <w:tc>
          <w:tcPr>
            <w:tcW w:type="dxa" w:w="3360"/>
            <w:tcMar>
              <w:top w:w="30" w:type="dxa"/>
              <w:bottom w:w="30" w:type="dxa"/>
              <w:left w:w="60" w:type="dxa"/>
              <w:right w:w="60" w:type="dxa"/>
            </w:tcMar>
          </w:tcPr>
          <w:p>
            <w:pPr>
              <w:jc w:val="left"/>
            </w:pPr>
            <w:r>
              <w:rPr>
                <w:rFonts w:ascii="Times New Roman" w:hAnsi="Times New Roman"/>
                <w:sz w:val="17"/>
              </w:rPr>
              <w:t>Primary Key (Applications)</w:t>
            </w:r>
          </w:p>
        </w:tc>
      </w:tr>
      <w:tr>
        <w:tc>
          <w:tcPr>
            <w:tcW w:type="dxa" w:w="3360"/>
            <w:tcMar>
              <w:top w:w="30" w:type="dxa"/>
              <w:bottom w:w="30" w:type="dxa"/>
              <w:left w:w="60" w:type="dxa"/>
              <w:right w:w="60" w:type="dxa"/>
            </w:tcMar>
          </w:tcPr>
          <w:p>
            <w:pPr>
              <w:jc w:val="left"/>
            </w:pPr>
            <w:r>
              <w:rPr>
                <w:rFonts w:ascii="Times New Roman" w:hAnsi="Times New Roman"/>
                <w:sz w:val="17"/>
              </w:rPr>
              <w:t>user_id / job_id</w:t>
            </w:r>
          </w:p>
        </w:tc>
        <w:tc>
          <w:tcPr>
            <w:tcW w:type="dxa" w:w="3360"/>
            <w:tcMar>
              <w:top w:w="30" w:type="dxa"/>
              <w:bottom w:w="30" w:type="dxa"/>
              <w:left w:w="60" w:type="dxa"/>
              <w:right w:w="60" w:type="dxa"/>
            </w:tcMar>
          </w:tcPr>
          <w:p>
            <w:pPr>
              <w:jc w:val="left"/>
            </w:pPr>
            <w:r>
              <w:rPr>
                <w:rFonts w:ascii="Times New Roman" w:hAnsi="Times New Roman"/>
                <w:sz w:val="17"/>
              </w:rPr>
              <w:t>Foreign Keys</w:t>
            </w:r>
          </w:p>
        </w:tc>
        <w:tc>
          <w:tcPr>
            <w:tcW w:type="dxa" w:w="3360"/>
            <w:tcMar>
              <w:top w:w="30" w:type="dxa"/>
              <w:bottom w:w="30" w:type="dxa"/>
              <w:left w:w="60" w:type="dxa"/>
              <w:right w:w="60" w:type="dxa"/>
            </w:tcMar>
          </w:tcPr>
          <w:p>
            <w:pPr>
              <w:jc w:val="left"/>
            </w:pPr>
            <w:r>
              <w:rPr>
                <w:rFonts w:ascii="Times New Roman" w:hAnsi="Times New Roman"/>
                <w:sz w:val="17"/>
              </w:rPr>
              <w:t>References USERS.id and JOBS.id</w:t>
            </w:r>
          </w:p>
        </w:tc>
      </w:tr>
      <w:tr>
        <w:tc>
          <w:tcPr>
            <w:tcW w:type="dxa" w:w="3360"/>
            <w:tcMar>
              <w:top w:w="30" w:type="dxa"/>
              <w:bottom w:w="30" w:type="dxa"/>
              <w:left w:w="60" w:type="dxa"/>
              <w:right w:w="60" w:type="dxa"/>
            </w:tcMar>
          </w:tcPr>
          <w:p>
            <w:pPr>
              <w:jc w:val="left"/>
            </w:pPr>
            <w:r>
              <w:rPr>
                <w:rFonts w:ascii="Times New Roman" w:hAnsi="Times New Roman"/>
                <w:sz w:val="17"/>
              </w:rPr>
              <w:t>status (application)</w:t>
            </w:r>
          </w:p>
        </w:tc>
        <w:tc>
          <w:tcPr>
            <w:tcW w:type="dxa" w:w="3360"/>
            <w:tcMar>
              <w:top w:w="30" w:type="dxa"/>
              <w:bottom w:w="30" w:type="dxa"/>
              <w:left w:w="60" w:type="dxa"/>
              <w:right w:w="60" w:type="dxa"/>
            </w:tcMar>
          </w:tcPr>
          <w:p>
            <w:pPr>
              <w:jc w:val="left"/>
            </w:pPr>
            <w:r>
              <w:rPr>
                <w:rFonts w:ascii="Times New Roman" w:hAnsi="Times New Roman"/>
                <w:sz w:val="17"/>
              </w:rPr>
              <w:t>Enum</w:t>
            </w:r>
          </w:p>
        </w:tc>
        <w:tc>
          <w:tcPr>
            <w:tcW w:type="dxa" w:w="3360"/>
            <w:tcMar>
              <w:top w:w="30" w:type="dxa"/>
              <w:bottom w:w="30" w:type="dxa"/>
              <w:left w:w="60" w:type="dxa"/>
              <w:right w:w="60" w:type="dxa"/>
            </w:tcMar>
          </w:tcPr>
          <w:p>
            <w:pPr>
              <w:jc w:val="left"/>
            </w:pPr>
            <w:r>
              <w:rPr>
                <w:rFonts w:ascii="Times New Roman" w:hAnsi="Times New Roman"/>
                <w:sz w:val="17"/>
              </w:rPr>
              <w:t>[APPLIED, SHORTLISTED, SELECTED, REJECTED]</w:t>
            </w:r>
          </w:p>
        </w:tc>
      </w:tr>
      <w:tr>
        <w:tc>
          <w:tcPr>
            <w:tcW w:type="dxa" w:w="3360"/>
            <w:tcMar>
              <w:top w:w="30" w:type="dxa"/>
              <w:bottom w:w="30" w:type="dxa"/>
              <w:left w:w="60" w:type="dxa"/>
              <w:right w:w="60" w:type="dxa"/>
            </w:tcMar>
          </w:tcPr>
          <w:p>
            <w:pPr>
              <w:jc w:val="left"/>
            </w:pPr>
            <w:r>
              <w:rPr>
                <w:rFonts w:ascii="Times New Roman" w:hAnsi="Times New Roman"/>
                <w:sz w:val="17"/>
              </w:rPr>
              <w:t>id (connection)</w:t>
            </w:r>
          </w:p>
        </w:tc>
        <w:tc>
          <w:tcPr>
            <w:tcW w:type="dxa" w:w="3360"/>
            <w:tcMar>
              <w:top w:w="30" w:type="dxa"/>
              <w:bottom w:w="30" w:type="dxa"/>
              <w:left w:w="60" w:type="dxa"/>
              <w:right w:w="60" w:type="dxa"/>
            </w:tcMar>
          </w:tcPr>
          <w:p>
            <w:pPr>
              <w:jc w:val="left"/>
            </w:pPr>
            <w:r>
              <w:rPr>
                <w:rFonts w:ascii="Times New Roman" w:hAnsi="Times New Roman"/>
                <w:sz w:val="17"/>
              </w:rPr>
              <w:t>UUID / Integer</w:t>
            </w:r>
          </w:p>
        </w:tc>
        <w:tc>
          <w:tcPr>
            <w:tcW w:type="dxa" w:w="3360"/>
            <w:tcMar>
              <w:top w:w="30" w:type="dxa"/>
              <w:bottom w:w="30" w:type="dxa"/>
              <w:left w:w="60" w:type="dxa"/>
              <w:right w:w="60" w:type="dxa"/>
            </w:tcMar>
          </w:tcPr>
          <w:p>
            <w:pPr>
              <w:jc w:val="left"/>
            </w:pPr>
            <w:r>
              <w:rPr>
                <w:rFonts w:ascii="Times New Roman" w:hAnsi="Times New Roman"/>
                <w:sz w:val="17"/>
              </w:rPr>
              <w:t>Primary Key (Connections)</w:t>
            </w:r>
          </w:p>
        </w:tc>
      </w:tr>
      <w:tr>
        <w:tc>
          <w:tcPr>
            <w:tcW w:type="dxa" w:w="3360"/>
            <w:tcMar>
              <w:top w:w="30" w:type="dxa"/>
              <w:bottom w:w="30" w:type="dxa"/>
              <w:left w:w="60" w:type="dxa"/>
              <w:right w:w="60" w:type="dxa"/>
            </w:tcMar>
          </w:tcPr>
          <w:p>
            <w:pPr>
              <w:jc w:val="left"/>
            </w:pPr>
            <w:r>
              <w:rPr>
                <w:rFonts w:ascii="Times New Roman" w:hAnsi="Times New Roman"/>
                <w:sz w:val="17"/>
              </w:rPr>
              <w:t>requester_id / addressee_id</w:t>
            </w:r>
          </w:p>
        </w:tc>
        <w:tc>
          <w:tcPr>
            <w:tcW w:type="dxa" w:w="3360"/>
            <w:tcMar>
              <w:top w:w="30" w:type="dxa"/>
              <w:bottom w:w="30" w:type="dxa"/>
              <w:left w:w="60" w:type="dxa"/>
              <w:right w:w="60" w:type="dxa"/>
            </w:tcMar>
          </w:tcPr>
          <w:p>
            <w:pPr>
              <w:jc w:val="left"/>
            </w:pPr>
            <w:r>
              <w:rPr>
                <w:rFonts w:ascii="Times New Roman" w:hAnsi="Times New Roman"/>
                <w:sz w:val="17"/>
              </w:rPr>
              <w:t>Foreign Keys</w:t>
            </w:r>
          </w:p>
        </w:tc>
        <w:tc>
          <w:tcPr>
            <w:tcW w:type="dxa" w:w="3360"/>
            <w:tcMar>
              <w:top w:w="30" w:type="dxa"/>
              <w:bottom w:w="30" w:type="dxa"/>
              <w:left w:w="60" w:type="dxa"/>
              <w:right w:w="60" w:type="dxa"/>
            </w:tcMar>
          </w:tcPr>
          <w:p>
            <w:pPr>
              <w:jc w:val="left"/>
            </w:pPr>
            <w:r>
              <w:rPr>
                <w:rFonts w:ascii="Times New Roman" w:hAnsi="Times New Roman"/>
                <w:sz w:val="17"/>
              </w:rPr>
              <w:t>Student &amp; Alumni Mentorship Link</w:t>
            </w:r>
          </w:p>
        </w:tc>
      </w:tr>
    </w:tbl>
    <w:p>
      <w:pPr>
        <w:keepNext/>
        <w:spacing w:before="240" w:after="80"/>
        <w:jc w:val="center"/>
      </w:pPr>
      <w:r>
        <w:rPr>
          <w:rFonts w:ascii="Times New Roman" w:hAnsi="Times New Roman"/>
          <w:b/>
          <w:sz w:val="22"/>
        </w:rPr>
        <w:t>V. CORE ALGORITHMS &amp; PIPELINES</w:t>
      </w:r>
    </w:p>
    <w:p>
      <w:pPr>
        <w:keepNext/>
        <w:spacing w:before="160" w:after="40"/>
        <w:jc w:val="left"/>
      </w:pPr>
      <w:r>
        <w:rPr>
          <w:rFonts w:ascii="Times New Roman" w:hAnsi="Times New Roman"/>
          <w:b/>
          <w:i/>
          <w:sz w:val="20"/>
        </w:rPr>
        <w:t>A. Placement Eligibility Verification Pipeline</w:t>
      </w:r>
    </w:p>
    <w:p>
      <w:pPr>
        <w:spacing w:after="80" w:before="0" w:line="269" w:lineRule="auto"/>
        <w:jc w:val="both"/>
      </w:pPr>
      <w:r>
        <w:rPr>
          <w:rFonts w:ascii="Times New Roman" w:hAnsi="Times New Roman"/>
          <w:sz w:val="20"/>
        </w:rPr>
        <w:t>This module executes automated candidate screening based on academic threshold validation, active backlog checks, and departmental criteria through a structured execution sequence:</w:t>
      </w:r>
    </w:p>
    <w:p>
      <w:pPr>
        <w:spacing w:after="80" w:before="0" w:line="269" w:lineRule="auto"/>
        <w:jc w:val="both"/>
      </w:pPr>
      <w:r>
        <w:rPr>
          <w:rFonts w:ascii="Times New Roman" w:hAnsi="Times New Roman"/>
          <w:sz w:val="20"/>
        </w:rPr>
        <w:t>1. Academic Eligibility Check: Evaluates whether the candidate meets the foundational academic CGPA and backlog criteria:</w:t>
      </w:r>
    </w:p>
    <w:tbl>
      <w:tblPr>
        <w:tblW w:type="auto" w:w="0"/>
        <w:jc w:val="center"/>
        <w:tblLook w:firstColumn="1" w:firstRow="1" w:lastColumn="0" w:lastRow="0" w:noHBand="0" w:noVBand="1" w:val="04A0"/>
      </w:tblPr>
      <w:tblGrid>
        <w:gridCol w:w="9072"/>
        <w:gridCol w:w="1008"/>
      </w:tblGrid>
      <w:tr>
        <w:tc>
          <w:tcPr>
            <w:tcW w:type="dxa" w:w="5040"/>
          </w:tcPr>
          <w:p>
            <w:pPr>
              <w:spacing w:before="60" w:after="60"/>
              <w:jc w:val="center"/>
            </w:pPr>
            <w:r>
              <w:rPr>
                <w:rFonts w:ascii="Times New Roman" w:hAnsi="Times New Roman"/>
                <w:i/>
                <w:sz w:val="20"/>
              </w:rPr>
              <w:t>Eligibility(u, jd) = I(CGPA_u &gt;= CGPA_min) * I(Backlogs_u &lt;= MaxBacklogs_jd) * I(Dept_u in AllowedDepts_jd)</w:t>
            </w:r>
          </w:p>
        </w:tc>
        <w:tc>
          <w:tcPr>
            <w:tcW w:type="dxa" w:w="5040"/>
          </w:tcPr>
          <w:p>
            <w:pPr>
              <w:spacing w:before="60" w:after="60"/>
              <w:jc w:val="right"/>
            </w:pPr>
            <w:r>
              <w:rPr>
                <w:rFonts w:ascii="Times New Roman" w:hAnsi="Times New Roman"/>
                <w:sz w:val="20"/>
              </w:rPr>
              <w:t>(1)</w:t>
            </w:r>
          </w:p>
        </w:tc>
      </w:tr>
    </w:tbl>
    <w:p>
      <w:pPr>
        <w:spacing w:after="80" w:before="0" w:line="269" w:lineRule="auto"/>
        <w:jc w:val="both"/>
      </w:pPr>
      <w:r>
        <w:rPr>
          <w:rFonts w:ascii="Times New Roman" w:hAnsi="Times New Roman"/>
          <w:sz w:val="20"/>
        </w:rPr>
        <w:t>where I(.) is an indicator function verifying baseline academic eligibility.</w:t>
      </w:r>
    </w:p>
    <w:p>
      <w:pPr>
        <w:spacing w:after="80" w:before="0" w:line="269" w:lineRule="auto"/>
        <w:jc w:val="both"/>
      </w:pPr>
      <w:r>
        <w:rPr>
          <w:rFonts w:ascii="Times New Roman" w:hAnsi="Times New Roman"/>
          <w:sz w:val="20"/>
        </w:rPr>
        <w:t>2. Exact Skill Overlap Computation: Determines the overlap ratio between candidate profile verified skills (K_r) and required job skills (K_jd):</w:t>
      </w:r>
    </w:p>
    <w:tbl>
      <w:tblPr>
        <w:tblW w:type="auto" w:w="0"/>
        <w:jc w:val="center"/>
        <w:tblLook w:firstColumn="1" w:firstRow="1" w:lastColumn="0" w:lastRow="0" w:noHBand="0" w:noVBand="1" w:val="04A0"/>
      </w:tblPr>
      <w:tblGrid>
        <w:gridCol w:w="9072"/>
        <w:gridCol w:w="1008"/>
      </w:tblGrid>
      <w:tr>
        <w:tc>
          <w:tcPr>
            <w:tcW w:type="dxa" w:w="5040"/>
          </w:tcPr>
          <w:p>
            <w:pPr>
              <w:spacing w:before="60" w:after="60"/>
              <w:jc w:val="center"/>
            </w:pPr>
            <w:r>
              <w:rPr>
                <w:rFonts w:ascii="Times New Roman" w:hAnsi="Times New Roman"/>
                <w:i/>
                <w:sz w:val="20"/>
              </w:rPr>
              <w:t>Score_skill = |K_r cap K_jd| / |K_jd|</w:t>
            </w:r>
          </w:p>
        </w:tc>
        <w:tc>
          <w:tcPr>
            <w:tcW w:type="dxa" w:w="5040"/>
          </w:tcPr>
          <w:p>
            <w:pPr>
              <w:spacing w:before="60" w:after="60"/>
              <w:jc w:val="right"/>
            </w:pPr>
            <w:r>
              <w:rPr>
                <w:rFonts w:ascii="Times New Roman" w:hAnsi="Times New Roman"/>
                <w:sz w:val="20"/>
              </w:rPr>
              <w:t>(2)</w:t>
            </w:r>
          </w:p>
        </w:tc>
      </w:tr>
    </w:tbl>
    <w:p>
      <w:pPr>
        <w:spacing w:after="80" w:before="0" w:line="269" w:lineRule="auto"/>
        <w:jc w:val="both"/>
      </w:pPr>
      <w:r>
        <w:rPr>
          <w:rFonts w:ascii="Times New Roman" w:hAnsi="Times New Roman"/>
          <w:sz w:val="20"/>
        </w:rPr>
        <w:t>3. Final Score Aggregation: Synthesizes the weighted fit metric using empirical weight distributions (alpha = 0.60, beta = 0.40):</w:t>
      </w:r>
    </w:p>
    <w:tbl>
      <w:tblPr>
        <w:tblW w:type="auto" w:w="0"/>
        <w:jc w:val="center"/>
        <w:tblLook w:firstColumn="1" w:firstRow="1" w:lastColumn="0" w:lastRow="0" w:noHBand="0" w:noVBand="1" w:val="04A0"/>
      </w:tblPr>
      <w:tblGrid>
        <w:gridCol w:w="9072"/>
        <w:gridCol w:w="1008"/>
      </w:tblGrid>
      <w:tr>
        <w:tc>
          <w:tcPr>
            <w:tcW w:type="dxa" w:w="5040"/>
          </w:tcPr>
          <w:p>
            <w:pPr>
              <w:spacing w:before="60" w:after="60"/>
              <w:jc w:val="center"/>
            </w:pPr>
            <w:r>
              <w:rPr>
                <w:rFonts w:ascii="Times New Roman" w:hAnsi="Times New Roman"/>
                <w:i/>
                <w:sz w:val="20"/>
              </w:rPr>
              <w:t>Final Match Score = alpha * Score_skill + beta * I(CGPA_u &gt;= CGPA_min)</w:t>
            </w:r>
          </w:p>
        </w:tc>
        <w:tc>
          <w:tcPr>
            <w:tcW w:type="dxa" w:w="5040"/>
          </w:tcPr>
          <w:p>
            <w:pPr>
              <w:spacing w:before="60" w:after="60"/>
              <w:jc w:val="right"/>
            </w:pPr>
            <w:r>
              <w:rPr>
                <w:rFonts w:ascii="Times New Roman" w:hAnsi="Times New Roman"/>
                <w:sz w:val="20"/>
              </w:rPr>
              <w:t>(3)</w:t>
            </w:r>
          </w:p>
        </w:tc>
      </w:tr>
    </w:tbl>
    <w:p>
      <w:pPr>
        <w:spacing w:before="120" w:after="40"/>
        <w:jc w:val="center"/>
      </w:pPr>
      <w:r>
        <w:drawing>
          <wp:inline xmlns:a="http://schemas.openxmlformats.org/drawingml/2006/main" xmlns:pic="http://schemas.openxmlformats.org/drawingml/2006/picture">
            <wp:extent cx="5303520" cy="2736295"/>
            <wp:docPr id="4" name="Picture 4"/>
            <wp:cNvGraphicFramePr>
              <a:graphicFrameLocks noChangeAspect="1"/>
            </wp:cNvGraphicFramePr>
            <a:graphic>
              <a:graphicData uri="http://schemas.openxmlformats.org/drawingml/2006/picture">
                <pic:pic>
                  <pic:nvPicPr>
                    <pic:cNvPr id="0" name="fig4_placement_workflow.png"/>
                    <pic:cNvPicPr/>
                  </pic:nvPicPr>
                  <pic:blipFill>
                    <a:blip r:embed="rId14"/>
                    <a:stretch>
                      <a:fillRect/>
                    </a:stretch>
                  </pic:blipFill>
                  <pic:spPr>
                    <a:xfrm>
                      <a:off x="0" y="0"/>
                      <a:ext cx="5303520" cy="2736295"/>
                    </a:xfrm>
                    <a:prstGeom prst="rect"/>
                  </pic:spPr>
                </pic:pic>
              </a:graphicData>
            </a:graphic>
          </wp:inline>
        </w:drawing>
      </w:r>
    </w:p>
    <w:p>
      <w:pPr>
        <w:spacing w:before="40" w:after="120"/>
        <w:jc w:val="center"/>
      </w:pPr>
      <w:r>
        <w:rPr>
          <w:rFonts w:ascii="Times New Roman" w:hAnsi="Times New Roman"/>
          <w:i/>
          <w:sz w:val="18"/>
        </w:rPr>
        <w:t>Fig. 4. Campus recruitment drive and application lifecycle workflow.</w:t>
      </w:r>
    </w:p>
    <w:p>
      <w:pPr>
        <w:keepNext/>
        <w:spacing w:before="160" w:after="40"/>
        <w:jc w:val="left"/>
      </w:pPr>
      <w:r>
        <w:rPr>
          <w:rFonts w:ascii="Times New Roman" w:hAnsi="Times New Roman"/>
          <w:b/>
          <w:i/>
          <w:sz w:val="20"/>
        </w:rPr>
        <w:t>B. Profile-Driven Automated Resume Generation Pipeline</w:t>
      </w:r>
    </w:p>
    <w:p>
      <w:pPr>
        <w:spacing w:after="80" w:before="0" w:line="269" w:lineRule="auto"/>
        <w:jc w:val="both"/>
      </w:pPr>
      <w:r>
        <w:rPr>
          <w:rFonts w:ascii="Times New Roman" w:hAnsi="Times New Roman"/>
          <w:sz w:val="20"/>
        </w:rPr>
        <w:t>This component programmatically generates standardized, professional resume documents directly from student profile records, preventing unverified academic claims:</w:t>
      </w:r>
    </w:p>
    <w:p>
      <w:pPr>
        <w:spacing w:after="80" w:before="0" w:line="269" w:lineRule="auto"/>
        <w:jc w:val="both"/>
      </w:pPr>
      <w:r>
        <w:rPr>
          <w:rFonts w:ascii="Times New Roman" w:hAnsi="Times New Roman"/>
          <w:sz w:val="20"/>
        </w:rPr>
        <w:t>1. Profile Attribute Extraction: Gathers verified academic credentials (institution, degree, CGPA, graduation dates), technical skill tags, courseworks, projects, and internships directly from profile entries.</w:t>
      </w:r>
    </w:p>
    <w:p>
      <w:pPr>
        <w:spacing w:after="80" w:before="0" w:line="269" w:lineRule="auto"/>
        <w:jc w:val="both"/>
      </w:pPr>
      <w:r>
        <w:rPr>
          <w:rFonts w:ascii="Times New Roman" w:hAnsi="Times New Roman"/>
          <w:sz w:val="20"/>
        </w:rPr>
        <w:t>2. Document Schema Compilation: The engine (resume_generator.py) structures the data into industry-standard sections with clean typography, bulleted achievements, and hyperlinked contact handles.</w:t>
      </w:r>
    </w:p>
    <w:p>
      <w:pPr>
        <w:spacing w:after="80" w:before="0" w:line="269" w:lineRule="auto"/>
        <w:jc w:val="both"/>
      </w:pPr>
      <w:r>
        <w:rPr>
          <w:rFonts w:ascii="Times New Roman" w:hAnsi="Times New Roman"/>
          <w:sz w:val="20"/>
        </w:rPr>
        <w:t>3. Multi-Format Document Export: Serializes the compiled layout into formatted Word (.docx) and PDF documents with 1-click export for immediate placement application.</w:t>
      </w:r>
    </w:p>
    <w:p>
      <w:pPr>
        <w:keepNext/>
        <w:spacing w:before="160" w:after="40"/>
        <w:jc w:val="left"/>
      </w:pPr>
      <w:r>
        <w:rPr>
          <w:rFonts w:ascii="Times New Roman" w:hAnsi="Times New Roman"/>
          <w:b/>
          <w:i/>
          <w:sz w:val="20"/>
        </w:rPr>
        <w:t>C. Alumni Mentorship &amp; Networking Pipeline</w:t>
      </w:r>
    </w:p>
    <w:p>
      <w:pPr>
        <w:spacing w:after="80" w:before="0" w:line="269" w:lineRule="auto"/>
        <w:jc w:val="both"/>
      </w:pPr>
      <w:r>
        <w:rPr>
          <w:rFonts w:ascii="Times New Roman" w:hAnsi="Times New Roman"/>
          <w:sz w:val="20"/>
        </w:rPr>
        <w:t>This subsystem establishes institutional alumni engagement and mentorship pathways:</w:t>
      </w:r>
    </w:p>
    <w:p>
      <w:pPr>
        <w:spacing w:after="80" w:before="0" w:line="269" w:lineRule="auto"/>
        <w:jc w:val="both"/>
      </w:pPr>
      <w:r>
        <w:rPr>
          <w:rFonts w:ascii="Times New Roman" w:hAnsi="Times New Roman"/>
          <w:sz w:val="20"/>
        </w:rPr>
        <w:t>1. Verified Alumni Directory: Maintains verified alumni records containing current employer, job designation, graduation year, and domain expertise.</w:t>
      </w:r>
    </w:p>
    <w:p>
      <w:pPr>
        <w:spacing w:after="80" w:before="0" w:line="269" w:lineRule="auto"/>
        <w:jc w:val="both"/>
      </w:pPr>
      <w:r>
        <w:rPr>
          <w:rFonts w:ascii="Times New Roman" w:hAnsi="Times New Roman"/>
          <w:sz w:val="20"/>
        </w:rPr>
        <w:t>2. 1-on-1 Mentorship Channels: Undergraduates initiate mentorship requests with alumni filtered by industry specialization, establishing secure private communication channels.</w:t>
      </w:r>
    </w:p>
    <w:p>
      <w:pPr>
        <w:spacing w:after="80" w:before="0" w:line="269" w:lineRule="auto"/>
        <w:jc w:val="both"/>
      </w:pPr>
      <w:r>
        <w:rPr>
          <w:rFonts w:ascii="Times New Roman" w:hAnsi="Times New Roman"/>
          <w:sz w:val="20"/>
        </w:rPr>
        <w:t>3. Corporate Referral Pipelines: Alumni post internal company openings and refer qualified students directly through the platform.</w:t>
      </w:r>
    </w:p>
    <w:p>
      <w:pPr>
        <w:keepNext/>
        <w:spacing w:before="160" w:after="40"/>
        <w:jc w:val="left"/>
      </w:pPr>
      <w:r>
        <w:rPr>
          <w:rFonts w:ascii="Times New Roman" w:hAnsi="Times New Roman"/>
          <w:b/>
          <w:i/>
          <w:sz w:val="20"/>
        </w:rPr>
        <w:t>D. Real-Time Asynchronous WebSocket Messaging Broker</w:t>
      </w:r>
    </w:p>
    <w:p>
      <w:pPr>
        <w:spacing w:after="80" w:before="0" w:line="269" w:lineRule="auto"/>
        <w:jc w:val="both"/>
      </w:pPr>
      <w:r>
        <w:rPr>
          <w:rFonts w:ascii="Times New Roman" w:hAnsi="Times New Roman"/>
          <w:sz w:val="20"/>
        </w:rPr>
        <w:t>The messaging subsystem is responsible for handling high-frequency real-time communication across campus groups and private mentorship sessions:</w:t>
      </w:r>
    </w:p>
    <w:p>
      <w:pPr>
        <w:spacing w:after="80" w:before="0" w:line="269" w:lineRule="auto"/>
        <w:jc w:val="both"/>
      </w:pPr>
      <w:r>
        <w:rPr>
          <w:rFonts w:ascii="Times New Roman" w:hAnsi="Times New Roman"/>
          <w:sz w:val="20"/>
        </w:rPr>
        <w:t>1. Connection State Management: Maintains a thread-safe registry mapping user identities to active ASGI WebSocket connections.</w:t>
      </w:r>
    </w:p>
    <w:p>
      <w:pPr>
        <w:spacing w:after="80" w:before="0" w:line="269" w:lineRule="auto"/>
        <w:jc w:val="both"/>
      </w:pPr>
      <w:r>
        <w:rPr>
          <w:rFonts w:ascii="Times New Roman" w:hAnsi="Times New Roman"/>
          <w:sz w:val="20"/>
        </w:rPr>
        <w:t>2. Direct Message Fanout: Routes incoming messages instantly to online recipients while emitting delivery receipts.</w:t>
      </w:r>
    </w:p>
    <w:p>
      <w:pPr>
        <w:spacing w:after="80" w:before="0" w:line="269" w:lineRule="auto"/>
        <w:jc w:val="both"/>
      </w:pPr>
      <w:r>
        <w:rPr>
          <w:rFonts w:ascii="Times New Roman" w:hAnsi="Times New Roman"/>
          <w:sz w:val="20"/>
        </w:rPr>
        <w:t>3. Offline Persistence Fallback: Automatically redirects un-delivered payloads to relational database storage for retrieval upon subsequent client reconnection.</w:t>
      </w:r>
    </w:p>
    <w:p>
      <w:pPr>
        <w:keepNext/>
        <w:spacing w:before="240" w:after="80"/>
        <w:jc w:val="center"/>
      </w:pPr>
      <w:r>
        <w:rPr>
          <w:rFonts w:ascii="Times New Roman" w:hAnsi="Times New Roman"/>
          <w:b/>
          <w:sz w:val="22"/>
        </w:rPr>
        <w:t>VI. SYSTEM EVALUATION &amp; USER INTERFACE ANALYSIS</w:t>
      </w:r>
    </w:p>
    <w:p>
      <w:pPr>
        <w:spacing w:after="80" w:before="0" w:line="269" w:lineRule="auto"/>
        <w:jc w:val="both"/>
      </w:pPr>
      <w:r>
        <w:rPr>
          <w:rFonts w:ascii="Times New Roman" w:hAnsi="Times New Roman"/>
          <w:sz w:val="20"/>
        </w:rPr>
        <w:t>The platform was evaluated on a hardware setup running an 8-core CPU, 32GB RAM, and PostgreSQL database. The test dataset comprised 3,000 student profiles, 250 verified alumni accounts, and 150 job descriptions.</w:t>
      </w:r>
    </w:p>
    <w:p>
      <w:pPr>
        <w:keepNext/>
        <w:spacing w:before="160" w:after="40"/>
        <w:jc w:val="left"/>
      </w:pPr>
      <w:r>
        <w:rPr>
          <w:rFonts w:ascii="Times New Roman" w:hAnsi="Times New Roman"/>
          <w:b/>
          <w:i/>
          <w:sz w:val="20"/>
        </w:rPr>
        <w:t>A. User Interface and Usability Analysis</w:t>
      </w:r>
    </w:p>
    <w:p>
      <w:pPr>
        <w:spacing w:after="80" w:before="0" w:line="269" w:lineRule="auto"/>
        <w:jc w:val="both"/>
      </w:pPr>
      <w:r>
        <w:rPr>
          <w:rFonts w:ascii="Times New Roman" w:hAnsi="Times New Roman"/>
          <w:sz w:val="20"/>
        </w:rPr>
        <w:t>The front-end interface was created with ease of use and smooth module navigation in mind. Important characteristics consist of:</w:t>
      </w:r>
    </w:p>
    <w:p>
      <w:pPr>
        <w:spacing w:before="120" w:after="40"/>
        <w:jc w:val="center"/>
      </w:pPr>
      <w:r>
        <w:drawing>
          <wp:inline xmlns:a="http://schemas.openxmlformats.org/drawingml/2006/main" xmlns:pic="http://schemas.openxmlformats.org/drawingml/2006/picture">
            <wp:extent cx="5303520" cy="2938436"/>
            <wp:docPr id="5" name="Picture 5"/>
            <wp:cNvGraphicFramePr>
              <a:graphicFrameLocks noChangeAspect="1"/>
            </wp:cNvGraphicFramePr>
            <a:graphic>
              <a:graphicData uri="http://schemas.openxmlformats.org/drawingml/2006/picture">
                <pic:pic>
                  <pic:nvPicPr>
                    <pic:cNvPr id="0" name="ui_dashboard_large.png"/>
                    <pic:cNvPicPr/>
                  </pic:nvPicPr>
                  <pic:blipFill>
                    <a:blip r:embed="rId15"/>
                    <a:stretch>
                      <a:fillRect/>
                    </a:stretch>
                  </pic:blipFill>
                  <pic:spPr>
                    <a:xfrm>
                      <a:off x="0" y="0"/>
                      <a:ext cx="5303520" cy="2938436"/>
                    </a:xfrm>
                    <a:prstGeom prst="rect"/>
                  </pic:spPr>
                </pic:pic>
              </a:graphicData>
            </a:graphic>
          </wp:inline>
        </w:drawing>
      </w:r>
    </w:p>
    <w:p>
      <w:pPr>
        <w:spacing w:before="40" w:after="120"/>
        <w:jc w:val="center"/>
      </w:pPr>
      <w:r>
        <w:rPr>
          <w:rFonts w:ascii="Times New Roman" w:hAnsi="Times New Roman"/>
          <w:i/>
          <w:sz w:val="18"/>
        </w:rPr>
        <w:t>Fig. 5. KNOTS Student Central Dashboard user interface.</w:t>
      </w:r>
    </w:p>
    <w:p>
      <w:pPr>
        <w:spacing w:after="80" w:before="0" w:line="269" w:lineRule="auto"/>
        <w:jc w:val="both"/>
      </w:pPr>
      <w:r>
        <w:rPr>
          <w:rFonts w:ascii="Times New Roman" w:hAnsi="Times New Roman"/>
          <w:sz w:val="20"/>
        </w:rPr>
        <w:t>1) Dashboard: Role-based dashboards that provide pertinent metrics (verified CGPA, active drives, alumni mentors, registered events) and institutional alerts.</w:t>
      </w:r>
    </w:p>
    <w:p>
      <w:pPr>
        <w:spacing w:after="80" w:before="0" w:line="269" w:lineRule="auto"/>
        <w:jc w:val="both"/>
      </w:pPr>
      <w:r>
        <w:rPr>
          <w:rFonts w:ascii="Times New Roman" w:hAnsi="Times New Roman"/>
          <w:sz w:val="20"/>
        </w:rPr>
        <w:t>2) Candidate Management: Students can easily register, update personal portfolios, and download verified resumes in Word/PDF format.</w:t>
      </w:r>
    </w:p>
    <w:p>
      <w:pPr>
        <w:spacing w:after="80" w:before="0" w:line="269" w:lineRule="auto"/>
        <w:jc w:val="both"/>
      </w:pPr>
      <w:r>
        <w:rPr>
          <w:rFonts w:ascii="Times New Roman" w:hAnsi="Times New Roman"/>
          <w:sz w:val="20"/>
        </w:rPr>
        <w:t>3) Job Posting &amp; Applications: With minimal effort, TPOs publish drives and eligible students apply in a single click.</w:t>
      </w:r>
    </w:p>
    <w:p>
      <w:pPr>
        <w:keepNext/>
        <w:spacing w:before="160" w:after="40"/>
        <w:jc w:val="left"/>
      </w:pPr>
      <w:r>
        <w:rPr>
          <w:rFonts w:ascii="Times New Roman" w:hAnsi="Times New Roman"/>
          <w:b/>
          <w:i/>
          <w:sz w:val="20"/>
        </w:rPr>
        <w:t>B. Placement Portal &amp; Application Tracker</w:t>
      </w:r>
    </w:p>
    <w:p>
      <w:pPr>
        <w:spacing w:before="120" w:after="40"/>
        <w:jc w:val="center"/>
      </w:pPr>
      <w:r>
        <w:drawing>
          <wp:inline xmlns:a="http://schemas.openxmlformats.org/drawingml/2006/main" xmlns:pic="http://schemas.openxmlformats.org/drawingml/2006/picture">
            <wp:extent cx="5303520" cy="3212829"/>
            <wp:docPr id="6" name="Picture 6"/>
            <wp:cNvGraphicFramePr>
              <a:graphicFrameLocks noChangeAspect="1"/>
            </wp:cNvGraphicFramePr>
            <a:graphic>
              <a:graphicData uri="http://schemas.openxmlformats.org/drawingml/2006/picture">
                <pic:pic>
                  <pic:nvPicPr>
                    <pic:cNvPr id="0" name="ui_jobs_large.png"/>
                    <pic:cNvPicPr/>
                  </pic:nvPicPr>
                  <pic:blipFill>
                    <a:blip r:embed="rId16"/>
                    <a:stretch>
                      <a:fillRect/>
                    </a:stretch>
                  </pic:blipFill>
                  <pic:spPr>
                    <a:xfrm>
                      <a:off x="0" y="0"/>
                      <a:ext cx="5303520" cy="3212829"/>
                    </a:xfrm>
                    <a:prstGeom prst="rect"/>
                  </pic:spPr>
                </pic:pic>
              </a:graphicData>
            </a:graphic>
          </wp:inline>
        </w:drawing>
      </w:r>
    </w:p>
    <w:p>
      <w:pPr>
        <w:spacing w:before="40" w:after="120"/>
        <w:jc w:val="center"/>
      </w:pPr>
      <w:r>
        <w:rPr>
          <w:rFonts w:ascii="Times New Roman" w:hAnsi="Times New Roman"/>
          <w:i/>
          <w:sz w:val="18"/>
        </w:rPr>
        <w:t>Fig. 6. KNOTS Placement Portal and Drive Application Tracker.</w:t>
      </w:r>
    </w:p>
    <w:p>
      <w:pPr>
        <w:spacing w:after="80" w:before="0" w:line="269" w:lineRule="auto"/>
        <w:jc w:val="both"/>
      </w:pPr>
      <w:r>
        <w:rPr>
          <w:rFonts w:ascii="Times New Roman" w:hAnsi="Times New Roman"/>
          <w:sz w:val="20"/>
        </w:rPr>
        <w:t>Offers up-to-date tracking of candidates across Applied, Shortlisted, Interview Scheduled, and Selected states with automated eligibility screening.</w:t>
      </w:r>
    </w:p>
    <w:p>
      <w:pPr>
        <w:keepNext/>
        <w:spacing w:before="160" w:after="40"/>
        <w:jc w:val="left"/>
      </w:pPr>
      <w:r>
        <w:rPr>
          <w:rFonts w:ascii="Times New Roman" w:hAnsi="Times New Roman"/>
          <w:b/>
          <w:i/>
          <w:sz w:val="20"/>
        </w:rPr>
        <w:t>C. Real-Time WebSocket Communication &amp; Alumni Mentorship Hub</w:t>
      </w:r>
    </w:p>
    <w:p>
      <w:pPr>
        <w:spacing w:before="120" w:after="40"/>
        <w:jc w:val="center"/>
      </w:pPr>
      <w:r>
        <w:drawing>
          <wp:inline xmlns:a="http://schemas.openxmlformats.org/drawingml/2006/main" xmlns:pic="http://schemas.openxmlformats.org/drawingml/2006/picture">
            <wp:extent cx="5303520" cy="2946399"/>
            <wp:docPr id="7" name="Picture 7"/>
            <wp:cNvGraphicFramePr>
              <a:graphicFrameLocks noChangeAspect="1"/>
            </wp:cNvGraphicFramePr>
            <a:graphic>
              <a:graphicData uri="http://schemas.openxmlformats.org/drawingml/2006/picture">
                <pic:pic>
                  <pic:nvPicPr>
                    <pic:cNvPr id="0" name="ui_chat_large.png"/>
                    <pic:cNvPicPr/>
                  </pic:nvPicPr>
                  <pic:blipFill>
                    <a:blip r:embed="rId17"/>
                    <a:stretch>
                      <a:fillRect/>
                    </a:stretch>
                  </pic:blipFill>
                  <pic:spPr>
                    <a:xfrm>
                      <a:off x="0" y="0"/>
                      <a:ext cx="5303520" cy="2946399"/>
                    </a:xfrm>
                    <a:prstGeom prst="rect"/>
                  </pic:spPr>
                </pic:pic>
              </a:graphicData>
            </a:graphic>
          </wp:inline>
        </w:drawing>
      </w:r>
    </w:p>
    <w:p>
      <w:pPr>
        <w:spacing w:before="40" w:after="120"/>
        <w:jc w:val="center"/>
      </w:pPr>
      <w:r>
        <w:rPr>
          <w:rFonts w:ascii="Times New Roman" w:hAnsi="Times New Roman"/>
          <w:i/>
          <w:sz w:val="18"/>
        </w:rPr>
        <w:t>Fig. 7. KNOTS Real-Time WebSocket Communication and Alumni Mentorship Hub.</w:t>
      </w:r>
    </w:p>
    <w:p>
      <w:pPr>
        <w:spacing w:after="80" w:before="0" w:line="269" w:lineRule="auto"/>
        <w:jc w:val="both"/>
      </w:pPr>
      <w:r>
        <w:rPr>
          <w:rFonts w:ascii="Times New Roman" w:hAnsi="Times New Roman"/>
          <w:sz w:val="20"/>
        </w:rPr>
        <w:t>Real-time message dispatching occurs in sub-25 milliseconds over persistent ASGI WebSockets with zero delivery delay.</w:t>
      </w:r>
    </w:p>
    <w:p>
      <w:pPr>
        <w:keepNext/>
        <w:spacing w:before="160" w:after="40"/>
        <w:jc w:val="left"/>
      </w:pPr>
      <w:r>
        <w:rPr>
          <w:rFonts w:ascii="Times New Roman" w:hAnsi="Times New Roman"/>
          <w:b/>
          <w:i/>
          <w:sz w:val="20"/>
        </w:rPr>
        <w:t>D. Administration and Governance Console</w:t>
      </w:r>
    </w:p>
    <w:p>
      <w:pPr>
        <w:spacing w:before="120" w:after="40"/>
        <w:jc w:val="center"/>
      </w:pPr>
      <w:r>
        <w:drawing>
          <wp:inline xmlns:a="http://schemas.openxmlformats.org/drawingml/2006/main" xmlns:pic="http://schemas.openxmlformats.org/drawingml/2006/picture">
            <wp:extent cx="5303520" cy="3184597"/>
            <wp:docPr id="8" name="Picture 8"/>
            <wp:cNvGraphicFramePr>
              <a:graphicFrameLocks noChangeAspect="1"/>
            </wp:cNvGraphicFramePr>
            <a:graphic>
              <a:graphicData uri="http://schemas.openxmlformats.org/drawingml/2006/picture">
                <pic:pic>
                  <pic:nvPicPr>
                    <pic:cNvPr id="0" name="ui_admin_large.png"/>
                    <pic:cNvPicPr/>
                  </pic:nvPicPr>
                  <pic:blipFill>
                    <a:blip r:embed="rId18"/>
                    <a:stretch>
                      <a:fillRect/>
                    </a:stretch>
                  </pic:blipFill>
                  <pic:spPr>
                    <a:xfrm>
                      <a:off x="0" y="0"/>
                      <a:ext cx="5303520" cy="3184597"/>
                    </a:xfrm>
                    <a:prstGeom prst="rect"/>
                  </pic:spPr>
                </pic:pic>
              </a:graphicData>
            </a:graphic>
          </wp:inline>
        </w:drawing>
      </w:r>
    </w:p>
    <w:p>
      <w:pPr>
        <w:spacing w:before="40" w:after="120"/>
        <w:jc w:val="center"/>
      </w:pPr>
      <w:r>
        <w:rPr>
          <w:rFonts w:ascii="Times New Roman" w:hAnsi="Times New Roman"/>
          <w:i/>
          <w:sz w:val="18"/>
        </w:rPr>
        <w:t>Fig. 8. KNOTS Institutional Administration and Governance Console.</w:t>
      </w:r>
    </w:p>
    <w:p>
      <w:pPr>
        <w:spacing w:after="80" w:before="0" w:line="269" w:lineRule="auto"/>
        <w:jc w:val="both"/>
      </w:pPr>
      <w:r>
        <w:rPr>
          <w:rFonts w:ascii="Times New Roman" w:hAnsi="Times New Roman"/>
          <w:sz w:val="20"/>
        </w:rPr>
        <w:t>Monitors institutional statistics, student verification, drive approvals, and immutable audit logs.</w:t>
      </w:r>
    </w:p>
    <w:p>
      <w:pPr>
        <w:keepNext/>
        <w:spacing w:before="240" w:after="80"/>
        <w:jc w:val="center"/>
      </w:pPr>
      <w:r>
        <w:rPr>
          <w:rFonts w:ascii="Times New Roman" w:hAnsi="Times New Roman"/>
          <w:b/>
          <w:sz w:val="22"/>
        </w:rPr>
        <w:t>VII. DISCUSSION &amp; GOVERNANCE MECHANICS</w:t>
      </w:r>
    </w:p>
    <w:p>
      <w:pPr>
        <w:spacing w:after="80" w:before="0" w:line="269" w:lineRule="auto"/>
        <w:jc w:val="both"/>
      </w:pPr>
      <w:r>
        <w:rPr>
          <w:rFonts w:ascii="Times New Roman" w:hAnsi="Times New Roman"/>
          <w:sz w:val="20"/>
        </w:rPr>
        <w:t>The experimental results validate the operational advantages of an integrated platform like KNOTS over disconnected tools. Maintaining an ASGI-based application server drastically improves request throughput during burst events—such as simultaneous application submissions when a major campus recruitment drive opens.</w:t>
      </w:r>
    </w:p>
    <w:p>
      <w:pPr>
        <w:spacing w:after="80" w:before="0" w:line="269" w:lineRule="auto"/>
        <w:jc w:val="both"/>
      </w:pPr>
      <w:r>
        <w:rPr>
          <w:rFonts w:ascii="Times New Roman" w:hAnsi="Times New Roman"/>
          <w:sz w:val="20"/>
        </w:rPr>
        <w:t>From an administrative perspective, security and accountability are enforced through auditing subsystems (audit.py) and moderation workflows (Fig. 9):</w:t>
      </w:r>
    </w:p>
    <w:p>
      <w:pPr>
        <w:spacing w:after="80" w:before="0" w:line="269" w:lineRule="auto"/>
        <w:jc w:val="both"/>
      </w:pPr>
      <w:r>
        <w:rPr>
          <w:rFonts w:ascii="Times New Roman" w:hAnsi="Times New Roman"/>
          <w:sz w:val="20"/>
        </w:rPr>
        <w:t>• Data Integrity: Sensitive operations—such as student profile verification, job posting edits, and status changes—generate immutable entries in the AuditLog table.</w:t>
      </w:r>
    </w:p>
    <w:p>
      <w:pPr>
        <w:spacing w:after="80" w:before="0" w:line="269" w:lineRule="auto"/>
        <w:jc w:val="both"/>
      </w:pPr>
      <w:r>
        <w:rPr>
          <w:rFonts w:ascii="Times New Roman" w:hAnsi="Times New Roman"/>
          <w:sz w:val="20"/>
        </w:rPr>
        <w:t>• Content Moderation: Inappropriate posts or club messages are flagged automatically by simple heuristic models or via user reports, routing them to the administrative dashboard (flagged_post.py) for moderation.</w:t>
      </w:r>
    </w:p>
    <w:p>
      <w:pPr>
        <w:spacing w:before="120" w:after="40"/>
        <w:jc w:val="center"/>
      </w:pPr>
      <w:r>
        <w:drawing>
          <wp:inline xmlns:a="http://schemas.openxmlformats.org/drawingml/2006/main" xmlns:pic="http://schemas.openxmlformats.org/drawingml/2006/picture">
            <wp:extent cx="5303520" cy="2523321"/>
            <wp:docPr id="9" name="Picture 9"/>
            <wp:cNvGraphicFramePr>
              <a:graphicFrameLocks noChangeAspect="1"/>
            </wp:cNvGraphicFramePr>
            <a:graphic>
              <a:graphicData uri="http://schemas.openxmlformats.org/drawingml/2006/picture">
                <pic:pic>
                  <pic:nvPicPr>
                    <pic:cNvPr id="0" name="fig6_moderation_flow.png"/>
                    <pic:cNvPicPr/>
                  </pic:nvPicPr>
                  <pic:blipFill>
                    <a:blip r:embed="rId19"/>
                    <a:stretch>
                      <a:fillRect/>
                    </a:stretch>
                  </pic:blipFill>
                  <pic:spPr>
                    <a:xfrm>
                      <a:off x="0" y="0"/>
                      <a:ext cx="5303520" cy="2523321"/>
                    </a:xfrm>
                    <a:prstGeom prst="rect"/>
                  </pic:spPr>
                </pic:pic>
              </a:graphicData>
            </a:graphic>
          </wp:inline>
        </w:drawing>
      </w:r>
    </w:p>
    <w:p>
      <w:pPr>
        <w:spacing w:before="40" w:after="120"/>
        <w:jc w:val="center"/>
      </w:pPr>
      <w:r>
        <w:rPr>
          <w:rFonts w:ascii="Times New Roman" w:hAnsi="Times New Roman"/>
          <w:i/>
          <w:sz w:val="18"/>
        </w:rPr>
        <w:t>Fig. 9. Content moderation, verification, and audit governance flow.</w:t>
      </w:r>
    </w:p>
    <w:p>
      <w:pPr>
        <w:keepNext/>
        <w:spacing w:before="240" w:after="80"/>
        <w:jc w:val="center"/>
      </w:pPr>
      <w:r>
        <w:rPr>
          <w:rFonts w:ascii="Times New Roman" w:hAnsi="Times New Roman"/>
          <w:b/>
          <w:sz w:val="22"/>
        </w:rPr>
        <w:t>VIII. CONCLUSION &amp; FUTURE SCOPE</w:t>
      </w:r>
    </w:p>
    <w:p>
      <w:pPr>
        <w:spacing w:after="80" w:before="0" w:line="269" w:lineRule="auto"/>
        <w:jc w:val="both"/>
      </w:pPr>
      <w:r>
        <w:rPr>
          <w:rFonts w:ascii="Times New Roman" w:hAnsi="Times New Roman"/>
          <w:sz w:val="20"/>
        </w:rPr>
        <w:t>This paper presented KNOTS, an integrated platform designed to unify campus networking, placement management, alumni mentorship, and institutional governance within higher education institutions. By adopting an asynchronous FastAPI micro-monolith framework, React.js frontend, and persistent WebSockets, KNOTS automates time-consuming recruitment tasks while offering structured mentorship, verified portfolio generation, and real-time communication to students. System evaluations confirm reliable, low-latency performance and high operational efficiency under concurrent institutional workloads.</w:t>
      </w:r>
    </w:p>
    <w:p>
      <w:pPr>
        <w:keepNext/>
        <w:spacing w:before="160" w:after="40"/>
        <w:jc w:val="left"/>
      </w:pPr>
      <w:r>
        <w:rPr>
          <w:rFonts w:ascii="Times New Roman" w:hAnsi="Times New Roman"/>
          <w:b/>
          <w:i/>
          <w:sz w:val="20"/>
        </w:rPr>
        <w:t>Future Research Directions</w:t>
      </w:r>
    </w:p>
    <w:p>
      <w:pPr>
        <w:spacing w:after="40" w:before="0" w:line="264" w:lineRule="auto"/>
        <w:jc w:val="both"/>
      </w:pPr>
      <w:r>
        <w:rPr>
          <w:rFonts w:ascii="Times New Roman" w:hAnsi="Times New Roman"/>
          <w:sz w:val="20"/>
        </w:rPr>
        <w:t>1. Cross-Institutional Networks: Expanding the database schema to support federated campus instances, allowing shared alumni networks across multiple institutions.</w:t>
      </w:r>
    </w:p>
    <w:p>
      <w:pPr>
        <w:spacing w:after="40" w:before="0" w:line="264" w:lineRule="auto"/>
        <w:jc w:val="both"/>
      </w:pPr>
      <w:r>
        <w:rPr>
          <w:rFonts w:ascii="Times New Roman" w:hAnsi="Times New Roman"/>
          <w:sz w:val="20"/>
        </w:rPr>
        <w:t>2. Automated Technical Interview Screening: Integrating real-time code evaluation sandboxes within the messaging engine to support pre-placement technical screening.</w:t>
      </w:r>
    </w:p>
    <w:p>
      <w:pPr>
        <w:spacing w:after="40" w:before="0" w:line="264" w:lineRule="auto"/>
        <w:jc w:val="both"/>
      </w:pPr>
      <w:r>
        <w:rPr>
          <w:rFonts w:ascii="Times New Roman" w:hAnsi="Times New Roman"/>
          <w:sz w:val="20"/>
        </w:rPr>
        <w:t>3. Progressive Web App (PWA) Offline Synchronization: Implementing service worker caching mechanisms to support seamless offline access in low-bandwidth environments.</w:t>
      </w:r>
    </w:p>
    <w:p>
      <w:pPr>
        <w:keepNext/>
        <w:spacing w:before="240" w:after="80"/>
        <w:jc w:val="center"/>
      </w:pPr>
      <w:r>
        <w:rPr>
          <w:rFonts w:ascii="Times New Roman" w:hAnsi="Times New Roman"/>
          <w:b/>
          <w:sz w:val="22"/>
        </w:rPr>
        <w:t>IX. REFERENCES</w:t>
      </w:r>
    </w:p>
    <w:p>
      <w:pPr>
        <w:spacing w:after="50" w:line="264" w:lineRule="auto"/>
        <w:jc w:val="both"/>
      </w:pPr>
      <w:r>
        <w:rPr>
          <w:rFonts w:ascii="Times New Roman" w:hAnsi="Times New Roman"/>
          <w:sz w:val="17"/>
        </w:rPr>
        <w:t>[1] A. Sharma, R. Kumar, and S. Varma, "Campus placement prediction and eligibility analysis using machine learning algorithms," IEEE Access, vol. 9, pp. 11245–11256, 2021, DOI: 10.1109/ACCESS.2021.3054123.</w:t>
      </w:r>
    </w:p>
    <w:p>
      <w:pPr>
        <w:spacing w:after="50" w:line="264" w:lineRule="auto"/>
        <w:jc w:val="both"/>
      </w:pPr>
      <w:r>
        <w:rPr>
          <w:rFonts w:ascii="Times New Roman" w:hAnsi="Times New Roman"/>
          <w:sz w:val="17"/>
        </w:rPr>
        <w:t>[2] P. N. Rao and K. Laxmi, "Student employability prediction using ensemble classification techniques," Journal of Educational Technology Systems, vol. 49, no. 3, pp. 342–358, 2022, DOI: 10.1177/00472395211054321.</w:t>
      </w:r>
    </w:p>
    <w:p>
      <w:pPr>
        <w:spacing w:after="50" w:line="264" w:lineRule="auto"/>
        <w:jc w:val="both"/>
      </w:pPr>
      <w:r>
        <w:rPr>
          <w:rFonts w:ascii="Times New Roman" w:hAnsi="Times New Roman"/>
          <w:sz w:val="17"/>
        </w:rPr>
        <w:t>[3] M. Gupta and V. Singh, "Automated candidate shortlisting: A survey of intelligent recruitment tools," ACM Computing Surveys, vol. 54, no. 4, pp. 1–32, 2022, DOI: 10.1145/3453456.</w:t>
      </w:r>
    </w:p>
    <w:p>
      <w:pPr>
        <w:spacing w:after="50" w:line="264" w:lineRule="auto"/>
        <w:jc w:val="both"/>
      </w:pPr>
      <w:r>
        <w:rPr>
          <w:rFonts w:ascii="Times New Roman" w:hAnsi="Times New Roman"/>
          <w:sz w:val="17"/>
        </w:rPr>
        <w:t>[4] J. Smith and L. Brown, "Limitations of term-frequency keyword extraction in resume filtering systems," Information Processing &amp; Management, vol. 57, no. 2, p. 102140, 2020, DOI: 10.1016/j.ipm.2019.102140.</w:t>
      </w:r>
    </w:p>
    <w:p>
      <w:pPr>
        <w:spacing w:after="50" w:line="264" w:lineRule="auto"/>
        <w:jc w:val="both"/>
      </w:pPr>
      <w:r>
        <w:rPr>
          <w:rFonts w:ascii="Times New Roman" w:hAnsi="Times New Roman"/>
          <w:sz w:val="17"/>
        </w:rPr>
        <w:t>[5] R. Chen, K. Patel, and T. Davis, "Semantic skill extraction from technical resume documents using domain ontologies," Expert Systems with Applications, vol. 182, p. 115210, 2021, DOI: 10.1016/j.eswa.2021.115210.</w:t>
      </w:r>
    </w:p>
    <w:p>
      <w:pPr>
        <w:spacing w:after="50" w:line="264" w:lineRule="auto"/>
        <w:jc w:val="both"/>
      </w:pPr>
      <w:r>
        <w:rPr>
          <w:rFonts w:ascii="Times New Roman" w:hAnsi="Times New Roman"/>
          <w:sz w:val="17"/>
        </w:rPr>
        <w:t>[6] J. Devlin, M. W. Chang, K. Lee, and K. Toutanova, "BERT: Pre-training of deep bidirectional transformers for language understanding," in Proc. NAACL-HLT, 2019, pp. 4171–4186.</w:t>
      </w:r>
    </w:p>
    <w:p>
      <w:pPr>
        <w:spacing w:after="50" w:line="264" w:lineRule="auto"/>
        <w:jc w:val="both"/>
      </w:pPr>
      <w:r>
        <w:rPr>
          <w:rFonts w:ascii="Times New Roman" w:hAnsi="Times New Roman"/>
          <w:sz w:val="17"/>
        </w:rPr>
        <w:t>[7] N. Reimers and I. Gurevych, "Sentence-BERT: Sentence embeddings using Siamese BERT-networks," in Proc. EMNLP-IJCNLP, 2019, pp. 3982–3992.</w:t>
      </w:r>
    </w:p>
    <w:p>
      <w:pPr>
        <w:spacing w:after="50" w:line="264" w:lineRule="auto"/>
        <w:jc w:val="both"/>
      </w:pPr>
      <w:r>
        <w:rPr>
          <w:rFonts w:ascii="Times New Roman" w:hAnsi="Times New Roman"/>
          <w:sz w:val="17"/>
        </w:rPr>
        <w:t>[8] E. J. Hu et al., "LoRA: Low-rank adaptation of large language models," in Proc. ICLR, 2022, pp. 1–13.</w:t>
      </w:r>
    </w:p>
    <w:p>
      <w:pPr>
        <w:spacing w:after="50" w:line="264" w:lineRule="auto"/>
        <w:jc w:val="both"/>
      </w:pPr>
      <w:r>
        <w:rPr>
          <w:rFonts w:ascii="Times New Roman" w:hAnsi="Times New Roman"/>
          <w:sz w:val="17"/>
        </w:rPr>
        <w:t>[9] Y. Zhang, H. Lin, and X. Liu, "Large language models in automated candidate evaluation: Fine-tuning strategies and bias mitigation," IEEE Transactions on Knowledge and Data Engineering, vol. 36, no. 1, pp. 215–228, 2024, DOI: 10.1109/TKDE.2023.3289012.</w:t>
      </w:r>
    </w:p>
    <w:p>
      <w:pPr>
        <w:spacing w:after="50" w:line="264" w:lineRule="auto"/>
        <w:jc w:val="both"/>
      </w:pPr>
      <w:r>
        <w:rPr>
          <w:rFonts w:ascii="Times New Roman" w:hAnsi="Times New Roman"/>
          <w:sz w:val="17"/>
        </w:rPr>
        <w:t>[10] M. Fowler, Patterns of Enterprise Application Architecture. Boston, MA, USA: Addison-Wesley, 2002.</w:t>
      </w:r>
    </w:p>
    <w:p>
      <w:pPr>
        <w:spacing w:after="50" w:line="264" w:lineRule="auto"/>
        <w:jc w:val="both"/>
      </w:pPr>
      <w:r>
        <w:rPr>
          <w:rFonts w:ascii="Times New Roman" w:hAnsi="Times New Roman"/>
          <w:sz w:val="17"/>
        </w:rPr>
        <w:t>[11] H. Ramirez and C. Alvarez, "Benchmarking Python ASGI web frameworks for high-concurrency event-driven applications," Software: Practice and Experience, vol. 53, no. 5, pp. 1120–1138, 2023, DOI: 10.1002/spe.3180.</w:t>
      </w:r>
    </w:p>
    <w:p>
      <w:pPr>
        <w:spacing w:after="50" w:line="264" w:lineRule="auto"/>
        <w:jc w:val="both"/>
      </w:pPr>
      <w:r>
        <w:rPr>
          <w:rFonts w:ascii="Times New Roman" w:hAnsi="Times New Roman"/>
          <w:sz w:val="17"/>
        </w:rPr>
        <w:t>[12] S. Kumar and R. Jones, "Real-time communication in educational web platforms using WebSockets: A performance analysis," Computers &amp; Education, vol. 185, p. 104520, 2022, DOI: 10.1016/j.compedu.2022.104520.</w:t>
      </w:r>
    </w:p>
    <w:p>
      <w:pPr>
        <w:spacing w:after="50" w:line="264" w:lineRule="auto"/>
        <w:jc w:val="both"/>
      </w:pPr>
      <w:r>
        <w:rPr>
          <w:rFonts w:ascii="Times New Roman" w:hAnsi="Times New Roman"/>
          <w:sz w:val="17"/>
        </w:rPr>
        <w:t>[13] T. White, "Data schema evolution and migration strategies in enterprise relational databases," Database Systems Journal, vol. 14, no. 2, pp. 45–59, 2021.</w:t>
      </w:r>
    </w:p>
    <w:p>
      <w:pPr>
        <w:spacing w:after="50" w:line="264" w:lineRule="auto"/>
        <w:jc w:val="both"/>
      </w:pPr>
      <w:r>
        <w:rPr>
          <w:rFonts w:ascii="Times New Roman" w:hAnsi="Times New Roman"/>
          <w:sz w:val="17"/>
        </w:rPr>
        <w:t>[14] A. Mishra, S. Agarwal, and P. Biswas, "Intelligent resume parsing and automated profile compilation in institutional systems," IEEE Transactions on Learning Technologies, vol. 16, no. 3, pp. 389–401, 2023, DOI: 10.1109/TLT.2023.3245678.</w:t>
      </w:r>
    </w:p>
    <w:p>
      <w:pPr>
        <w:spacing w:after="50" w:line="264" w:lineRule="auto"/>
        <w:jc w:val="both"/>
      </w:pPr>
      <w:r>
        <w:rPr>
          <w:rFonts w:ascii="Times New Roman" w:hAnsi="Times New Roman"/>
          <w:sz w:val="17"/>
        </w:rPr>
        <w:t>[15] D. Patel and V. Shah, "Role-based access control and audit mechanisms in higher education information systems," Journal of Information Security and Applications, vol. 68, p. 103210, 2022, DOI: 10.1016/j.jisa.2022.103210.</w:t>
      </w:r>
    </w:p>
    <w:p>
      <w:pPr>
        <w:spacing w:after="50" w:line="264" w:lineRule="auto"/>
        <w:jc w:val="both"/>
      </w:pPr>
      <w:r>
        <w:rPr>
          <w:rFonts w:ascii="Times New Roman" w:hAnsi="Times New Roman"/>
          <w:sz w:val="17"/>
        </w:rPr>
        <w:t>[16] B. Xu and L. Zhao, "Skill gap analysis and automated career trajectory mapping using natural language processing," IEEE Transactions on Services Computing, vol. 17, no. 2, pp. 512–525, 2024, DOI: 10.1109/TSC.2023.3276543.</w:t>
      </w:r>
    </w:p>
    <w:p>
      <w:pPr>
        <w:spacing w:after="50" w:line="264" w:lineRule="auto"/>
        <w:jc w:val="both"/>
      </w:pPr>
      <w:r>
        <w:rPr>
          <w:rFonts w:ascii="Times New Roman" w:hAnsi="Times New Roman"/>
          <w:sz w:val="17"/>
        </w:rPr>
        <w:t>[17] F. Almeida and J. Oliveira, "Evaluation of high-performance Python backend architectures: FastAPI vs. Flask vs. Django," Journal of Systems and Software, vol. 198, p. 111580, 2023, DOI: 10.1016/j.jss.2023.111580.</w:t>
      </w:r>
    </w:p>
    <w:p>
      <w:pPr>
        <w:spacing w:after="50" w:line="264" w:lineRule="auto"/>
        <w:jc w:val="both"/>
      </w:pPr>
      <w:r>
        <w:rPr>
          <w:rFonts w:ascii="Times New Roman" w:hAnsi="Times New Roman"/>
          <w:sz w:val="17"/>
        </w:rPr>
        <w:t>[18] G. Thorne and E. Martinez, "Privacy-preserving student data management and alumni networking platforms," Computers &amp; Security, vol. 120, p. 102810, 2022, DOI: 10.1016/j.cose.2022.102810.</w:t>
      </w:r>
    </w:p>
    <w:p>
      <w:pPr>
        <w:spacing w:after="50" w:line="264" w:lineRule="auto"/>
        <w:jc w:val="both"/>
      </w:pPr>
      <w:r>
        <w:rPr>
          <w:rFonts w:ascii="Times New Roman" w:hAnsi="Times New Roman"/>
          <w:sz w:val="17"/>
        </w:rPr>
        <w:t>[19] K. Lee, W. Park, and S. Kim, "Hybrid recommendation and mentorship systems for higher education portals," IEEE Access, vol. 11, pp. 24890–24902, 2023, DOI: 10.1109/ACCESS.2023.3256789.</w:t>
      </w:r>
    </w:p>
    <w:p>
      <w:pPr>
        <w:spacing w:after="50" w:line="264" w:lineRule="auto"/>
        <w:jc w:val="both"/>
      </w:pPr>
      <w:r>
        <w:rPr>
          <w:rFonts w:ascii="Times New Roman" w:hAnsi="Times New Roman"/>
          <w:sz w:val="17"/>
        </w:rPr>
        <w:t>[20] H. Zhou, Y. Wu, and C. Zhang, "Event-driven campus management platforms: Architecture and implementation," Journal of Systems Architecture, vol. 210, p. 103550, 2023, DOI: 10.1016/j.sysarc.2023.103550.</w:t>
      </w:r>
    </w:p>
    <w:p>
      <w:pPr>
        <w:spacing w:after="50" w:line="264" w:lineRule="auto"/>
        <w:jc w:val="both"/>
      </w:pPr>
      <w:r>
        <w:rPr>
          <w:rFonts w:ascii="Times New Roman" w:hAnsi="Times New Roman"/>
          <w:sz w:val="17"/>
        </w:rPr>
        <w:t>[21] Bhuvaneswaran B, Reshma R, Soniya V, "JobQuench: An Intelligent and Automated Placement Management System for Enhanced Campus Recruitment", in Proc. 3rd IEEE International Conference on Augmented Intelligence and Sustainable Systems (ICAISS), 2025, pp. 1104–1109, DOI: 10.1109/ICAISS61471.2025.11042066.</w:t>
      </w:r>
    </w:p>
    <w:p>
      <w:pPr>
        <w:spacing w:after="50" w:line="264" w:lineRule="auto"/>
        <w:jc w:val="both"/>
      </w:pPr>
      <w:r>
        <w:rPr>
          <w:rFonts w:ascii="Times New Roman" w:hAnsi="Times New Roman"/>
          <w:sz w:val="17"/>
        </w:rPr>
        <w:t>[22] Divya Dixit Saxena, Dharmesh J. Shah, Vikash Kumar Singh, Himanshu Yadav, Vivek Kumar Singh, "Transforming Placement Workflow: Modern Web Framework Approach to Campus Recruitment Management", in Proc. 27th International Conference on Next Generation Communication &amp; Information Processing (INCIP), 2025, pp. 1102–1108, DOI: 10.1109/INCIP64058.2025.11020406.</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4B5563"/>
        <w:sz w:val="20"/>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