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Prime Minister’s Employment Generation Programme (PMEGP)</w:t>
      </w:r>
    </w:p>
    <w:p>
      <w:pPr>
        <w:pStyle w:val="Heading2"/>
        <w:jc w:val="center"/>
      </w:pPr>
      <w:r>
        <w:t xml:space="preserve">SEO • AEO • GEO Scheme Guide</w:t>
      </w:r>
    </w:p>
    <w:p/>
    <w:p>
      <w:pPr>
        <w:jc w:val="center"/>
      </w:pPr>
      <w:r>
        <w:t xml:space="preserve">Primary Keyword: Prime Minister’s Employment Generation Programme</w:t>
      </w:r>
    </w:p>
    <w:p>
      <w:pPr>
        <w:jc w:val="center"/>
      </w:pPr>
      <w:r>
        <w:t xml:space="preserve">Source Research ID: res_vr2pgnul</w:t>
      </w:r>
    </w:p>
    <w:p/>
    <w:p>
      <w:pPr>
        <w:pStyle w:val="Heading1"/>
      </w:pPr>
      <w:r>
        <w:t xml:space="preserve">SEO Metadata</w:t>
      </w:r>
    </w:p>
    <w:tbl>
      <w:tblPr>
        <w:tblW w:type="pct" w:w="100%"/>
        <w:tblBorders>
          <w:top w:val="single" w:color="999999" w:sz="4"/>
          <w:left w:val="single" w:color="999999" w:sz="4"/>
          <w:bottom w:val="single" w:color="999999" w:sz="4"/>
          <w:right w:val="single" w:color="999999" w:sz="4"/>
          <w:insideH w:val="single" w:color="DDDDDD" w:sz="4"/>
          <w:insideV w:val="single" w:color="DDDDDD" w:sz="4"/>
        </w:tblBorders>
      </w:tblPr>
      <w:tblGrid>
        <w:gridCol w:w="100"/>
        <w:gridCol w:w="100"/>
      </w:tblGrid>
      <w:tr>
        <w:tc>
          <w:tcPr>
            <w:tcW w:type="pct" w:w="30%"/>
            <w:shd w:fill="F8F9FA" w:color="auto" w:val="clear"/>
            <w:tcMar>
              <w:top w:type="dxa" w:w="100"/>
              <w:left w:type="dxa" w:w="100"/>
              <w:bottom w:type="dxa" w:w="100"/>
              <w:right w:type="dxa" w:w="100"/>
            </w:tcMar>
          </w:tcPr>
          <w:p>
            <w:r>
              <w:rPr>
                <w:b/>
                <w:bCs/>
              </w:rPr>
              <w:t xml:space="preserve">Primary Keyword</w:t>
            </w:r>
          </w:p>
        </w:tc>
        <w:tc>
          <w:tcPr>
            <w:tcW w:type="pct" w:w="70%"/>
            <w:tcMar>
              <w:top w:type="dxa" w:w="100"/>
              <w:left w:type="dxa" w:w="100"/>
              <w:bottom w:type="dxa" w:w="100"/>
              <w:right w:type="dxa" w:w="100"/>
            </w:tcMar>
          </w:tcPr>
          <w:p>
            <w:r>
              <w:t xml:space="preserve">Prime Minister’s Employment Generation Programme</w:t>
            </w:r>
          </w:p>
        </w:tc>
      </w:tr>
      <w:tr>
        <w:tc>
          <w:tcPr>
            <w:tcW w:type="pct" w:w="30%"/>
            <w:shd w:fill="F8F9FA" w:color="auto" w:val="clear"/>
            <w:tcMar>
              <w:top w:type="dxa" w:w="100"/>
              <w:left w:type="dxa" w:w="100"/>
              <w:bottom w:type="dxa" w:w="100"/>
              <w:right w:type="dxa" w:w="100"/>
            </w:tcMar>
          </w:tcPr>
          <w:p>
            <w:r>
              <w:rPr>
                <w:b/>
                <w:bCs/>
              </w:rPr>
              <w:t xml:space="preserve">Secondary Keywords</w:t>
            </w:r>
          </w:p>
        </w:tc>
        <w:tc>
          <w:tcPr>
            <w:tcW w:type="pct" w:w="70%"/>
            <w:tcMar>
              <w:top w:type="dxa" w:w="100"/>
              <w:left w:type="dxa" w:w="100"/>
              <w:bottom w:type="dxa" w:w="100"/>
              <w:right w:type="dxa" w:w="100"/>
            </w:tcMar>
          </w:tcPr>
          <w:p>
            <w:r>
              <w:t xml:space="preserve">PMEGP, MSME scheme, employment generation programme</w:t>
            </w:r>
          </w:p>
        </w:tc>
      </w:tr>
      <w:tr>
        <w:tc>
          <w:tcPr>
            <w:tcW w:type="pct" w:w="30%"/>
            <w:shd w:fill="F8F9FA" w:color="auto" w:val="clear"/>
            <w:tcMar>
              <w:top w:type="dxa" w:w="100"/>
              <w:left w:type="dxa" w:w="100"/>
              <w:bottom w:type="dxa" w:w="100"/>
              <w:right w:type="dxa" w:w="100"/>
            </w:tcMar>
          </w:tcPr>
          <w:p>
            <w:r>
              <w:rPr>
                <w:b/>
                <w:bCs/>
              </w:rPr>
              <w:t xml:space="preserve">Meta Title</w:t>
            </w:r>
          </w:p>
        </w:tc>
        <w:tc>
          <w:tcPr>
            <w:tcW w:type="pct" w:w="70%"/>
            <w:tcMar>
              <w:top w:type="dxa" w:w="100"/>
              <w:left w:type="dxa" w:w="100"/>
              <w:bottom w:type="dxa" w:w="100"/>
              <w:right w:type="dxa" w:w="100"/>
            </w:tcMar>
          </w:tcPr>
          <w:p>
            <w:r>
              <w:t xml:space="preserve">PMEGP Scheme – Eligibility, Benefits &amp;...</w:t>
            </w:r>
          </w:p>
        </w:tc>
      </w:tr>
      <w:tr>
        <w:tc>
          <w:tcPr>
            <w:tcW w:type="pct" w:w="30%"/>
            <w:shd w:fill="F8F9FA" w:color="auto" w:val="clear"/>
            <w:tcMar>
              <w:top w:type="dxa" w:w="100"/>
              <w:left w:type="dxa" w:w="100"/>
              <w:bottom w:type="dxa" w:w="100"/>
              <w:right w:type="dxa" w:w="100"/>
            </w:tcMar>
          </w:tcPr>
          <w:p>
            <w:r>
              <w:rPr>
                <w:b/>
                <w:bCs/>
              </w:rPr>
              <w:t xml:space="preserve">Meta Title Character Count</w:t>
            </w:r>
          </w:p>
        </w:tc>
        <w:tc>
          <w:tcPr>
            <w:tcW w:type="pct" w:w="70%"/>
            <w:tcMar>
              <w:top w:type="dxa" w:w="100"/>
              <w:left w:type="dxa" w:w="100"/>
              <w:bottom w:type="dxa" w:w="100"/>
              <w:right w:type="dxa" w:w="100"/>
            </w:tcMar>
          </w:tcPr>
          <w:p>
            <w:r>
              <w:t xml:space="preserve">41</w:t>
            </w:r>
          </w:p>
        </w:tc>
      </w:tr>
      <w:tr>
        <w:tc>
          <w:tcPr>
            <w:tcW w:type="pct" w:w="30%"/>
            <w:shd w:fill="F8F9FA" w:color="auto" w:val="clear"/>
            <w:tcMar>
              <w:top w:type="dxa" w:w="100"/>
              <w:left w:type="dxa" w:w="100"/>
              <w:bottom w:type="dxa" w:w="100"/>
              <w:right w:type="dxa" w:w="100"/>
            </w:tcMar>
          </w:tcPr>
          <w:p>
            <w:r>
              <w:rPr>
                <w:b/>
                <w:bCs/>
              </w:rPr>
              <w:t xml:space="preserve">Meta Description</w:t>
            </w:r>
          </w:p>
        </w:tc>
        <w:tc>
          <w:tcPr>
            <w:tcW w:type="pct" w:w="70%"/>
            <w:tcMar>
              <w:top w:type="dxa" w:w="100"/>
              <w:left w:type="dxa" w:w="100"/>
              <w:bottom w:type="dxa" w:w="100"/>
              <w:right w:type="dxa" w:w="100"/>
            </w:tcMar>
          </w:tcPr>
          <w:p>
            <w:r>
              <w:t xml:space="preserve">Explore the Prime Minister’s Employment Generation Programme: eligibility, subsidy rates, project cost limits, and application steps for MSMEs.</w:t>
            </w:r>
          </w:p>
        </w:tc>
      </w:tr>
      <w:tr>
        <w:tc>
          <w:tcPr>
            <w:tcW w:type="pct" w:w="30%"/>
            <w:shd w:fill="F8F9FA" w:color="auto" w:val="clear"/>
            <w:tcMar>
              <w:top w:type="dxa" w:w="100"/>
              <w:left w:type="dxa" w:w="100"/>
              <w:bottom w:type="dxa" w:w="100"/>
              <w:right w:type="dxa" w:w="100"/>
            </w:tcMar>
          </w:tcPr>
          <w:p>
            <w:r>
              <w:rPr>
                <w:b/>
                <w:bCs/>
              </w:rPr>
              <w:t xml:space="preserve">Meta Description Character Count</w:t>
            </w:r>
          </w:p>
        </w:tc>
        <w:tc>
          <w:tcPr>
            <w:tcW w:type="pct" w:w="70%"/>
            <w:tcMar>
              <w:top w:type="dxa" w:w="100"/>
              <w:left w:type="dxa" w:w="100"/>
              <w:bottom w:type="dxa" w:w="100"/>
              <w:right w:type="dxa" w:w="100"/>
            </w:tcMar>
          </w:tcPr>
          <w:p>
            <w:r>
              <w:t xml:space="preserve">143</w:t>
            </w:r>
          </w:p>
        </w:tc>
      </w:tr>
      <w:tr>
        <w:tc>
          <w:tcPr>
            <w:tcW w:type="pct" w:w="30%"/>
            <w:shd w:fill="F8F9FA" w:color="auto" w:val="clear"/>
            <w:tcMar>
              <w:top w:type="dxa" w:w="100"/>
              <w:left w:type="dxa" w:w="100"/>
              <w:bottom w:type="dxa" w:w="100"/>
              <w:right w:type="dxa" w:w="100"/>
            </w:tcMar>
          </w:tcPr>
          <w:p>
            <w:r>
              <w:rPr>
                <w:b/>
                <w:bCs/>
              </w:rPr>
              <w:t xml:space="preserve">Slug</w:t>
            </w:r>
          </w:p>
        </w:tc>
        <w:tc>
          <w:tcPr>
            <w:tcW w:type="pct" w:w="70%"/>
            <w:tcMar>
              <w:top w:type="dxa" w:w="100"/>
              <w:left w:type="dxa" w:w="100"/>
              <w:bottom w:type="dxa" w:w="100"/>
              <w:right w:type="dxa" w:w="100"/>
            </w:tcMar>
          </w:tcPr>
          <w:p>
            <w:r>
              <w:t xml:space="preserve">pmeg-scheme</w:t>
            </w:r>
          </w:p>
        </w:tc>
      </w:tr>
      <w:tr>
        <w:tc>
          <w:tcPr>
            <w:tcW w:type="pct" w:w="30%"/>
            <w:shd w:fill="F8F9FA" w:color="auto" w:val="clear"/>
            <w:tcMar>
              <w:top w:type="dxa" w:w="100"/>
              <w:left w:type="dxa" w:w="100"/>
              <w:bottom w:type="dxa" w:w="100"/>
              <w:right w:type="dxa" w:w="100"/>
            </w:tcMar>
          </w:tcPr>
          <w:p>
            <w:r>
              <w:rPr>
                <w:b/>
                <w:bCs/>
              </w:rPr>
              <w:t xml:space="preserve">Canonical Path</w:t>
            </w:r>
          </w:p>
        </w:tc>
        <w:tc>
          <w:tcPr>
            <w:tcW w:type="pct" w:w="70%"/>
            <w:tcMar>
              <w:top w:type="dxa" w:w="100"/>
              <w:left w:type="dxa" w:w="100"/>
              <w:bottom w:type="dxa" w:w="100"/>
              <w:right w:type="dxa" w:w="100"/>
            </w:tcMar>
          </w:tcPr>
          <w:p>
            <w:r>
              <w:t xml:space="preserve">https://growthora.co.in/govtschemes/pmeg-scheme</w:t>
            </w:r>
          </w:p>
        </w:tc>
      </w:tr>
    </w:tbl>
    <w:p/>
    <w:p>
      <w:pPr>
        <w:pStyle w:val="Heading1"/>
      </w:pPr>
      <w:r>
        <w:t xml:space="preserve">Snippet-Ready Answer</w:t>
      </w:r>
    </w:p>
    <w:p>
      <w:pPr>
        <w:pStyle w:val="Snippet"/>
      </w:pPr>
      <w:r>
        <w:t xml:space="preserve">PMEGP is a central scheme by the Ministry of Micro, Small &amp; Medium Enterprises that subsidises new projects for employment generation. It offers up to ₹50 lakh for manufacturing and ₹20 lakh for services, with 10–25% government contribution depending on the beneficiary category.</w:t>
      </w:r>
    </w:p>
    <w:p/>
    <w:p>
      <w:pPr>
        <w:pStyle w:val="Heading1"/>
      </w:pPr>
      <w:r>
        <w:t xml:space="preserve">Scheme at a Glance</w:t>
      </w:r>
    </w:p>
    <w:tbl>
      <w:tblPr>
        <w:tblW w:type="pct" w:w="100%"/>
        <w:tblBorders>
          <w:top w:val="single" w:color="999999" w:sz="4"/>
          <w:left w:val="single" w:color="999999" w:sz="4"/>
          <w:bottom w:val="single" w:color="999999" w:sz="4"/>
          <w:right w:val="single" w:color="999999" w:sz="4"/>
          <w:insideH w:val="single" w:color="DDDDDD" w:sz="4"/>
          <w:insideV w:val="single" w:color="DDDDDD" w:sz="4"/>
        </w:tblBorders>
      </w:tblPr>
      <w:tblGrid>
        <w:gridCol w:w="100"/>
        <w:gridCol w:w="100"/>
      </w:tblGrid>
      <w:tr>
        <w:tc>
          <w:tcPr>
            <w:tcW w:type="pct" w:w="30%"/>
            <w:shd w:fill="F8F9FA" w:color="auto" w:val="clear"/>
            <w:tcMar>
              <w:top w:type="dxa" w:w="100"/>
              <w:left w:type="dxa" w:w="100"/>
              <w:bottom w:type="dxa" w:w="100"/>
              <w:right w:type="dxa" w:w="100"/>
            </w:tcMar>
          </w:tcPr>
          <w:p>
            <w:r>
              <w:rPr>
                <w:b/>
                <w:bCs/>
              </w:rPr>
              <w:t xml:space="preserve">Official Scheme Name</w:t>
            </w:r>
          </w:p>
        </w:tc>
        <w:tc>
          <w:tcPr>
            <w:tcW w:type="pct" w:w="70%"/>
            <w:tcMar>
              <w:top w:type="dxa" w:w="100"/>
              <w:left w:type="dxa" w:w="100"/>
              <w:bottom w:type="dxa" w:w="100"/>
              <w:right w:type="dxa" w:w="100"/>
            </w:tcMar>
          </w:tcPr>
          <w:p>
            <w:r>
              <w:t xml:space="preserve">Prime Minister’s Employment Generation Programme (PMEGP)</w:t>
            </w:r>
          </w:p>
        </w:tc>
      </w:tr>
      <w:tr>
        <w:tc>
          <w:tcPr>
            <w:tcW w:type="pct" w:w="30%"/>
            <w:shd w:fill="F8F9FA" w:color="auto" w:val="clear"/>
            <w:tcMar>
              <w:top w:type="dxa" w:w="100"/>
              <w:left w:type="dxa" w:w="100"/>
              <w:bottom w:type="dxa" w:w="100"/>
              <w:right w:type="dxa" w:w="100"/>
            </w:tcMar>
          </w:tcPr>
          <w:p>
            <w:r>
              <w:rPr>
                <w:b/>
                <w:bCs/>
              </w:rPr>
              <w:t xml:space="preserve">Status</w:t>
            </w:r>
          </w:p>
        </w:tc>
        <w:tc>
          <w:tcPr>
            <w:tcW w:type="pct" w:w="70%"/>
            <w:tcMar>
              <w:top w:type="dxa" w:w="100"/>
              <w:left w:type="dxa" w:w="100"/>
              <w:bottom w:type="dxa" w:w="100"/>
              <w:right w:type="dxa" w:w="100"/>
            </w:tcMar>
          </w:tcPr>
          <w:p>
            <w:r>
              <w:t xml:space="preserve">Active</w:t>
            </w:r>
          </w:p>
        </w:tc>
      </w:tr>
      <w:tr>
        <w:tc>
          <w:tcPr>
            <w:tcW w:type="pct" w:w="30%"/>
            <w:shd w:fill="F8F9FA" w:color="auto" w:val="clear"/>
            <w:tcMar>
              <w:top w:type="dxa" w:w="100"/>
              <w:left w:type="dxa" w:w="100"/>
              <w:bottom w:type="dxa" w:w="100"/>
              <w:right w:type="dxa" w:w="100"/>
            </w:tcMar>
          </w:tcPr>
          <w:p>
            <w:r>
              <w:rPr>
                <w:b/>
                <w:bCs/>
              </w:rPr>
              <w:t xml:space="preserve">Ministry</w:t>
            </w:r>
          </w:p>
        </w:tc>
        <w:tc>
          <w:tcPr>
            <w:tcW w:type="pct" w:w="70%"/>
            <w:tcMar>
              <w:top w:type="dxa" w:w="100"/>
              <w:left w:type="dxa" w:w="100"/>
              <w:bottom w:type="dxa" w:w="100"/>
              <w:right w:type="dxa" w:w="100"/>
            </w:tcMar>
          </w:tcPr>
          <w:p>
            <w:r>
              <w:t xml:space="preserve">Ministry of Micro, Small &amp; Medium Enterprises</w:t>
            </w:r>
          </w:p>
        </w:tc>
      </w:tr>
      <w:tr>
        <w:tc>
          <w:tcPr>
            <w:tcW w:type="pct" w:w="30%"/>
            <w:shd w:fill="F8F9FA" w:color="auto" w:val="clear"/>
            <w:tcMar>
              <w:top w:type="dxa" w:w="100"/>
              <w:left w:type="dxa" w:w="100"/>
              <w:bottom w:type="dxa" w:w="100"/>
              <w:right w:type="dxa" w:w="100"/>
            </w:tcMar>
          </w:tcPr>
          <w:p>
            <w:r>
              <w:rPr>
                <w:b/>
                <w:bCs/>
              </w:rPr>
              <w:t xml:space="preserve">Implementing Agency</w:t>
            </w:r>
          </w:p>
        </w:tc>
        <w:tc>
          <w:tcPr>
            <w:tcW w:type="pct" w:w="70%"/>
            <w:tcMar>
              <w:top w:type="dxa" w:w="100"/>
              <w:left w:type="dxa" w:w="100"/>
              <w:bottom w:type="dxa" w:w="100"/>
              <w:right w:type="dxa" w:w="100"/>
            </w:tcMar>
          </w:tcPr>
          <w:p>
            <w:r>
              <w:t xml:space="preserve">Ministry of Micro, Small &amp; Medium Enterprises</w:t>
            </w:r>
          </w:p>
        </w:tc>
      </w:tr>
      <w:tr>
        <w:tc>
          <w:tcPr>
            <w:tcW w:type="pct" w:w="30%"/>
            <w:shd w:fill="F8F9FA" w:color="auto" w:val="clear"/>
            <w:tcMar>
              <w:top w:type="dxa" w:w="100"/>
              <w:left w:type="dxa" w:w="100"/>
              <w:bottom w:type="dxa" w:w="100"/>
              <w:right w:type="dxa" w:w="100"/>
            </w:tcMar>
          </w:tcPr>
          <w:p>
            <w:r>
              <w:rPr>
                <w:b/>
                <w:bCs/>
              </w:rPr>
              <w:t xml:space="preserve">Maximum Project Cost – Manufacturing</w:t>
            </w:r>
          </w:p>
        </w:tc>
        <w:tc>
          <w:tcPr>
            <w:tcW w:type="pct" w:w="70%"/>
            <w:tcMar>
              <w:top w:type="dxa" w:w="100"/>
              <w:left w:type="dxa" w:w="100"/>
              <w:bottom w:type="dxa" w:w="100"/>
              <w:right w:type="dxa" w:w="100"/>
            </w:tcMar>
          </w:tcPr>
          <w:p>
            <w:r>
              <w:t xml:space="preserve">₹50 lakh</w:t>
            </w:r>
          </w:p>
        </w:tc>
      </w:tr>
      <w:tr>
        <w:tc>
          <w:tcPr>
            <w:tcW w:type="pct" w:w="30%"/>
            <w:shd w:fill="F8F9FA" w:color="auto" w:val="clear"/>
            <w:tcMar>
              <w:top w:type="dxa" w:w="100"/>
              <w:left w:type="dxa" w:w="100"/>
              <w:bottom w:type="dxa" w:w="100"/>
              <w:right w:type="dxa" w:w="100"/>
            </w:tcMar>
          </w:tcPr>
          <w:p>
            <w:r>
              <w:rPr>
                <w:b/>
                <w:bCs/>
              </w:rPr>
              <w:t xml:space="preserve">Maximum Project Cost – Service</w:t>
            </w:r>
          </w:p>
        </w:tc>
        <w:tc>
          <w:tcPr>
            <w:tcW w:type="pct" w:w="70%"/>
            <w:tcMar>
              <w:top w:type="dxa" w:w="100"/>
              <w:left w:type="dxa" w:w="100"/>
              <w:bottom w:type="dxa" w:w="100"/>
              <w:right w:type="dxa" w:w="100"/>
            </w:tcMar>
          </w:tcPr>
          <w:p>
            <w:r>
              <w:t xml:space="preserve">₹20 lakh</w:t>
            </w:r>
          </w:p>
        </w:tc>
      </w:tr>
      <w:tr>
        <w:tc>
          <w:tcPr>
            <w:tcW w:type="pct" w:w="30%"/>
            <w:shd w:fill="F8F9FA" w:color="auto" w:val="clear"/>
            <w:tcMar>
              <w:top w:type="dxa" w:w="100"/>
              <w:left w:type="dxa" w:w="100"/>
              <w:bottom w:type="dxa" w:w="100"/>
              <w:right w:type="dxa" w:w="100"/>
            </w:tcMar>
          </w:tcPr>
          <w:p>
            <w:r>
              <w:rPr>
                <w:b/>
                <w:bCs/>
              </w:rPr>
              <w:t xml:space="preserve">Official Website</w:t>
            </w:r>
          </w:p>
        </w:tc>
        <w:tc>
          <w:tcPr>
            <w:tcW w:type="pct" w:w="70%"/>
            <w:tcMar>
              <w:top w:type="dxa" w:w="100"/>
              <w:left w:type="dxa" w:w="100"/>
              <w:bottom w:type="dxa" w:w="100"/>
              <w:right w:type="dxa" w:w="100"/>
            </w:tcMar>
          </w:tcPr>
          <w:p>
            <w:r>
              <w:t xml:space="preserve">https://pmegp.msme.gov.in</w:t>
            </w:r>
          </w:p>
        </w:tc>
      </w:tr>
    </w:tbl>
    <w:p/>
    <w:p>
      <w:pPr>
        <w:pStyle w:val="Heading1"/>
      </w:pPr>
      <w:r>
        <w:t xml:space="preserve">Introduction</w:t>
      </w:r>
    </w:p>
    <w:p>
      <w:r>
        <w:t xml:space="preserve">The Prime Minister’s Employment Generation Programme (PMEGP) is a flagship initiative of the Ministry of Micro, Small &amp; Medium Enterprises (MSME) aimed at encouraging entrepreneurship and creating jobs across India. The scheme provides financial assistance in the form of subsidies for new projects in manufacturing and service sectors.</w:t>
      </w:r>
    </w:p>
    <w:p/>
    <w:p>
      <w:pPr>
        <w:pStyle w:val="Heading1"/>
      </w:pPr>
      <w:r>
        <w:t xml:space="preserve">What is the Scheme?</w:t>
      </w:r>
    </w:p>
    <w:p>
      <w:r>
        <w:t xml:space="preserve">PMEGP is a government subsidy programme that supports the establishment of new enterprises by providing financial assistance to eligible entrepreneurs. The assistance is aimed at generating employment and boosting the MSME sector.</w:t>
      </w:r>
    </w:p>
    <w:p/>
    <w:p>
      <w:pPr>
        <w:pStyle w:val="Heading1"/>
      </w:pPr>
      <w:r>
        <w:t xml:space="preserve">Key Benefits</w:t>
      </w:r>
    </w:p>
    <w:p>
      <w:pPr>
        <w:pStyle w:val="ListParagraph"/>
        <w:numPr>
          <w:ilvl w:val="0"/>
          <w:numId w:val="1"/>
        </w:numPr>
      </w:pPr>
      <w:r>
        <w:rPr>
          <w:b/>
          <w:bCs/>
        </w:rPr>
        <w:t xml:space="preserve">Subsidised Project Cost: </w:t>
      </w:r>
      <w:r>
        <w:t xml:space="preserve">Up to ₹50 lakh for manufacturing and ₹20 lakh for services.</w:t>
      </w:r>
    </w:p>
    <w:p>
      <w:pPr>
        <w:pStyle w:val="ListParagraph"/>
        <w:numPr>
          <w:ilvl w:val="0"/>
          <w:numId w:val="1"/>
        </w:numPr>
      </w:pPr>
      <w:r>
        <w:rPr>
          <w:b/>
          <w:bCs/>
        </w:rPr>
        <w:t xml:space="preserve">Government Contribution: </w:t>
      </w:r>
      <w:r>
        <w:t xml:space="preserve">10% for general category and 5% for special category beneficiaries.</w:t>
      </w:r>
    </w:p>
    <w:p>
      <w:pPr>
        <w:pStyle w:val="ListParagraph"/>
        <w:numPr>
          <w:ilvl w:val="0"/>
          <w:numId w:val="1"/>
        </w:numPr>
      </w:pPr>
      <w:r>
        <w:rPr>
          <w:b/>
          <w:bCs/>
        </w:rPr>
        <w:t xml:space="preserve">Higher Rural Subsidy: </w:t>
      </w:r>
      <w:r>
        <w:t xml:space="preserve">Rural projects receive 25% (general) or 35% (special) subsidy.</w:t>
      </w:r>
    </w:p>
    <w:p>
      <w:pPr>
        <w:pStyle w:val="ListParagraph"/>
        <w:numPr>
          <w:ilvl w:val="0"/>
          <w:numId w:val="1"/>
        </w:numPr>
      </w:pPr>
      <w:r>
        <w:rPr>
          <w:b/>
          <w:bCs/>
        </w:rPr>
        <w:t xml:space="preserve">Urban Subsidy: </w:t>
      </w:r>
      <w:r>
        <w:t xml:space="preserve">Urban projects receive 15% (general) or 25% (special) subsidy.</w:t>
      </w:r>
    </w:p>
    <w:p/>
    <w:p>
      <w:pPr>
        <w:pStyle w:val="Heading1"/>
      </w:pPr>
      <w:r>
        <w:t xml:space="preserve">Financial Assistance</w:t>
      </w:r>
    </w:p>
    <w:tbl>
      <w:tblPr>
        <w:tblW w:type="pct" w:w="100%"/>
        <w:tblBorders>
          <w:top w:val="single" w:color="999999" w:sz="4"/>
          <w:left w:val="single" w:color="999999" w:sz="4"/>
          <w:bottom w:val="single" w:color="999999" w:sz="4"/>
          <w:right w:val="single" w:color="999999" w:sz="4"/>
          <w:insideH w:val="single" w:color="DDDDDD" w:sz="4"/>
          <w:insideV w:val="single" w:color="DDDDDD" w:sz="4"/>
        </w:tblBorders>
      </w:tblPr>
      <w:tblGrid>
        <w:gridCol w:w="100"/>
      </w:tblGrid>
      <w:tr>
        <w:tc>
          <w:tcPr>
            <w:shd w:fill="D8E2DC" w:color="auto" w:val="clear"/>
            <w:tcMar>
              <w:top w:type="dxa" w:w="100"/>
              <w:left w:type="dxa" w:w="100"/>
              <w:bottom w:type="dxa" w:w="100"/>
              <w:right w:type="dxa" w:w="100"/>
            </w:tcMar>
          </w:tcPr>
          <w:p>
            <w:r>
              <w:rPr>
                <w:b/>
                <w:bCs/>
              </w:rPr>
              <w:t xml:space="preserve">detail</w:t>
            </w:r>
          </w:p>
        </w:tc>
      </w:tr>
      <w:tr>
        <w:tc>
          <w:tcPr>
            <w:tcMar>
              <w:top w:type="dxa" w:w="100"/>
              <w:left w:type="dxa" w:w="100"/>
              <w:bottom w:type="dxa" w:w="100"/>
              <w:right w:type="dxa" w:w="100"/>
            </w:tcMar>
          </w:tcPr>
          <w:p>
            <w:r>
              <w:t xml:space="preserve">Maximum project cost – Manufacturing: ₹50 lakh</w:t>
            </w:r>
          </w:p>
        </w:tc>
      </w:tr>
      <w:tr>
        <w:tc>
          <w:tcPr>
            <w:tcMar>
              <w:top w:type="dxa" w:w="100"/>
              <w:left w:type="dxa" w:w="100"/>
              <w:bottom w:type="dxa" w:w="100"/>
              <w:right w:type="dxa" w:w="100"/>
            </w:tcMar>
          </w:tcPr>
          <w:p>
            <w:r>
              <w:t xml:space="preserve">Maximum project cost – Service: ₹20 lakh</w:t>
            </w:r>
          </w:p>
        </w:tc>
      </w:tr>
      <w:tr>
        <w:tc>
          <w:tcPr>
            <w:tcMar>
              <w:top w:type="dxa" w:w="100"/>
              <w:left w:type="dxa" w:w="100"/>
              <w:bottom w:type="dxa" w:w="100"/>
              <w:right w:type="dxa" w:w="100"/>
            </w:tcMar>
          </w:tcPr>
          <w:p>
            <w:r>
              <w:t xml:space="preserve">General Category contribution: 10% of project cost</w:t>
            </w:r>
          </w:p>
        </w:tc>
      </w:tr>
      <w:tr>
        <w:tc>
          <w:tcPr>
            <w:tcMar>
              <w:top w:type="dxa" w:w="100"/>
              <w:left w:type="dxa" w:w="100"/>
              <w:bottom w:type="dxa" w:w="100"/>
              <w:right w:type="dxa" w:w="100"/>
            </w:tcMar>
          </w:tcPr>
          <w:p>
            <w:r>
              <w:t xml:space="preserve">Special Category contribution: 5% of project cost</w:t>
            </w:r>
          </w:p>
        </w:tc>
      </w:tr>
      <w:tr>
        <w:tc>
          <w:tcPr>
            <w:tcMar>
              <w:top w:type="dxa" w:w="100"/>
              <w:left w:type="dxa" w:w="100"/>
              <w:bottom w:type="dxa" w:w="100"/>
              <w:right w:type="dxa" w:w="100"/>
            </w:tcMar>
          </w:tcPr>
          <w:p>
            <w:r>
              <w:t xml:space="preserve">Urban subsidy for general: 15% of project cost</w:t>
            </w:r>
          </w:p>
        </w:tc>
      </w:tr>
      <w:tr>
        <w:tc>
          <w:tcPr>
            <w:tcMar>
              <w:top w:type="dxa" w:w="100"/>
              <w:left w:type="dxa" w:w="100"/>
              <w:bottom w:type="dxa" w:w="100"/>
              <w:right w:type="dxa" w:w="100"/>
            </w:tcMar>
          </w:tcPr>
          <w:p>
            <w:r>
              <w:t xml:space="preserve">Urban subsidy for special: 25% of project cost</w:t>
            </w:r>
          </w:p>
        </w:tc>
      </w:tr>
      <w:tr>
        <w:tc>
          <w:tcPr>
            <w:tcMar>
              <w:top w:type="dxa" w:w="100"/>
              <w:left w:type="dxa" w:w="100"/>
              <w:bottom w:type="dxa" w:w="100"/>
              <w:right w:type="dxa" w:w="100"/>
            </w:tcMar>
          </w:tcPr>
          <w:p>
            <w:r>
              <w:t xml:space="preserve">Rural subsidy for general: 25% of project cost</w:t>
            </w:r>
          </w:p>
        </w:tc>
      </w:tr>
      <w:tr>
        <w:tc>
          <w:tcPr>
            <w:tcMar>
              <w:top w:type="dxa" w:w="100"/>
              <w:left w:type="dxa" w:w="100"/>
              <w:bottom w:type="dxa" w:w="100"/>
              <w:right w:type="dxa" w:w="100"/>
            </w:tcMar>
          </w:tcPr>
          <w:p>
            <w:r>
              <w:t xml:space="preserve">Rural subsidy for special: 35% of project cost</w:t>
            </w:r>
          </w:p>
        </w:tc>
      </w:tr>
    </w:tbl>
    <w:p/>
    <w:p>
      <w:pPr>
        <w:pStyle w:val="Heading1"/>
      </w:pPr>
      <w:r>
        <w:t xml:space="preserve">Eligibility</w:t>
      </w:r>
    </w:p>
    <w:tbl>
      <w:tblPr>
        <w:tblW w:type="pct" w:w="100%"/>
        <w:tblBorders>
          <w:top w:val="single" w:color="999999" w:sz="4"/>
          <w:left w:val="single" w:color="999999" w:sz="4"/>
          <w:bottom w:val="single" w:color="999999" w:sz="4"/>
          <w:right w:val="single" w:color="999999" w:sz="4"/>
          <w:insideH w:val="single" w:color="DDDDDD" w:sz="4"/>
          <w:insideV w:val="single" w:color="DDDDDD" w:sz="4"/>
        </w:tblBorders>
      </w:tblPr>
      <w:tblGrid>
        <w:gridCol w:w="100"/>
        <w:gridCol w:w="100"/>
      </w:tblGrid>
      <w:tr>
        <w:tc>
          <w:tcPr>
            <w:tcW w:type="pct" w:w="30%"/>
            <w:shd w:fill="F8F9FA" w:color="auto" w:val="clear"/>
            <w:tcMar>
              <w:top w:type="dxa" w:w="100"/>
              <w:left w:type="dxa" w:w="100"/>
              <w:bottom w:type="dxa" w:w="100"/>
              <w:right w:type="dxa" w:w="100"/>
            </w:tcMar>
          </w:tcPr>
          <w:p>
            <w:r>
              <w:rPr>
                <w:b/>
                <w:bCs/>
              </w:rPr>
              <w:t xml:space="preserve">Age</w:t>
            </w:r>
          </w:p>
        </w:tc>
        <w:tc>
          <w:tcPr>
            <w:tcW w:type="pct" w:w="70%"/>
            <w:tcMar>
              <w:top w:type="dxa" w:w="100"/>
              <w:left w:type="dxa" w:w="100"/>
              <w:bottom w:type="dxa" w:w="100"/>
              <w:right w:type="dxa" w:w="100"/>
            </w:tcMar>
          </w:tcPr>
          <w:p>
            <w:r>
              <w:t xml:space="preserve">Minimum 18 years</w:t>
            </w:r>
          </w:p>
        </w:tc>
      </w:tr>
      <w:tr>
        <w:tc>
          <w:tcPr>
            <w:tcW w:type="pct" w:w="30%"/>
            <w:shd w:fill="F8F9FA" w:color="auto" w:val="clear"/>
            <w:tcMar>
              <w:top w:type="dxa" w:w="100"/>
              <w:left w:type="dxa" w:w="100"/>
              <w:bottom w:type="dxa" w:w="100"/>
              <w:right w:type="dxa" w:w="100"/>
            </w:tcMar>
          </w:tcPr>
          <w:p>
            <w:r>
              <w:rPr>
                <w:b/>
                <w:bCs/>
              </w:rPr>
              <w:t xml:space="preserve">Education</w:t>
            </w:r>
          </w:p>
        </w:tc>
        <w:tc>
          <w:tcPr>
            <w:tcW w:type="pct" w:w="70%"/>
            <w:tcMar>
              <w:top w:type="dxa" w:w="100"/>
              <w:left w:type="dxa" w:w="100"/>
              <w:bottom w:type="dxa" w:w="100"/>
              <w:right w:type="dxa" w:w="100"/>
            </w:tcMar>
          </w:tcPr>
          <w:p>
            <w:r>
              <w:t xml:space="preserve">Pass in VIII standard</w:t>
            </w:r>
          </w:p>
        </w:tc>
      </w:tr>
    </w:tbl>
    <w:p/>
    <w:p>
      <w:pPr>
        <w:pStyle w:val="Heading1"/>
      </w:pPr>
      <w:r>
        <w:t xml:space="preserve">Documents Required</w:t>
      </w:r>
    </w:p>
    <w:tbl>
      <w:tblPr>
        <w:tblW w:type="pct" w:w="100%"/>
        <w:tblBorders>
          <w:top w:val="single" w:color="999999" w:sz="4"/>
          <w:left w:val="single" w:color="999999" w:sz="4"/>
          <w:bottom w:val="single" w:color="999999" w:sz="4"/>
          <w:right w:val="single" w:color="999999" w:sz="4"/>
          <w:insideH w:val="single" w:color="DDDDDD" w:sz="4"/>
          <w:insideV w:val="single" w:color="DDDDDD" w:sz="4"/>
        </w:tblBorders>
      </w:tblPr>
      <w:tblGrid>
        <w:gridCol w:w="100"/>
        <w:gridCol w:w="100"/>
        <w:gridCol w:w="100"/>
      </w:tblGrid>
      <w:tr>
        <w:tc>
          <w:tcPr>
            <w:shd w:fill="D8E2DC" w:color="auto" w:val="clear"/>
            <w:tcMar>
              <w:top w:type="dxa" w:w="100"/>
              <w:left w:type="dxa" w:w="100"/>
              <w:bottom w:type="dxa" w:w="100"/>
              <w:right w:type="dxa" w:w="100"/>
            </w:tcMar>
          </w:tcPr>
          <w:p>
            <w:r>
              <w:rPr>
                <w:b/>
                <w:bCs/>
              </w:rPr>
              <w:t xml:space="preserve">document</w:t>
            </w:r>
          </w:p>
        </w:tc>
        <w:tc>
          <w:tcPr>
            <w:shd w:fill="D8E2DC" w:color="auto" w:val="clear"/>
            <w:tcMar>
              <w:top w:type="dxa" w:w="100"/>
              <w:left w:type="dxa" w:w="100"/>
              <w:bottom w:type="dxa" w:w="100"/>
              <w:right w:type="dxa" w:w="100"/>
            </w:tcMar>
          </w:tcPr>
          <w:p>
            <w:r>
              <w:rPr>
                <w:b/>
                <w:bCs/>
              </w:rPr>
              <w:t xml:space="preserve">purpose</w:t>
            </w:r>
          </w:p>
        </w:tc>
        <w:tc>
          <w:tcPr>
            <w:shd w:fill="D8E2DC" w:color="auto" w:val="clear"/>
            <w:tcMar>
              <w:top w:type="dxa" w:w="100"/>
              <w:left w:type="dxa" w:w="100"/>
              <w:bottom w:type="dxa" w:w="100"/>
              <w:right w:type="dxa" w:w="100"/>
            </w:tcMar>
          </w:tcPr>
          <w:p>
            <w:r>
              <w:rPr>
                <w:b/>
                <w:bCs/>
              </w:rPr>
              <w:t xml:space="preserve">requirementStatus</w:t>
            </w:r>
          </w:p>
        </w:tc>
      </w:tr>
      <w:tr>
        <w:tc>
          <w:tcPr>
            <w:tcMar>
              <w:top w:type="dxa" w:w="100"/>
              <w:left w:type="dxa" w:w="100"/>
              <w:bottom w:type="dxa" w:w="100"/>
              <w:right w:type="dxa" w:w="100"/>
            </w:tcMar>
          </w:tcPr>
          <w:p>
            <w:r>
              <w:t xml:space="preserve">No specific documents listed in the available research</w:t>
            </w:r>
          </w:p>
        </w:tc>
        <w:tc>
          <w:tcPr>
            <w:tcMar>
              <w:top w:type="dxa" w:w="100"/>
              <w:left w:type="dxa" w:w="100"/>
              <w:bottom w:type="dxa" w:w="100"/>
              <w:right w:type="dxa" w:w="100"/>
            </w:tcMar>
          </w:tcPr>
          <w:p>
            <w:r>
              <w:t xml:space="preserve">Not specified</w:t>
            </w:r>
          </w:p>
        </w:tc>
        <w:tc>
          <w:tcPr>
            <w:tcMar>
              <w:top w:type="dxa" w:w="100"/>
              <w:left w:type="dxa" w:w="100"/>
              <w:bottom w:type="dxa" w:w="100"/>
              <w:right w:type="dxa" w:w="100"/>
            </w:tcMar>
          </w:tcPr>
          <w:p>
            <w:r>
              <w:t xml:space="preserve">Not available</w:t>
            </w:r>
          </w:p>
        </w:tc>
      </w:tr>
    </w:tbl>
    <w:p/>
    <w:p>
      <w:pPr>
        <w:pStyle w:val="Heading1"/>
      </w:pPr>
      <w:r>
        <w:t xml:space="preserve">Application Process</w:t>
      </w:r>
    </w:p>
    <w:p>
      <w:pPr>
        <w:pStyle w:val="ListParagraph"/>
        <w:numPr>
          <w:ilvl w:val="0"/>
          <w:numId w:val="2"/>
        </w:numPr>
      </w:pPr>
      <w:r>
        <w:t xml:space="preserve">Detailed application steps are not provided in the current research.</w:t>
      </w:r>
    </w:p>
    <w:p/>
    <w:p>
      <w:pPr>
        <w:pStyle w:val="Heading1"/>
      </w:pPr>
      <w:r>
        <w:t xml:space="preserve">Important Dates</w:t>
      </w:r>
    </w:p>
    <w:tbl>
      <w:tblPr>
        <w:tblW w:type="pct" w:w="100%"/>
        <w:tblBorders>
          <w:top w:val="single" w:color="999999" w:sz="4"/>
          <w:left w:val="single" w:color="999999" w:sz="4"/>
          <w:bottom w:val="single" w:color="999999" w:sz="4"/>
          <w:right w:val="single" w:color="999999" w:sz="4"/>
          <w:insideH w:val="single" w:color="DDDDDD" w:sz="4"/>
          <w:insideV w:val="single" w:color="DDDDDD" w:sz="4"/>
        </w:tblBorders>
      </w:tblPr>
      <w:tblGrid>
        <w:gridCol w:w="100"/>
        <w:gridCol w:w="100"/>
      </w:tblGrid>
      <w:tr>
        <w:tc>
          <w:tcPr>
            <w:shd w:fill="D8E2DC" w:color="auto" w:val="clear"/>
            <w:tcMar>
              <w:top w:type="dxa" w:w="100"/>
              <w:left w:type="dxa" w:w="100"/>
              <w:bottom w:type="dxa" w:w="100"/>
              <w:right w:type="dxa" w:w="100"/>
            </w:tcMar>
          </w:tcPr>
          <w:p>
            <w:r>
              <w:rPr>
                <w:b/>
                <w:bCs/>
              </w:rPr>
              <w:t xml:space="preserve">event</w:t>
            </w:r>
          </w:p>
        </w:tc>
        <w:tc>
          <w:tcPr>
            <w:shd w:fill="D8E2DC" w:color="auto" w:val="clear"/>
            <w:tcMar>
              <w:top w:type="dxa" w:w="100"/>
              <w:left w:type="dxa" w:w="100"/>
              <w:bottom w:type="dxa" w:w="100"/>
              <w:right w:type="dxa" w:w="100"/>
            </w:tcMar>
          </w:tcPr>
          <w:p>
            <w:r>
              <w:rPr>
                <w:b/>
                <w:bCs/>
              </w:rPr>
              <w:t xml:space="preserve">date</w:t>
            </w:r>
          </w:p>
        </w:tc>
      </w:tr>
      <w:tr>
        <w:tc>
          <w:tcPr>
            <w:tcMar>
              <w:top w:type="dxa" w:w="100"/>
              <w:left w:type="dxa" w:w="100"/>
              <w:bottom w:type="dxa" w:w="100"/>
              <w:right w:type="dxa" w:w="100"/>
            </w:tcMar>
          </w:tcPr>
          <w:p>
            <w:r>
              <w:t xml:space="preserve">Application Deadline</w:t>
            </w:r>
          </w:p>
        </w:tc>
        <w:tc>
          <w:tcPr>
            <w:tcMar>
              <w:top w:type="dxa" w:w="100"/>
              <w:left w:type="dxa" w:w="100"/>
              <w:bottom w:type="dxa" w:w="100"/>
              <w:right w:type="dxa" w:w="100"/>
            </w:tcMar>
          </w:tcPr>
          <w:p>
            <w:r>
              <w:t xml:space="preserve">No specific official deadline was found in the verified research.</w:t>
            </w:r>
          </w:p>
        </w:tc>
      </w:tr>
    </w:tbl>
    <w:p/>
    <w:p>
      <w:pPr>
        <w:pStyle w:val="Heading1"/>
      </w:pPr>
      <w:r>
        <w:t xml:space="preserve">Mistakes to Avoid</w:t>
      </w:r>
    </w:p>
    <w:p>
      <w:pPr>
        <w:pStyle w:val="ListParagraph"/>
        <w:numPr>
          <w:ilvl w:val="0"/>
          <w:numId w:val="1"/>
        </w:numPr>
      </w:pPr>
      <w:r>
        <w:t xml:space="preserve">Submitting applications that do not meet the minimum age or education criteria.</w:t>
      </w:r>
    </w:p>
    <w:p>
      <w:pPr>
        <w:pStyle w:val="ListParagraph"/>
        <w:numPr>
          <w:ilvl w:val="0"/>
          <w:numId w:val="1"/>
        </w:numPr>
      </w:pPr>
      <w:r>
        <w:t xml:space="preserve">Applying for a project cost that exceeds the maximum limits for manufacturing or service.</w:t>
      </w:r>
    </w:p>
    <w:p/>
    <w:p>
      <w:pPr>
        <w:pStyle w:val="Heading1"/>
        <w:pageBreakBefore/>
      </w:pPr>
      <w:r>
        <w:t xml:space="preserve">Frequently Asked Questions</w:t>
      </w:r>
    </w:p>
    <w:p>
      <w:pPr>
        <w:pStyle w:val="Heading3"/>
      </w:pPr>
      <w:r>
        <w:t xml:space="preserve">Q1. What is the Prime Minister’s Employment Generation Programme?</w:t>
      </w:r>
    </w:p>
    <w:p>
      <w:r>
        <w:t xml:space="preserve">PMEGP is a central subsidy scheme by the Ministry of Micro, Small &amp; Medium Enterprises that supports new projects for employment generation.</w:t>
      </w:r>
    </w:p>
    <w:p/>
    <w:p>
      <w:pPr>
        <w:pStyle w:val="Heading3"/>
      </w:pPr>
      <w:r>
        <w:t xml:space="preserve">Q2. Who implements the PMEGP?</w:t>
      </w:r>
    </w:p>
    <w:p>
      <w:r>
        <w:t xml:space="preserve">The Ministry of Micro, Small &amp; Medium Enterprises is the implementing agency for PMEGP.</w:t>
      </w:r>
    </w:p>
    <w:p/>
    <w:p>
      <w:pPr>
        <w:pStyle w:val="Heading3"/>
      </w:pPr>
      <w:r>
        <w:t xml:space="preserve">Q3. What is the maximum project cost for a manufacturing unit under PMEGP?</w:t>
      </w:r>
    </w:p>
    <w:p>
      <w:r>
        <w:t xml:space="preserve">The maximum project cost for manufacturing is ₹50 lakh.</w:t>
      </w:r>
    </w:p>
    <w:p/>
    <w:p>
      <w:pPr>
        <w:pStyle w:val="Heading3"/>
      </w:pPr>
      <w:r>
        <w:t xml:space="preserve">Q4. What is the maximum project cost for a service unit under PMEGP?</w:t>
      </w:r>
    </w:p>
    <w:p>
      <w:r>
        <w:t xml:space="preserve">The maximum project cost for services is ₹20 lakh.</w:t>
      </w:r>
    </w:p>
    <w:p/>
    <w:p>
      <w:pPr>
        <w:pStyle w:val="Heading3"/>
      </w:pPr>
      <w:r>
        <w:t xml:space="preserve">Q5. What subsidy does a general category beneficiary receive in a rural area?</w:t>
      </w:r>
    </w:p>
    <w:p>
      <w:r>
        <w:t xml:space="preserve">A general category beneficiary in a rural area receives a 25% subsidy.</w:t>
      </w:r>
    </w:p>
    <w:p/>
    <w:p>
      <w:pPr>
        <w:pStyle w:val="Heading3"/>
      </w:pPr>
      <w:r>
        <w:t xml:space="preserve">Q6. What subsidy does a special category beneficiary receive in an urban area?</w:t>
      </w:r>
    </w:p>
    <w:p>
      <w:r>
        <w:t xml:space="preserve">A special category beneficiary in an urban area receives a 25% subsidy.</w:t>
      </w:r>
    </w:p>
    <w:p/>
    <w:p>
      <w:pPr>
        <w:pStyle w:val="Heading3"/>
      </w:pPr>
      <w:r>
        <w:t xml:space="preserve">Q7. What is the minimum age requirement for PMEGP?</w:t>
      </w:r>
    </w:p>
    <w:p>
      <w:r>
        <w:t xml:space="preserve">Applicants must be at least 18 years old.</w:t>
      </w:r>
    </w:p>
    <w:p/>
    <w:p>
      <w:pPr>
        <w:pStyle w:val="Heading3"/>
      </w:pPr>
      <w:r>
        <w:t xml:space="preserve">Q8. What educational qualification is required for PMEGP?</w:t>
      </w:r>
    </w:p>
    <w:p>
      <w:r>
        <w:t xml:space="preserve">Applicants must have passed the VIII standard.</w:t>
      </w:r>
    </w:p>
    <w:p/>
    <w:p>
      <w:pPr>
        <w:pStyle w:val="Heading3"/>
      </w:pPr>
      <w:r>
        <w:t xml:space="preserve">Q9. Is there a contribution required from the beneficiary?</w:t>
      </w:r>
    </w:p>
    <w:p>
      <w:r>
        <w:t xml:space="preserve">Yes, general category beneficiaries contribute 10% and special category beneficiaries contribute 5% of the project cost.</w:t>
      </w:r>
    </w:p>
    <w:p/>
    <w:p>
      <w:pPr>
        <w:pStyle w:val="Heading3"/>
      </w:pPr>
      <w:r>
        <w:t xml:space="preserve">Q10. Does PMEGP have an online application portal?</w:t>
      </w:r>
    </w:p>
    <w:p>
      <w:r>
        <w:t xml:space="preserve">No, the research indicates that an online application portal is not available.</w:t>
      </w:r>
    </w:p>
    <w:p/>
    <w:p>
      <w:pPr>
        <w:pStyle w:val="Heading3"/>
      </w:pPr>
      <w:r>
        <w:t xml:space="preserve">Q11. What is the urban subsidy for a general category project?</w:t>
      </w:r>
    </w:p>
    <w:p>
      <w:r>
        <w:t xml:space="preserve">The urban subsidy for a general category project is 15% of the project cost.</w:t>
      </w:r>
    </w:p>
    <w:p/>
    <w:p>
      <w:pPr>
        <w:pStyle w:val="Heading3"/>
      </w:pPr>
      <w:r>
        <w:t xml:space="preserve">Q12. What is the rural subsidy for a special category project?</w:t>
      </w:r>
    </w:p>
    <w:p>
      <w:r>
        <w:t xml:space="preserve">The rural subsidy for a special category project is 35% of the project cost.</w:t>
      </w:r>
    </w:p>
    <w:p/>
    <w:p>
      <w:pPr>
        <w:pStyle w:val="Heading3"/>
      </w:pPr>
      <w:r>
        <w:t xml:space="preserve">Q13. Are there any specific documents required for PMEGP?</w:t>
      </w:r>
    </w:p>
    <w:p>
      <w:r>
        <w:t xml:space="preserve">The research does not list any specific documents; applicants should refer to the official website for details.</w:t>
      </w:r>
    </w:p>
    <w:p/>
    <w:p>
      <w:pPr>
        <w:pStyle w:val="Heading3"/>
      </w:pPr>
      <w:r>
        <w:t xml:space="preserve">Q14. Is there a deadline for submitting PMEGP applications?</w:t>
      </w:r>
    </w:p>
    <w:p>
      <w:r>
        <w:t xml:space="preserve">No specific application deadline was found in the verified research.</w:t>
      </w:r>
    </w:p>
    <w:p/>
    <w:p>
      <w:pPr>
        <w:pStyle w:val="Heading3"/>
      </w:pPr>
      <w:r>
        <w:t xml:space="preserve">Q15. Can existing businesses apply for PMEGP?</w:t>
      </w:r>
    </w:p>
    <w:p>
      <w:r>
        <w:t xml:space="preserve">The scheme is designed for new projects; existing businesses must meet the eligibility criteria and project cost limits.</w:t>
      </w:r>
    </w:p>
    <w:p/>
    <w:p>
      <w:pPr>
        <w:pStyle w:val="Heading1"/>
      </w:pPr>
      <w:r>
        <w:t xml:space="preserve">Conclusion</w:t>
      </w:r>
    </w:p>
    <w:p>
      <w:r>
        <w:t xml:space="preserve">PMEGP remains a vital tool for entrepreneurs seeking to launch new ventures that create jobs. While the scheme offers generous subsidies, applicants must ensure they meet the basic eligibility criteria and adhere to the maximum project cost limits. For the most accurate and up‑to‑date information, visit the official website.</w:t>
      </w:r>
    </w:p>
    <w:p/>
    <w:p>
      <w:pPr>
        <w:pStyle w:val="Heading1"/>
        <w:pageBreakBefore/>
      </w:pPr>
      <w:r>
        <w:t xml:space="preserve">Official &amp; Research Sources</w:t>
      </w:r>
    </w:p>
    <w:p>
      <w:pPr>
        <w:pStyle w:val="Heading3"/>
      </w:pPr>
      <w:r>
        <w:t xml:space="preserve">Source</w:t>
      </w:r>
    </w:p>
    <w:p>
      <w:r>
        <w:rPr>
          <w:b/>
          <w:bCs/>
        </w:rPr>
        <w:t xml:space="preserve">URL: </w:t>
      </w:r>
      <w:hyperlink w:history="1" r:id="rIdhlgts8stjaplc4l15vz-y">
        <w:r>
          <w:rPr>
            <w:rStyle w:val="Hyperlink"/>
          </w:rPr>
        </w:r>
      </w:hyperlink>
    </w:p>
    <w:p>
      <w:r>
        <w:t xml:space="preserve">Authority: unknown</w:t>
      </w:r>
    </w:p>
    <w:p/>
    <w:p>
      <w:pPr>
        <w:pStyle w:val="Heading3"/>
      </w:pPr>
      <w:r>
        <w:t xml:space="preserve">Source</w:t>
      </w:r>
    </w:p>
    <w:p>
      <w:r>
        <w:rPr>
          <w:b/>
          <w:bCs/>
        </w:rPr>
        <w:t xml:space="preserve">URL: </w:t>
      </w:r>
      <w:hyperlink w:history="1" r:id="rIdhhozz48y49fvanixsmmh5">
        <w:r>
          <w:rPr>
            <w:rStyle w:val="Hyperlink"/>
          </w:rPr>
        </w:r>
      </w:hyperlink>
    </w:p>
    <w:p>
      <w:r>
        <w:t xml:space="preserve">Authority: unknown</w:t>
      </w:r>
    </w:p>
    <w:p/>
    <w:p>
      <w:pPr>
        <w:pStyle w:val="Heading3"/>
      </w:pPr>
      <w:r>
        <w:t xml:space="preserve">Source</w:t>
      </w:r>
    </w:p>
    <w:p>
      <w:r>
        <w:rPr>
          <w:b/>
          <w:bCs/>
        </w:rPr>
        <w:t xml:space="preserve">URL: </w:t>
      </w:r>
      <w:hyperlink w:history="1" r:id="rIdqhe99ndm1jaf5ndgsk7wg">
        <w:r>
          <w:rPr>
            <w:rStyle w:val="Hyperlink"/>
          </w:rPr>
        </w:r>
      </w:hyperlink>
    </w:p>
    <w:p>
      <w:r>
        <w:t xml:space="preserve">Authority: unknown</w:t>
      </w:r>
    </w:p>
    <w:p/>
    <w:p>
      <w:pPr>
        <w:pStyle w:val="Heading3"/>
      </w:pPr>
      <w:r>
        <w:t xml:space="preserve">Source</w:t>
      </w:r>
    </w:p>
    <w:p>
      <w:r>
        <w:rPr>
          <w:b/>
          <w:bCs/>
        </w:rPr>
        <w:t xml:space="preserve">URL: </w:t>
      </w:r>
      <w:hyperlink w:history="1" r:id="rIdscgyl7x0qf2yudxzzhclp">
        <w:r>
          <w:rPr>
            <w:rStyle w:val="Hyperlink"/>
          </w:rPr>
        </w:r>
      </w:hyperlink>
    </w:p>
    <w:p>
      <w:r>
        <w:t xml:space="preserve">Authority: unknown</w:t>
      </w:r>
    </w:p>
    <w:p/>
    <w:p>
      <w:pPr>
        <w:pStyle w:val="Heading3"/>
      </w:pPr>
      <w:r>
        <w:t xml:space="preserve">Source</w:t>
      </w:r>
    </w:p>
    <w:p>
      <w:r>
        <w:rPr>
          <w:b/>
          <w:bCs/>
        </w:rPr>
        <w:t xml:space="preserve">URL: </w:t>
      </w:r>
      <w:hyperlink w:history="1" r:id="rIdcohp8r_fdlmmztxivrxq2">
        <w:r>
          <w:rPr>
            <w:rStyle w:val="Hyperlink"/>
          </w:rPr>
        </w:r>
      </w:hyperlink>
    </w:p>
    <w:p>
      <w:r>
        <w:t xml:space="preserve">Authority: unknown</w:t>
      </w:r>
    </w:p>
    <w:p/>
    <w:p>
      <w:pPr>
        <w:pStyle w:val="Heading3"/>
      </w:pPr>
      <w:r>
        <w:t xml:space="preserve">Source</w:t>
      </w:r>
    </w:p>
    <w:p>
      <w:r>
        <w:rPr>
          <w:b/>
          <w:bCs/>
        </w:rPr>
        <w:t xml:space="preserve">URL: </w:t>
      </w:r>
      <w:hyperlink w:history="1" r:id="rId4a9qckok6fpx5n8iyeagn">
        <w:r>
          <w:rPr>
            <w:rStyle w:val="Hyperlink"/>
          </w:rPr>
        </w:r>
      </w:hyperlink>
    </w:p>
    <w:p>
      <w:r>
        <w:t xml:space="preserve">Authority: unknown</w:t>
      </w:r>
    </w:p>
    <w:p/>
    <w:p>
      <w:pPr>
        <w:pStyle w:val="Heading3"/>
      </w:pPr>
      <w:r>
        <w:t xml:space="preserve">Source</w:t>
      </w:r>
    </w:p>
    <w:p>
      <w:r>
        <w:rPr>
          <w:b/>
          <w:bCs/>
        </w:rPr>
        <w:t xml:space="preserve">URL: </w:t>
      </w:r>
      <w:hyperlink w:history="1" r:id="rIdvbdapcpbclq9z8p7fe8go">
        <w:r>
          <w:rPr>
            <w:rStyle w:val="Hyperlink"/>
          </w:rPr>
        </w:r>
      </w:hyperlink>
    </w:p>
    <w:p>
      <w:r>
        <w:t xml:space="preserve">Authority: unknown</w:t>
      </w:r>
    </w:p>
    <w:p/>
    <w:p>
      <w:pPr>
        <w:pStyle w:val="Heading3"/>
      </w:pPr>
      <w:r>
        <w:t xml:space="preserve">Source</w:t>
      </w:r>
    </w:p>
    <w:p>
      <w:r>
        <w:rPr>
          <w:b/>
          <w:bCs/>
        </w:rPr>
        <w:t xml:space="preserve">URL: </w:t>
      </w:r>
      <w:hyperlink w:history="1" r:id="rIdb3gu1fbble7lnctcehaj2">
        <w:r>
          <w:rPr>
            <w:rStyle w:val="Hyperlink"/>
          </w:rPr>
        </w:r>
      </w:hyperlink>
    </w:p>
    <w:p>
      <w:r>
        <w:t xml:space="preserve">Authority: unknown</w:t>
      </w:r>
    </w:p>
    <w:p/>
    <w:p>
      <w:pPr>
        <w:pStyle w:val="Heading3"/>
      </w:pPr>
      <w:r>
        <w:t xml:space="preserve">Source</w:t>
      </w:r>
    </w:p>
    <w:p>
      <w:r>
        <w:rPr>
          <w:b/>
          <w:bCs/>
        </w:rPr>
        <w:t xml:space="preserve">URL: </w:t>
      </w:r>
      <w:hyperlink w:history="1" r:id="rIdbczi68vjyfcz78rt5idww">
        <w:r>
          <w:rPr>
            <w:rStyle w:val="Hyperlink"/>
          </w:rPr>
        </w:r>
      </w:hyperlink>
    </w:p>
    <w:p>
      <w:r>
        <w:t xml:space="preserve">Authority: unknown</w:t>
      </w:r>
    </w:p>
    <w:p/>
    <w:p>
      <w:pPr>
        <w:pStyle w:val="Heading1"/>
      </w:pPr>
      <w:r>
        <w:t xml:space="preserve">Content Quality Audit</w:t>
      </w:r>
    </w:p>
    <w:p>
      <w:r>
        <w:t xml:space="preserve">Audit Score: 99/100</w:t>
      </w:r>
    </w:p>
    <w:p>
      <w:r>
        <w:t xml:space="preserve">Status: Passed</w:t>
      </w:r>
    </w:p>
    <w:p>
      <w:r>
        <w:t xml:space="preserve">Warnings: 2</w:t>
      </w:r>
    </w:p>
    <w:p/>
    <w:p>
      <w:pPr>
        <w:pStyle w:val="Heading1"/>
        <w:pageBreakBefore/>
      </w:pPr>
      <w:r>
        <w:t xml:space="preserve">SEO &amp; Structured Data</w:t>
      </w:r>
    </w:p>
    <w:p>
      <w:r>
        <w:t xml:space="preserve">JSON-LD Schema:</w:t>
      </w:r>
    </w:p>
    <w:p>
      <w:pPr>
        <w:pStyle w:val="Code"/>
      </w:pPr>
      <w:r>
        <w:t xml:space="preserve">{</w:t>
      </w:r>
    </w:p>
    <w:p>
      <w:pPr>
        <w:pStyle w:val="Code"/>
      </w:pPr>
      <w:r>
        <w:t xml:space="preserve">  "@context": "https://schema.org",</w:t>
      </w:r>
    </w:p>
    <w:p>
      <w:pPr>
        <w:pStyle w:val="Code"/>
      </w:pPr>
      <w:r>
        <w:t xml:space="preserve">  "@graph": [</w:t>
      </w:r>
    </w:p>
    <w:p>
      <w:pPr>
        <w:pStyle w:val="Code"/>
      </w:pPr>
      <w:r>
        <w:t xml:space="preserve">    {</w:t>
      </w:r>
    </w:p>
    <w:p>
      <w:pPr>
        <w:pStyle w:val="Code"/>
      </w:pPr>
      <w:r>
        <w:t xml:space="preserve">      "@type": "WebSite",</w:t>
      </w:r>
    </w:p>
    <w:p>
      <w:pPr>
        <w:pStyle w:val="Code"/>
      </w:pPr>
      <w:r>
        <w:t xml:space="preserve">      "@id": "https://growthora.co.in/#website",</w:t>
      </w:r>
    </w:p>
    <w:p>
      <w:pPr>
        <w:pStyle w:val="Code"/>
      </w:pPr>
      <w:r>
        <w:t xml:space="preserve">      "url": "https://growthora.co.in",</w:t>
      </w:r>
    </w:p>
    <w:p>
      <w:pPr>
        <w:pStyle w:val="Code"/>
      </w:pPr>
      <w:r>
        <w:t xml:space="preserve">      "name": "Growthora"</w:t>
      </w:r>
    </w:p>
    <w:p>
      <w:pPr>
        <w:pStyle w:val="Code"/>
      </w:pPr>
      <w:r>
        <w:t xml:space="preserve">    },</w:t>
      </w:r>
    </w:p>
    <w:p>
      <w:pPr>
        <w:pStyle w:val="Code"/>
      </w:pPr>
      <w:r>
        <w:t xml:space="preserve">    {</w:t>
      </w:r>
    </w:p>
    <w:p>
      <w:pPr>
        <w:pStyle w:val="Code"/>
      </w:pPr>
      <w:r>
        <w:t xml:space="preserve">      "@type": "WebPage",</w:t>
      </w:r>
    </w:p>
    <w:p>
      <w:pPr>
        <w:pStyle w:val="Code"/>
      </w:pPr>
      <w:r>
        <w:t xml:space="preserve">      "@id": "https://growthora.co.in/govtschemes/pmeg-scheme#webpage",</w:t>
      </w:r>
    </w:p>
    <w:p>
      <w:pPr>
        <w:pStyle w:val="Code"/>
      </w:pPr>
      <w:r>
        <w:t xml:space="preserve">      "url": "https://growthora.co.in/govtschemes/pmeg-scheme",</w:t>
      </w:r>
    </w:p>
    <w:p>
      <w:pPr>
        <w:pStyle w:val="Code"/>
      </w:pPr>
      <w:r>
        <w:t xml:space="preserve">      "name": "PMEGP Scheme – Eligibility, Benefits &amp;...",</w:t>
      </w:r>
    </w:p>
    <w:p>
      <w:pPr>
        <w:pStyle w:val="Code"/>
      </w:pPr>
      <w:r>
        <w:t xml:space="preserve">      "description": "Explore the Prime Minister’s Employment Generation Programme: eligibility, subsidy rates, project cost limits, and application steps for MSMEs.",</w:t>
      </w:r>
    </w:p>
    <w:p>
      <w:pPr>
        <w:pStyle w:val="Code"/>
      </w:pPr>
      <w:r>
        <w:t xml:space="preserve">      "isPartOf": {</w:t>
      </w:r>
    </w:p>
    <w:p>
      <w:pPr>
        <w:pStyle w:val="Code"/>
      </w:pPr>
      <w:r>
        <w:t xml:space="preserve">        "@id": "https://growthora.co.in/#website"</w:t>
      </w:r>
    </w:p>
    <w:p>
      <w:pPr>
        <w:pStyle w:val="Code"/>
      </w:pPr>
      <w:r>
        <w:t xml:space="preserve">      }</w:t>
      </w:r>
    </w:p>
    <w:p>
      <w:pPr>
        <w:pStyle w:val="Code"/>
      </w:pPr>
      <w:r>
        <w:t xml:space="preserve">    },</w:t>
      </w:r>
    </w:p>
    <w:p>
      <w:pPr>
        <w:pStyle w:val="Code"/>
      </w:pPr>
      <w:r>
        <w:t xml:space="preserve">    {</w:t>
      </w:r>
    </w:p>
    <w:p>
      <w:pPr>
        <w:pStyle w:val="Code"/>
      </w:pPr>
      <w:r>
        <w:t xml:space="preserve">      "@type": "Article",</w:t>
      </w:r>
    </w:p>
    <w:p>
      <w:pPr>
        <w:pStyle w:val="Code"/>
      </w:pPr>
      <w:r>
        <w:t xml:space="preserve">      "@id": "https://growthora.co.in/govtschemes/pmeg-scheme#article",</w:t>
      </w:r>
    </w:p>
    <w:p>
      <w:pPr>
        <w:pStyle w:val="Code"/>
      </w:pPr>
      <w:r>
        <w:t xml:space="preserve">      "isPartOf": {</w:t>
      </w:r>
    </w:p>
    <w:p>
      <w:pPr>
        <w:pStyle w:val="Code"/>
      </w:pPr>
      <w:r>
        <w:t xml:space="preserve">        "@id": "https://growthora.co.in/govtschemes/pmeg-scheme#webpage"</w:t>
      </w:r>
    </w:p>
    <w:p>
      <w:pPr>
        <w:pStyle w:val="Code"/>
      </w:pPr>
      <w:r>
        <w:t xml:space="preserve">      },</w:t>
      </w:r>
    </w:p>
    <w:p>
      <w:pPr>
        <w:pStyle w:val="Code"/>
      </w:pPr>
      <w:r>
        <w:t xml:space="preserve">      "mainEntityOfPage": {</w:t>
      </w:r>
    </w:p>
    <w:p>
      <w:pPr>
        <w:pStyle w:val="Code"/>
      </w:pPr>
      <w:r>
        <w:t xml:space="preserve">        "@id": "https://growthora.co.in/govtschemes/pmeg-scheme#webpage"</w:t>
      </w:r>
    </w:p>
    <w:p>
      <w:pPr>
        <w:pStyle w:val="Code"/>
      </w:pPr>
      <w:r>
        <w:t xml:space="preserve">      },</w:t>
      </w:r>
    </w:p>
    <w:p>
      <w:pPr>
        <w:pStyle w:val="Code"/>
      </w:pPr>
      <w:r>
        <w:t xml:space="preserve">      "headline": "Prime Minister’s Employment Generation Programme (PMEGP)",</w:t>
      </w:r>
    </w:p>
    <w:p>
      <w:pPr>
        <w:pStyle w:val="Code"/>
      </w:pPr>
      <w:r>
        <w:t xml:space="preserve">      "description": "Explore the Prime Minister’s Employment Generation Programme: eligibility, subsidy rates, project cost limits, and application steps for MSMEs.",</w:t>
      </w:r>
    </w:p>
    <w:p>
      <w:pPr>
        <w:pStyle w:val="Code"/>
      </w:pPr>
      <w:r>
        <w:t xml:space="preserve">      "author": {</w:t>
      </w:r>
    </w:p>
    <w:p>
      <w:pPr>
        <w:pStyle w:val="Code"/>
      </w:pPr>
      <w:r>
        <w:t xml:space="preserve">        "@type": "Organization",</w:t>
      </w:r>
    </w:p>
    <w:p>
      <w:pPr>
        <w:pStyle w:val="Code"/>
      </w:pPr>
      <w:r>
        <w:t xml:space="preserve">        "name": "Growthora Editorial Team"</w:t>
      </w:r>
    </w:p>
    <w:p>
      <w:pPr>
        <w:pStyle w:val="Code"/>
      </w:pPr>
      <w:r>
        <w:t xml:space="preserve">      },</w:t>
      </w:r>
    </w:p>
    <w:p>
      <w:pPr>
        <w:pStyle w:val="Code"/>
      </w:pPr>
      <w:r>
        <w:t xml:space="preserve">      "publisher": {</w:t>
      </w:r>
    </w:p>
    <w:p>
      <w:pPr>
        <w:pStyle w:val="Code"/>
      </w:pPr>
      <w:r>
        <w:t xml:space="preserve">        "@type": "Organization",</w:t>
      </w:r>
    </w:p>
    <w:p>
      <w:pPr>
        <w:pStyle w:val="Code"/>
      </w:pPr>
      <w:r>
        <w:t xml:space="preserve">        "@id": "https://growthora.co.in/#organization",</w:t>
      </w:r>
    </w:p>
    <w:p>
      <w:pPr>
        <w:pStyle w:val="Code"/>
      </w:pPr>
      <w:r>
        <w:t xml:space="preserve">        "name": "Growthora"</w:t>
      </w:r>
    </w:p>
    <w:p>
      <w:pPr>
        <w:pStyle w:val="Code"/>
      </w:pPr>
      <w:r>
        <w:t xml:space="preserve">      }</w:t>
      </w:r>
    </w:p>
    <w:p>
      <w:pPr>
        <w:pStyle w:val="Code"/>
      </w:pPr>
      <w:r>
        <w:t xml:space="preserve">    },</w:t>
      </w:r>
    </w:p>
    <w:p>
      <w:pPr>
        <w:pStyle w:val="Code"/>
      </w:pPr>
      <w:r>
        <w:t xml:space="preserve">    {</w:t>
      </w:r>
    </w:p>
    <w:p>
      <w:pPr>
        <w:pStyle w:val="Code"/>
      </w:pPr>
      <w:r>
        <w:t xml:space="preserve">      "@type": "BreadcrumbList",</w:t>
      </w:r>
    </w:p>
    <w:p>
      <w:pPr>
        <w:pStyle w:val="Code"/>
      </w:pPr>
      <w:r>
        <w:t xml:space="preserve">      "@id": "https://growthora.co.in/govtschemes/pmeg-scheme#breadcrumb",</w:t>
      </w:r>
    </w:p>
    <w:p>
      <w:pPr>
        <w:pStyle w:val="Code"/>
      </w:pPr>
      <w:r>
        <w:t xml:space="preserve">      "itemListElement": [</w:t>
      </w:r>
    </w:p>
    <w:p>
      <w:pPr>
        <w:pStyle w:val="Code"/>
      </w:pPr>
      <w:r>
        <w:t xml:space="preserve">        {</w:t>
      </w:r>
    </w:p>
    <w:p>
      <w:pPr>
        <w:pStyle w:val="Code"/>
      </w:pPr>
      <w:r>
        <w:t xml:space="preserve">          "@type": "ListItem",</w:t>
      </w:r>
    </w:p>
    <w:p>
      <w:pPr>
        <w:pStyle w:val="Code"/>
      </w:pPr>
      <w:r>
        <w:t xml:space="preserve">          "position": 1,</w:t>
      </w:r>
    </w:p>
    <w:p>
      <w:pPr>
        <w:pStyle w:val="Code"/>
      </w:pPr>
      <w:r>
        <w:t xml:space="preserve">          "name": "Home",</w:t>
      </w:r>
    </w:p>
    <w:p>
      <w:pPr>
        <w:pStyle w:val="Code"/>
      </w:pPr>
      <w:r>
        <w:t xml:space="preserve">          "item": "https://growthora.co.in"</w:t>
      </w:r>
    </w:p>
    <w:p>
      <w:pPr>
        <w:pStyle w:val="Code"/>
      </w:pPr>
      <w:r>
        <w:t xml:space="preserve">        },</w:t>
      </w:r>
    </w:p>
    <w:p>
      <w:pPr>
        <w:pStyle w:val="Code"/>
      </w:pPr>
      <w:r>
        <w:t xml:space="preserve">        {</w:t>
      </w:r>
    </w:p>
    <w:p>
      <w:pPr>
        <w:pStyle w:val="Code"/>
      </w:pPr>
      <w:r>
        <w:t xml:space="preserve">          "@type": "ListItem",</w:t>
      </w:r>
    </w:p>
    <w:p>
      <w:pPr>
        <w:pStyle w:val="Code"/>
      </w:pPr>
      <w:r>
        <w:t xml:space="preserve">          "position": 2,</w:t>
      </w:r>
    </w:p>
    <w:p>
      <w:pPr>
        <w:pStyle w:val="Code"/>
      </w:pPr>
      <w:r>
        <w:t xml:space="preserve">          "name": "Schemes",</w:t>
      </w:r>
    </w:p>
    <w:p>
      <w:pPr>
        <w:pStyle w:val="Code"/>
      </w:pPr>
      <w:r>
        <w:t xml:space="preserve">          "item": "https://growthora.co.in/govtschemes"</w:t>
      </w:r>
    </w:p>
    <w:p>
      <w:pPr>
        <w:pStyle w:val="Code"/>
      </w:pPr>
      <w:r>
        <w:t xml:space="preserve">        },</w:t>
      </w:r>
    </w:p>
    <w:p>
      <w:pPr>
        <w:pStyle w:val="Code"/>
      </w:pPr>
      <w:r>
        <w:t xml:space="preserve">        {</w:t>
      </w:r>
    </w:p>
    <w:p>
      <w:pPr>
        <w:pStyle w:val="Code"/>
      </w:pPr>
      <w:r>
        <w:t xml:space="preserve">          "@type": "ListItem",</w:t>
      </w:r>
    </w:p>
    <w:p>
      <w:pPr>
        <w:pStyle w:val="Code"/>
      </w:pPr>
      <w:r>
        <w:t xml:space="preserve">          "position": 3,</w:t>
      </w:r>
    </w:p>
    <w:p>
      <w:pPr>
        <w:pStyle w:val="Code"/>
      </w:pPr>
      <w:r>
        <w:t xml:space="preserve">          "name": "Prime Minister’s Employment Generation Programme (PMEGP)",</w:t>
      </w:r>
    </w:p>
    <w:p>
      <w:pPr>
        <w:pStyle w:val="Code"/>
      </w:pPr>
      <w:r>
        <w:t xml:space="preserve">          "item": "https://growthora.co.in/govtschemes/pmeg-scheme"</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w:t>
      </w:r>
    </w:p>
    <w:sectPr>
      <w:headerReference w:type="default" r:id="rId7"/>
      <w:footerReference w:type="default" r:id="rId8"/>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rPr>
      <w:t xml:space="preserve">growthora.co.in</w:t>
    </w:r>
    <w:r>
      <w:rPr>
        <w:color w:val="888888"/>
      </w:rPr>
      <w:r>
        <w:t xml:space="preserve">Page </w:t>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rPr>
      <w:t xml:space="preserve">Growthora Advisory Private Limited</w:t>
    </w:r>
    <w:r>
      <w:rPr>
        <w:color w:val="888888"/>
      </w:rPr>
      <w:t xml:space="preserve">Scheme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20" w:before="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Arial" w:cs="Arial" w:eastAsia="Arial" w:hAnsi="Arial"/>
      <w:b/>
      <w:bCs/>
      <w:color w:val="1B4332"/>
      <w:sz w:val="48"/>
      <w:szCs w:val="48"/>
    </w:rPr>
  </w:style>
  <w:style w:type="paragraph" w:styleId="Heading1">
    <w:name w:val="Heading 1"/>
    <w:basedOn w:val="Normal"/>
    <w:next w:val="Normal"/>
    <w:pPr>
      <w:spacing w:after="120" w:before="240"/>
    </w:pPr>
    <w:rPr>
      <w:rFonts w:ascii="Arial" w:cs="Arial" w:eastAsia="Arial" w:hAnsi="Arial"/>
      <w:b/>
      <w:bCs/>
      <w:color w:val="1B4332"/>
      <w:sz w:val="44"/>
      <w:szCs w:val="44"/>
    </w:rPr>
  </w:style>
  <w:style w:type="paragraph" w:styleId="Heading2">
    <w:name w:val="Heading 2"/>
    <w:basedOn w:val="Normal"/>
    <w:next w:val="Normal"/>
    <w:pPr>
      <w:spacing w:after="100" w:before="200"/>
    </w:pPr>
    <w:rPr>
      <w:rFonts w:ascii="Arial" w:cs="Arial" w:eastAsia="Arial" w:hAnsi="Arial"/>
      <w:b/>
      <w:bCs/>
      <w:color w:val="2D6A4F"/>
      <w:sz w:val="32"/>
      <w:szCs w:val="32"/>
    </w:rPr>
  </w:style>
  <w:style w:type="paragraph" w:styleId="Heading3">
    <w:name w:val="Heading 3"/>
    <w:basedOn w:val="Normal"/>
    <w:next w:val="Normal"/>
    <w:pPr>
      <w:spacing w:after="80" w:before="160"/>
    </w:pPr>
    <w:rPr>
      <w:rFonts w:ascii="Arial" w:cs="Arial" w:eastAsia="Arial" w:hAnsi="Arial"/>
      <w:b/>
      <w:bCs/>
      <w:color w:val="40916C"/>
      <w:sz w:val="26"/>
      <w:szCs w:val="26"/>
    </w:rPr>
  </w:style>
  <w:style w:type="paragraph" w:styleId="Snippet">
    <w:name w:val="Snippet"/>
    <w:basedOn w:val="Normal"/>
    <w:next w:val="Normal"/>
    <w:pPr>
      <w:spacing w:after="120" w:before="120"/>
      <w:ind w:left="360" w:right="360"/>
    </w:pPr>
    <w:rPr>
      <w:b/>
      <w:bCs/>
      <w:color w:val="111111"/>
      <w:sz w:val="22"/>
      <w:szCs w:val="22"/>
    </w:rPr>
  </w:style>
  <w:style w:type="paragraph" w:styleId="Code">
    <w:name w:val="Code"/>
    <w:basedOn w:val="Normal"/>
    <w:next w:val="Normal"/>
    <w:rPr>
      <w:rFonts w:ascii="Courier New" w:cs="Courier New" w:eastAsia="Courier New" w:hAnsi="Courier New"/>
      <w:color w:val="555555"/>
      <w:sz w:val="18"/>
      <w:szCs w:val="18"/>
    </w:rPr>
  </w:style>
  <w:style w:type="paragraph" w:styleId="Warning">
    <w:name w:val="Warning"/>
    <w:basedOn w:val="Normal"/>
    <w:next w:val="Normal"/>
    <w:pPr>
      <w:jc w:val="center"/>
    </w:pPr>
    <w:rPr>
      <w:b/>
      <w:bCs/>
      <w:color w:val="D32F2F"/>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lgts8stjaplc4l15vz-y" Type="http://schemas.openxmlformats.org/officeDocument/2006/relationships/hyperlink" TargetMode="External"/><Relationship Id="rIdhhozz48y49fvanixsmmh5" Type="http://schemas.openxmlformats.org/officeDocument/2006/relationships/hyperlink" TargetMode="External"/><Relationship Id="rIdqhe99ndm1jaf5ndgsk7wg" Type="http://schemas.openxmlformats.org/officeDocument/2006/relationships/hyperlink" TargetMode="External"/><Relationship Id="rIdscgyl7x0qf2yudxzzhclp" Type="http://schemas.openxmlformats.org/officeDocument/2006/relationships/hyperlink" TargetMode="External"/><Relationship Id="rIdcohp8r_fdlmmztxivrxq2" Type="http://schemas.openxmlformats.org/officeDocument/2006/relationships/hyperlink" TargetMode="External"/><Relationship Id="rId4a9qckok6fpx5n8iyeagn" Type="http://schemas.openxmlformats.org/officeDocument/2006/relationships/hyperlink" TargetMode="External"/><Relationship Id="rIdvbdapcpbclq9z8p7fe8go" Type="http://schemas.openxmlformats.org/officeDocument/2006/relationships/hyperlink" TargetMode="External"/><Relationship Id="rIdb3gu1fbble7lnctcehaj2" Type="http://schemas.openxmlformats.org/officeDocument/2006/relationships/hyperlink" TargetMode="External"/><Relationship Id="rIdbczi68vjyfcz78rt5idww" Type="http://schemas.openxmlformats.org/officeDocument/2006/relationships/hyperlink"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Minister’s Employment Generation Programme (PMEGP)</dc:title>
  <dc:subject>Government Scheme Guide</dc:subject>
  <dc:creator>Growthora Advisory Private Limited</dc:creator>
  <cp:keywords>Prime Minister’s Employment Generation Programme, PMEGP, MSME scheme, employment generation programme</cp:keywords>
  <cp:lastModifiedBy>Un-named</cp:lastModifiedBy>
  <cp:revision>1</cp:revision>
  <dcterms:created xsi:type="dcterms:W3CDTF">2026-09-26T08:15:44.834Z</dcterms:created>
  <dcterms:modified xsi:type="dcterms:W3CDTF">2026-09-26T08:15:44.834Z</dcterms:modified>
</cp:coreProperties>
</file>

<file path=docProps/custom.xml><?xml version="1.0" encoding="utf-8"?>
<Properties xmlns="http://schemas.openxmlformats.org/officeDocument/2006/custom-properties" xmlns:vt="http://schemas.openxmlformats.org/officeDocument/2006/docPropsVTypes"/>
</file>