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APEX HORIZON BANK</w:t>
        <w:br/>
        <w:t>OFFICIAL MORTGAGE LOAN DISCLOSURE</w:t>
      </w:r>
    </w:p>
    <w:p>
      <w:pPr>
        <w:pStyle w:val="Heading1"/>
      </w:pPr>
      <w:r>
        <w:t>1. Borrower Information</w:t>
      </w:r>
    </w:p>
    <w:p>
      <w:r>
        <w:t>Borrower Name: Jonathan A. Doe</w:t>
      </w:r>
    </w:p>
    <w:p>
      <w:r>
        <w:t>Co-Borrower Name: N/A</w:t>
      </w:r>
    </w:p>
    <w:p>
      <w:r>
        <w:t>Borrower Address: 1234 Maplewood Drive, Springfield, IL 62704</w:t>
      </w:r>
    </w:p>
    <w:p>
      <w:r>
        <w:t>Contact Phone: (555) 019-8372</w:t>
      </w:r>
    </w:p>
    <w:p>
      <w:r>
        <w:t>Email: jonathan.doe@example.com</w:t>
      </w:r>
    </w:p>
    <w:p>
      <w:pPr>
        <w:pStyle w:val="Heading1"/>
      </w:pPr>
      <w:r>
        <w:t>2. Property Information</w:t>
      </w:r>
    </w:p>
    <w:p>
      <w:r>
        <w:t>Property Address: 1234 Maplewood Drive, Springfield, IL 62704</w:t>
      </w:r>
    </w:p>
    <w:p>
      <w:r>
        <w:t>Property Type: Single Family Residence</w:t>
      </w:r>
    </w:p>
    <w:p>
      <w:r>
        <w:t>Parcel ID: 84-12-049-332</w:t>
      </w:r>
    </w:p>
    <w:p>
      <w:r>
        <w:t>Appraised Value: $420,000.00</w:t>
      </w:r>
    </w:p>
    <w:p>
      <w:pPr>
        <w:pStyle w:val="Heading1"/>
      </w:pPr>
      <w:r>
        <w:t>3. Loan Summary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Loan Number</w:t>
            </w:r>
          </w:p>
        </w:tc>
        <w:tc>
          <w:tcPr>
            <w:tcW w:type="dxa" w:w="4320"/>
          </w:tcPr>
          <w:p>
            <w:r>
              <w:t>MTG-99482711-X</w:t>
            </w:r>
          </w:p>
        </w:tc>
      </w:tr>
      <w:tr>
        <w:tc>
          <w:tcPr>
            <w:tcW w:type="dxa" w:w="4320"/>
          </w:tcPr>
          <w:p>
            <w:r>
              <w:t>Loan Amount</w:t>
            </w:r>
          </w:p>
        </w:tc>
        <w:tc>
          <w:tcPr>
            <w:tcW w:type="dxa" w:w="4320"/>
          </w:tcPr>
          <w:p>
            <w:r>
              <w:t>$350,000.00</w:t>
            </w:r>
          </w:p>
        </w:tc>
      </w:tr>
      <w:tr>
        <w:tc>
          <w:tcPr>
            <w:tcW w:type="dxa" w:w="4320"/>
          </w:tcPr>
          <w:p>
            <w:r>
              <w:t>Interest Rate</w:t>
            </w:r>
          </w:p>
        </w:tc>
        <w:tc>
          <w:tcPr>
            <w:tcW w:type="dxa" w:w="4320"/>
          </w:tcPr>
          <w:p>
            <w:r>
              <w:t>6.25%</w:t>
            </w:r>
          </w:p>
        </w:tc>
      </w:tr>
      <w:tr>
        <w:tc>
          <w:tcPr>
            <w:tcW w:type="dxa" w:w="4320"/>
          </w:tcPr>
          <w:p>
            <w:r>
              <w:t>Term</w:t>
            </w:r>
          </w:p>
        </w:tc>
        <w:tc>
          <w:tcPr>
            <w:tcW w:type="dxa" w:w="4320"/>
          </w:tcPr>
          <w:p>
            <w:r>
              <w:t>30 Years (360 Months)</w:t>
            </w:r>
          </w:p>
        </w:tc>
      </w:tr>
      <w:tr>
        <w:tc>
          <w:tcPr>
            <w:tcW w:type="dxa" w:w="4320"/>
          </w:tcPr>
          <w:p>
            <w:r>
              <w:t>Loan Type</w:t>
            </w:r>
          </w:p>
        </w:tc>
        <w:tc>
          <w:tcPr>
            <w:tcW w:type="dxa" w:w="4320"/>
          </w:tcPr>
          <w:p>
            <w:r>
              <w:t>Fixed Rate Conventional</w:t>
            </w:r>
          </w:p>
        </w:tc>
      </w:tr>
      <w:tr>
        <w:tc>
          <w:tcPr>
            <w:tcW w:type="dxa" w:w="4320"/>
          </w:tcPr>
          <w:p>
            <w:r>
              <w:t>Origination Date</w:t>
            </w:r>
          </w:p>
        </w:tc>
        <w:tc>
          <w:tcPr>
            <w:tcW w:type="dxa" w:w="4320"/>
          </w:tcPr>
          <w:p>
            <w:r>
              <w:t>August 1, 2026</w:t>
            </w:r>
          </w:p>
        </w:tc>
      </w:tr>
      <w:tr>
        <w:tc>
          <w:tcPr>
            <w:tcW w:type="dxa" w:w="4320"/>
          </w:tcPr>
          <w:p>
            <w:r>
              <w:t>First Payment Date</w:t>
            </w:r>
          </w:p>
        </w:tc>
        <w:tc>
          <w:tcPr>
            <w:tcW w:type="dxa" w:w="4320"/>
          </w:tcPr>
          <w:p>
            <w:r>
              <w:t>September 1, 2026</w:t>
            </w:r>
          </w:p>
        </w:tc>
      </w:tr>
      <w:tr>
        <w:tc>
          <w:tcPr>
            <w:tcW w:type="dxa" w:w="4320"/>
          </w:tcPr>
          <w:p>
            <w:r>
              <w:t>Maturity Date</w:t>
            </w:r>
          </w:p>
        </w:tc>
        <w:tc>
          <w:tcPr>
            <w:tcW w:type="dxa" w:w="4320"/>
          </w:tcPr>
          <w:p>
            <w:r>
              <w:t>August 1, 2056</w:t>
            </w:r>
          </w:p>
        </w:tc>
      </w:tr>
    </w:tbl>
    <w:p/>
    <w:p>
      <w:pPr>
        <w:pStyle w:val="Heading1"/>
      </w:pPr>
      <w:r>
        <w:t>4. Monthly Payment Breakdown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Monthly Amount</w:t>
            </w:r>
          </w:p>
        </w:tc>
      </w:tr>
      <w:tr>
        <w:tc>
          <w:tcPr>
            <w:tcW w:type="dxa" w:w="4320"/>
          </w:tcPr>
          <w:p>
            <w:r>
              <w:t>Principal &amp; Interest</w:t>
            </w:r>
          </w:p>
        </w:tc>
        <w:tc>
          <w:tcPr>
            <w:tcW w:type="dxa" w:w="4320"/>
          </w:tcPr>
          <w:p>
            <w:r>
              <w:t>$2,155.01</w:t>
            </w:r>
          </w:p>
        </w:tc>
      </w:tr>
      <w:tr>
        <w:tc>
          <w:tcPr>
            <w:tcW w:type="dxa" w:w="4320"/>
          </w:tcPr>
          <w:p>
            <w:r>
              <w:t>Property Taxes (Escrow)</w:t>
            </w:r>
          </w:p>
        </w:tc>
        <w:tc>
          <w:tcPr>
            <w:tcW w:type="dxa" w:w="4320"/>
          </w:tcPr>
          <w:p>
            <w:r>
              <w:t>$450.00</w:t>
            </w:r>
          </w:p>
        </w:tc>
      </w:tr>
      <w:tr>
        <w:tc>
          <w:tcPr>
            <w:tcW w:type="dxa" w:w="4320"/>
          </w:tcPr>
          <w:p>
            <w:r>
              <w:t>Homeowners Insurance (Escrow)</w:t>
            </w:r>
          </w:p>
        </w:tc>
        <w:tc>
          <w:tcPr>
            <w:tcW w:type="dxa" w:w="4320"/>
          </w:tcPr>
          <w:p>
            <w:r>
              <w:t>$120.00</w:t>
            </w:r>
          </w:p>
        </w:tc>
      </w:tr>
      <w:tr>
        <w:tc>
          <w:tcPr>
            <w:tcW w:type="dxa" w:w="4320"/>
          </w:tcPr>
          <w:p>
            <w:r>
              <w:t>Mortgage Insurance (PMI)</w:t>
            </w:r>
          </w:p>
        </w:tc>
        <w:tc>
          <w:tcPr>
            <w:tcW w:type="dxa" w:w="4320"/>
          </w:tcPr>
          <w:p>
            <w:r>
              <w:t>$0.00</w:t>
            </w:r>
          </w:p>
        </w:tc>
      </w:tr>
      <w:tr>
        <w:tc>
          <w:tcPr>
            <w:tcW w:type="dxa" w:w="4320"/>
          </w:tcPr>
          <w:p>
            <w:r>
              <w:t>HOA Dues (Estimated)</w:t>
            </w:r>
          </w:p>
        </w:tc>
        <w:tc>
          <w:tcPr>
            <w:tcW w:type="dxa" w:w="4320"/>
          </w:tcPr>
          <w:p>
            <w:r>
              <w:t>$50.00</w:t>
            </w:r>
          </w:p>
        </w:tc>
      </w:tr>
      <w:tr>
        <w:tc>
          <w:tcPr>
            <w:tcW w:type="dxa" w:w="4320"/>
          </w:tcPr>
          <w:p>
            <w:r>
              <w:t>Total Estimated Monthly Payment</w:t>
            </w:r>
          </w:p>
        </w:tc>
        <w:tc>
          <w:tcPr>
            <w:tcW w:type="dxa" w:w="4320"/>
          </w:tcPr>
          <w:p>
            <w:r>
              <w:t>$2,775.01</w:t>
            </w:r>
          </w:p>
        </w:tc>
      </w:tr>
    </w:tbl>
    <w:p/>
    <w:p>
      <w:pPr>
        <w:pStyle w:val="Heading1"/>
      </w:pPr>
      <w:r>
        <w:t>5. Closing Cost Breakdown</w:t>
      </w:r>
    </w:p>
    <w:tbl>
      <w:tblPr>
        <w:tblStyle w:val="TableGrid"/>
        <w:tblW w:type="auto" w:w="0"/>
        <w:tblLook w:firstColumn="1" w:firstRow="1" w:lastColumn="0" w:lastRow="0" w:noHBand="0" w:noVBand="1" w:val="04A0"/>
      </w:tblPr>
      <w:tblGrid>
        <w:gridCol w:w="4320"/>
        <w:gridCol w:w="4320"/>
      </w:tblGrid>
      <w:tr>
        <w:tc>
          <w:tcPr>
            <w:tcW w:type="dxa" w:w="4320"/>
          </w:tcPr>
          <w:p>
            <w:r>
              <w:t>Fee Description</w:t>
            </w:r>
          </w:p>
        </w:tc>
        <w:tc>
          <w:tcPr>
            <w:tcW w:type="dxa" w:w="4320"/>
          </w:tcPr>
          <w:p>
            <w:r>
              <w:t>Amount</w:t>
            </w:r>
          </w:p>
        </w:tc>
      </w:tr>
      <w:tr>
        <w:tc>
          <w:tcPr>
            <w:tcW w:type="dxa" w:w="4320"/>
          </w:tcPr>
          <w:p>
            <w:r>
              <w:t>Origination Fee</w:t>
            </w:r>
          </w:p>
        </w:tc>
        <w:tc>
          <w:tcPr>
            <w:tcW w:type="dxa" w:w="4320"/>
          </w:tcPr>
          <w:p>
            <w:r>
              <w:t>$3,500.00</w:t>
            </w:r>
          </w:p>
        </w:tc>
      </w:tr>
      <w:tr>
        <w:tc>
          <w:tcPr>
            <w:tcW w:type="dxa" w:w="4320"/>
          </w:tcPr>
          <w:p>
            <w:r>
              <w:t>Appraisal Fee</w:t>
            </w:r>
          </w:p>
        </w:tc>
        <w:tc>
          <w:tcPr>
            <w:tcW w:type="dxa" w:w="4320"/>
          </w:tcPr>
          <w:p>
            <w:r>
              <w:t>$600.00</w:t>
            </w:r>
          </w:p>
        </w:tc>
      </w:tr>
      <w:tr>
        <w:tc>
          <w:tcPr>
            <w:tcW w:type="dxa" w:w="4320"/>
          </w:tcPr>
          <w:p>
            <w:r>
              <w:t>Title Insurance</w:t>
            </w:r>
          </w:p>
        </w:tc>
        <w:tc>
          <w:tcPr>
            <w:tcW w:type="dxa" w:w="4320"/>
          </w:tcPr>
          <w:p>
            <w:r>
              <w:t>$1,200.00</w:t>
            </w:r>
          </w:p>
        </w:tc>
      </w:tr>
      <w:tr>
        <w:tc>
          <w:tcPr>
            <w:tcW w:type="dxa" w:w="4320"/>
          </w:tcPr>
          <w:p>
            <w:r>
              <w:t>Recording Fees</w:t>
            </w:r>
          </w:p>
        </w:tc>
        <w:tc>
          <w:tcPr>
            <w:tcW w:type="dxa" w:w="4320"/>
          </w:tcPr>
          <w:p>
            <w:r>
              <w:t>$150.00</w:t>
            </w:r>
          </w:p>
        </w:tc>
      </w:tr>
      <w:tr>
        <w:tc>
          <w:tcPr>
            <w:tcW w:type="dxa" w:w="4320"/>
          </w:tcPr>
          <w:p>
            <w:r>
              <w:t>Transfer Taxes</w:t>
            </w:r>
          </w:p>
        </w:tc>
        <w:tc>
          <w:tcPr>
            <w:tcW w:type="dxa" w:w="4320"/>
          </w:tcPr>
          <w:p>
            <w:r>
              <w:t>$800.00</w:t>
            </w:r>
          </w:p>
        </w:tc>
      </w:tr>
      <w:tr>
        <w:tc>
          <w:tcPr>
            <w:tcW w:type="dxa" w:w="4320"/>
          </w:tcPr>
          <w:p>
            <w:r>
              <w:t>Prepaid Interest</w:t>
            </w:r>
          </w:p>
        </w:tc>
        <w:tc>
          <w:tcPr>
            <w:tcW w:type="dxa" w:w="4320"/>
          </w:tcPr>
          <w:p>
            <w:r>
              <w:t>$450.00</w:t>
            </w:r>
          </w:p>
        </w:tc>
      </w:tr>
      <w:tr>
        <w:tc>
          <w:tcPr>
            <w:tcW w:type="dxa" w:w="4320"/>
          </w:tcPr>
          <w:p>
            <w:r>
              <w:t>Total Closing Costs</w:t>
            </w:r>
          </w:p>
        </w:tc>
        <w:tc>
          <w:tcPr>
            <w:tcW w:type="dxa" w:w="4320"/>
          </w:tcPr>
          <w:p>
            <w:r>
              <w:t>$6,700.00</w:t>
            </w:r>
          </w:p>
        </w:tc>
      </w:tr>
    </w:tbl>
    <w:p/>
    <w:p>
      <w:pPr>
        <w:pStyle w:val="Heading1"/>
      </w:pPr>
      <w:r>
        <w:t>6. Interest Rate Details</w:t>
      </w:r>
    </w:p>
    <w:p>
      <w:r>
        <w:t>The interest rate on this loan is fixed at 6.25% for the entire duration of the 30-year term. Interest is calculated on a 360-day year divided into twelve 30-day months. No interest rate adjustments will occur during the life of the loan. Prepayment of principal may be made at any time without penalty, allowing the borrower to reduce the overall interest paid over the life of the loan.</w:t>
      </w:r>
    </w:p>
    <w:p>
      <w:pPr>
        <w:pStyle w:val="Heading1"/>
      </w:pPr>
      <w:r>
        <w:t>7. Loan Terms and Conditions</w:t>
      </w:r>
    </w:p>
    <w:p>
      <w:pPr>
        <w:pStyle w:val="Heading2"/>
      </w:pPr>
      <w:r>
        <w:t>1. Payment of Principal, Interest, Escrow Items, and Late Charges</w:t>
      </w:r>
    </w:p>
    <w:p>
      <w:pPr>
        <w:jc w:val="both"/>
      </w:pPr>
      <w:r>
        <w:t>The Borrower shall pay when due the principal of, and interest on, the debt evidenced by the Note and any prepayment charges and late charges due under the Note. Borrower shall also pay funds for Escrow Items pursuant to Section 3. Payments due under the Note and this Security Instrument shall be made in U.S. currency. However, if any check or other instrument received by Lender as payment under the Note or this Security Instrument is returned to Lender unpaid, Lender may require that any or all subsequent payments due under the Note and this Security Instrument be made in one or more of the following forms, as selected by Lender: (a) cash; (b) money order; (c) certified check, bank check, treasurer's check or cashier's check, provided any such check is drawn upon an institution whose deposits are insured by a federal agency, instrumentality, or entity; or (d) Electronic Funds Transfer. Payments are deemed received by Lender when received at the location designated in the Note or at such other location as may be designated by Lender in accordance with the notice provisions in Section 15. Lender may return any payment or partial payment if the payment or partial payments are insufficient to bring the Loan current.</w:t>
      </w:r>
    </w:p>
    <w:p>
      <w:pPr>
        <w:pStyle w:val="Heading2"/>
      </w:pPr>
      <w:r>
        <w:t>2. Application of Payments or Proceeds</w:t>
      </w:r>
    </w:p>
    <w:p>
      <w:pPr>
        <w:jc w:val="both"/>
      </w:pPr>
      <w:r>
        <w:t>Except as otherwise described in this Section 2, all payments accepted and applied by Lender shall be applied in the following order of priority: (a) interest due under the Note; (b) principal due under the Note; (c) amounts due under Section 3. Such payments shall be applied to each Periodic Payment in the order in which it became due. Any remaining amounts shall be applied first to late charges, second to any other amounts due under this Security Instrument, and then to reduce the principal balance of the Note. If Lender receives a payment from Borrower for a delinquent Periodic Payment which includes a sufficient amount to pay any late charge due, the payment may be applied to the delinquent payment and the late charge. If more than one Periodic Payment is outstanding, Lender may apply any payment received from Borrower to the repayment of the Periodic Payments if, and to the extent that, each payment can be paid in full. To the extent that any excess exists after the payment is applied to the full payment of one or more Periodic Payments, such excess may be applied to any late charges due. Voluntary prepayments shall be applied first to any prepayment charges and then as described in the Note.</w:t>
      </w:r>
    </w:p>
    <w:p>
      <w:pPr>
        <w:pStyle w:val="Heading2"/>
      </w:pPr>
      <w:r>
        <w:t>3. Funds for Escrow Items</w:t>
      </w:r>
    </w:p>
    <w:p>
      <w:pPr>
        <w:jc w:val="both"/>
      </w:pPr>
      <w:r>
        <w:t>Borrower shall pay to Lender on the day Periodic Payments are due under the Note, until the Note is paid in full, a sum (the 'Funds') to provide for payment of amounts due for: (a) taxes and assessments and other items which can attain priority over this Security Instrument as a lien or encumbrance on the Property; (b) leasehold payments or ground rents on the Property, if any; (c) premiums for any and all insurance required by Lender under Section 5; and (d) Mortgage Insurance premiums, if any, or any sums payable by Borrower to Lender in lieu of the payment of Mortgage Insurance premiums in accordance with the provisions of Section 10. These items are called 'Escrow Items.' At origination or at any time during the term of the Loan, Lender may require that Community Association Dues, Fees, and Assessments, if any, be escrowed by Borrower, and such dues, fees and assessments shall be an Escrow Item. Borrower shall promptly furnish to Lender all notices of amounts to be paid under this Section. Borrower shall pay Lender the Funds for Escrow Items unless Lender waives Borrower's obligation to pay the Funds for any or all Escrow Items. Lender may waive Borrower's obligation to pay to Lender Funds for any or all Escrow Items at any time. Any such waiver may only be in writing.</w:t>
      </w:r>
    </w:p>
    <w:p>
      <w:pPr>
        <w:pStyle w:val="Heading2"/>
      </w:pPr>
      <w:r>
        <w:t>4. Charges; Liens</w:t>
      </w:r>
    </w:p>
    <w:p>
      <w:pPr>
        <w:jc w:val="both"/>
      </w:pPr>
      <w:r>
        <w:t>Borrower shall pay all taxes, assessments, charges, fines, and impositions attributable to the Property which can attain priority over this Security Instrument, leasehold payments or ground rents on the Property, if any, and Community Association Dues, Fees, and Assessments, if any. To the extent that these items are Escrow Items, Borrower shall pay them in the manner provided in Section 3. Borrower shall promptly discharge any lien which has priority over this Security Instrument unless Borrower: (a) agrees in writing to the payment of the obligation secured by the lien in a manner acceptable to Lender, but only so long as Borrower is performing such agreement; (b) contests the lien in good faith by, or defends against enforcement of the lien in, legal proceedings which in Lender's opinion operate to prevent the enforcement of the lien while those proceedings are pending, but only until such proceedings are concluded; or (c) secures from the holder of the lien an agreement satisfactory to Lender subordinating the lien to this Security Instrument. If Lender determines that any part of the Property is subject to a lien which can attain priority over this Security Instrument, Lender may give Borrower a notice identifying the lien. Within 10 days of the date on which that notice is given, Borrower shall satisfy the lien or take one or more of the actions set forth above in this Section 4.</w:t>
      </w:r>
    </w:p>
    <w:p>
      <w:pPr>
        <w:pStyle w:val="Heading2"/>
      </w:pPr>
      <w:r>
        <w:t>5. Property Insurance</w:t>
      </w:r>
    </w:p>
    <w:p>
      <w:pPr>
        <w:jc w:val="both"/>
      </w:pPr>
      <w:r>
        <w:t>Borrower shall keep the improvements now existing or hereafter erected on the Property insured against loss by fire, hazards included within the term 'extended coverage,' and any other hazards including, but not limited to, earthquakes and floods, for which Lender requires insurance. This insurance shall be maintained in the amounts (including deductible levels) and for the periods that Lender requires. What Lender requires pursuant to the preceding sentences can change during the term of the Loan. The insurance carrier providing the insurance shall be chosen by Borrower subject to Lender's right to disapprove Borrower's choice, which right shall not be exercised unreasonably. Lender may require Borrower to pay, in connection with this Loan, either: (a) a one-time charge for flood zone determination, certification and tracking services; or (b) a one-time charge for flood zone determination and certification services and subsequent charges each time remappings or similar changes occur which reasonably might affect such determination or certification. Borrower shall also be responsible for the payment of any fees imposed by the Federal Emergency Management Agency in connection with the review of any flood zone determination resulting from an objection by Borrower.</w:t>
      </w:r>
    </w:p>
    <w:p>
      <w:pPr>
        <w:pStyle w:val="Heading2"/>
      </w:pPr>
      <w:r>
        <w:t>6. Occupancy</w:t>
      </w:r>
    </w:p>
    <w:p>
      <w:pPr>
        <w:jc w:val="both"/>
      </w:pPr>
      <w:r>
        <w:t>Borrower shall occupy, establish, and use the Property as Borrower's principal residence within 60 days after the execution of this Security Instrument and shall continue to occupy the Property as Borrower's principal residence for at least one year after the date of occupancy, unless Lender otherwise agrees in writing, which consent shall not be unreasonably withheld, or unless extenuating circumstances exist which are beyond Borrower's control. Failure to maintain occupancy as required may constitute a default under this Security Instrument, entitling Lender to exercise remedies available under Section 22, including acceleration of the debt.</w:t>
      </w:r>
    </w:p>
    <w:p>
      <w:pPr>
        <w:pStyle w:val="Heading2"/>
      </w:pPr>
      <w:r>
        <w:t>7. Preservation, Maintenance and Protection of the Property; Inspections</w:t>
      </w:r>
    </w:p>
    <w:p>
      <w:pPr>
        <w:jc w:val="both"/>
      </w:pPr>
      <w:r>
        <w:t>Borrower shall not destroy, damage or impair the Property, allow the Property to deteriorate or commit waste on the Property. Whether or not Borrower is residing in the Property, Borrower shall maintain the Property in order to prevent the Property from deteriorating or decreasing in value due to its condition. Unless it is determined pursuant to Section 5 that repair or restoration is not economically feasible, Borrower shall promptly repair the Property if damaged to avoid further deterioration or damage. If insurance or condemnation proceeds are paid in connection with damage to, or the taking of, the Property, Borrower shall be responsible for repairing or restoring the Property only if Lender has released proceeds for such purposes. Lender may disburse proceeds for the repairs and restoration in a single payment or in a series of progress payments as the work is completed. If the insurance or condemnation proceeds are not sufficient to repair or restore the Property, Borrower is not relieved of Borrower's obligation for the completion of such repair or restoration.</w:t>
      </w:r>
    </w:p>
    <w:p>
      <w:pPr>
        <w:pStyle w:val="Heading2"/>
      </w:pPr>
      <w:r>
        <w:t>8. Borrower's Loan Application</w:t>
      </w:r>
    </w:p>
    <w:p>
      <w:pPr>
        <w:jc w:val="both"/>
      </w:pPr>
      <w:r>
        <w:t>Borrower shall be in default if, during the Loan application process, Borrower or any persons or entities acting at the direction of Borrower or with Borrower's knowledge or consent gave materially false, misleading, or inaccurate information or statements to Lender (or failed to provide Lender with material information) in connection with the Loan. Material representations include, but are not limited to, representations concerning Borrower's occupancy of the Property as Borrower's principal residence. Any such default shall give Lender the right to accelerate the Loan and demand immediate payment in full of all sums secured by this Security Instrument.</w:t>
      </w:r>
    </w:p>
    <w:p>
      <w:pPr>
        <w:pStyle w:val="Heading2"/>
      </w:pPr>
      <w:r>
        <w:t>9. Protection of Lender's Interest in the Property and Rights Under this Security Instrument</w:t>
      </w:r>
    </w:p>
    <w:p>
      <w:pPr>
        <w:jc w:val="both"/>
      </w:pPr>
      <w:r>
        <w:t>If (a) Borrower fails to perform the covenants and agreements contained in this Security Instrument, (b) there is a legal proceeding that might significantly affect Lender's interest in the Property and/or rights under this Security Instrument (such as a proceeding in bankruptcy, probate, for condemnation or forfeiture, for enforcement of a lien which may attain priority over this Security Instrument or to enforce laws or regulations), or (c) Borrower has abandoned the Property, then Lender may do and pay for whatever is reasonable or appropriate to protect Lender's interest in the Property and rights under this Security Instrument, including protecting and/or assessing the value of the Property, and securing and/or repairing the Property. Lender's actions can include, but are not limited to: (a) paying any sums secured by a lien which has priority over this Security Instrument; (b) appearing in court; and (c) paying reasonable attorneys' fees to protect its interest in the Property and/or rights under this Security Instrument, including its secured position in a bankruptcy proceeding. Securing the Property includes, but is not limited to, entering the Property to make repairs, change locks, replace or board up doors and windows, drain water from pipes, eliminate building or other code violations or dangerous conditions, and have utilities turned on or off. Although Lender may take action under this Section 9, Lender does not have to do so and is not under any duty or obligation to do so. It is agreed that Lender incurs no liability for not taking any or all actions authorized under this Section 9.</w:t>
      </w:r>
    </w:p>
    <w:p>
      <w:pPr>
        <w:pStyle w:val="Heading2"/>
      </w:pPr>
      <w:r>
        <w:t>10. Payment of Principal, Interest, Escrow Items, and Late Charges</w:t>
      </w:r>
    </w:p>
    <w:p>
      <w:pPr>
        <w:jc w:val="both"/>
      </w:pPr>
      <w:r>
        <w:t>The The Borrower shall pay when due the principal of, and interest on, the debt evidenced by the Note and any prepayment charges and late charges due under the Note. The Borrower shall also pay funds for Escrow Items pursuant to Section 3. Payments due under the Note and this Security Instrument shall be made in U.S. currency. However, if any check or other instrument received by The Lender as payment under the Note or this Security Instrument is returned to The Lender unpaid, The Lender may require that any or all subsequent payments due under the Note and this Security Instrument be made in one or more of the following forms, as selected by The Lender: (a) cash; (b) money order; (c) certified check, bank check, treasurer's check or cashier's check, provided any such check is drawn upon an institution whose deposits are insured by a federal agency, instrumentality, or entity; or (d) Electronic Funds Transfer. Payments are deemed received by The Lender when received at the location designated in the Note or at such other location as may be designated by The Lender in accordance with the notice provisions in Section 15. The Lender may return any payment or partial payment if the payment or partial payments are insufficient to bring the Loan current. This section 10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11. Application of Payments or Proceeds</w:t>
      </w:r>
    </w:p>
    <w:p>
      <w:pPr>
        <w:jc w:val="both"/>
      </w:pPr>
      <w:r>
        <w:t>Except as otherwise described in this Section 2, all payments accepted and applied by The Lender shall be applied in the following order of priority: (a) interest due under the Note; (b) principal due under the Note; (c) amounts due under Section 3. Such payments shall be applied to each Periodic Payment in the order in which it became due. Any remaining amounts shall be applied first to late charges, second to any other amounts due under this Security Instrument, and then to reduce the principal balance of the Note. If The Lender receives a payment from The Borrower for a delinquent Periodic Payment which includes a sufficient amount to pay any late charge due, the payment may be applied to the delinquent payment and the late charge. If more than one Periodic Payment is outstanding, The Lender may apply any payment received from The Borrower to the repayment of the Periodic Payments if, and to the extent that, each payment can be paid in full. To the extent that any excess exists after the payment is applied to the full payment of one or more Periodic Payments, such excess may be applied to any late charges due. Voluntary prepayments shall be applied first to any prepayment charges and then as described in the Note. This section 11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12. Funds for Escrow Items</w:t>
      </w:r>
    </w:p>
    <w:p>
      <w:pPr>
        <w:jc w:val="both"/>
      </w:pPr>
      <w:r>
        <w:t>The Borrower shall pay to The Lender on the day Periodic Payments are due under the Note, until the Note is paid in full, a sum (the 'Funds') to provide for payment of amounts due for: (a) taxes and assessments and other items which can attain priority over this Security Instrument as a lien or encumbrance on the Property; (b) leasehold payments or ground rents on the Property, if any; (c) premiums for any and all insurance required by The Lender under Section 5; and (d) Mortgage Insurance premiums, if any, or any sums payable by The Borrower to The Lender in lieu of the payment of Mortgage Insurance premiums in accordance with the provisions of Section 10. These items are called 'Escrow Items.' At origination or at any time during the term of the Loan, The Lender may require that Community Association Dues, Fees, and Assessments, if any, be escrowed by The Borrower, and such dues, fees and assessments shall be an Escrow Item. The Borrower shall promptly furnish to The Lender all notices of amounts to be paid under this Section. The Borrower shall pay The Lender the Funds for Escrow Items unless The Lender waives The Borrower's obligation to pay the Funds for any or all Escrow Items. The Lender may waive The Borrower's obligation to pay to The Lender Funds for any or all Escrow Items at any time. Any such waiver may only be in writing. This section 12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13. Charges; Liens</w:t>
      </w:r>
    </w:p>
    <w:p>
      <w:pPr>
        <w:jc w:val="both"/>
      </w:pPr>
      <w:r>
        <w:t>The Borrower shall pay all taxes, assessments, charges, fines, and impositions attributable to the Property which can attain priority over this Security Instrument, leasehold payments or ground rents on the Property, if any, and Community Association Dues, Fees, and Assessments, if any. To the extent that these items are Escrow Items, The Borrower shall pay them in the manner provided in Section 3. The Borrower shall promptly discharge any lien which has priority over this Security Instrument unless The Borrower: (a) agrees in writing to the payment of the obligation secured by the lien in a manner acceptable to The Lender, but only so long as The Borrower is performing such agreement; (b) contests the lien in good faith by, or defends against enforcement of the lien in, legal proceedings which in The Lender's opinion operate to prevent the enforcement of the lien while those proceedings are pending, but only until such proceedings are concluded; or (c) secures from the holder of the lien an agreement satisfactory to The Lender subordinating the lien to this Security Instrument. If The Lender determines that any part of the Property is subject to a lien which can attain priority over this Security Instrument, The Lender may give The Borrower a notice identifying the lien. Within 10 days of the date on which that notice is given, The Borrower shall satisfy the lien or take one or more of the actions set forth above in this Section 4. This section 13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14. Property Insurance</w:t>
      </w:r>
    </w:p>
    <w:p>
      <w:pPr>
        <w:jc w:val="both"/>
      </w:pPr>
      <w:r>
        <w:t>The Borrower shall keep the improvements now existing or hereafter erected on the Property insured against loss by fire, hazards included within the term 'extended coverage,' and any other hazards including, but not limited to, earthquakes and floods, for which The Lender requires insurance. This insurance shall be maintained in the amounts (including deductible levels) and for the periods that The Lender requires. What The Lender requires pursuant to the preceding sentences can change during the term of the Loan. The insurance carrier providing the insurance shall be chosen by The Borrower subject to The Lender's right to disapprove The Borrower's choice, which right shall not be exercised unreasonably. The Lender may require The Borrower to pay, in connection with this Loan, either: (a) a one-time charge for flood zone determination, certification and tracking services; or (b) a one-time charge for flood zone determination and certification services and subsequent charges each time remappings or similar changes occur which reasonably might affect such determination or certification. The Borrower shall also be responsible for the payment of any fees imposed by the Federal Emergency Management Agency in connection with the review of any flood zone determination resulting from an objection by The Borrower. This section 14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15. Occupancy</w:t>
      </w:r>
    </w:p>
    <w:p>
      <w:pPr>
        <w:jc w:val="both"/>
      </w:pPr>
      <w:r>
        <w:t>The Borrower shall occupy, establish, and use the Property as The Borrower's principal residence within 60 days after the execution of this Security Instrument and shall continue to occupy the Property as The Borrower's principal residence for at least one year after the date of occupancy, unless The Lender otherwise agrees in writing, which consent shall not be unreasonably withheld, or unless extenuating circumstances exist which are beyond The Borrower's control. Failure to maintain occupancy as required may constitute a default under this Security Instrument, entitling The Lender to exercise remedies available under Section 22, including acceleration of the debt. This section 15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16. Preservation, Maintenance and Protection of the Property; Inspections</w:t>
      </w:r>
    </w:p>
    <w:p>
      <w:pPr>
        <w:jc w:val="both"/>
      </w:pPr>
      <w:r>
        <w:t>The Borrower shall not destroy, damage or impair the Property, allow the Property to deteriorate or commit waste on the Property. Whether or not The Borrower is residing in the Property, The Borrower shall maintain the Property in order to prevent the Property from deteriorating or decreasing in value due to its condition. Unless it is determined pursuant to Section 5 that repair or restoration is not economically feasible, The Borrower shall promptly repair the Property if damaged to avoid further deterioration or damage. If insurance or condemnation proceeds are paid in connection with damage to, or the taking of, the Property, The Borrower shall be responsible for repairing or restoring the Property only if The Lender has released proceeds for such purposes. The Lender may disburse proceeds for the repairs and restoration in a single payment or in a series of progress payments as the work is completed. If the insurance or condemnation proceeds are not sufficient to repair or restore the Property, The Borrower is not relieved of The Borrower's obligation for the completion of such repair or restoration. This section 16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17. Borrower's Loan Application</w:t>
      </w:r>
    </w:p>
    <w:p>
      <w:pPr>
        <w:jc w:val="both"/>
      </w:pPr>
      <w:r>
        <w:t>The Borrower shall be in default if, during the Loan application process, The Borrower or any persons or entities acting at the direction of The Borrower or with The Borrower's knowledge or consent gave materially false, misleading, or inaccurate information or statements to The Lender (or failed to provide The Lender with material information) in connection with the Loan. Material representations include, but are not limited to, representations concerning The Borrower's occupancy of the Property as The Borrower's principal residence. Any such default shall give The Lender the right to accelerate the Loan and demand immediate payment in full of all sums secured by this Security Instrument. This section 17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18. Protection of Lender's Interest in the Property and Rights Under this Security Instrument</w:t>
      </w:r>
    </w:p>
    <w:p>
      <w:pPr>
        <w:jc w:val="both"/>
      </w:pPr>
      <w:r>
        <w:t>If (a) The Borrower fails to perform the covenants and agreements contained in this Security Instrument, (b) there is a legal proceeding that might significantly affect The Lender's interest in the Property and/or rights under this Security Instrument (such as a proceeding in bankruptcy, probate, for condemnation or forfeiture, for enforcement of a lien which may attain priority over this Security Instrument or to enforce laws or regulations), or (c) The Borrower has abandoned the Property, then The Lender may do and pay for whatever is reasonable or appropriate to protect The Lender's interest in the Property and rights under this Security Instrument, including protecting and/or assessing the value of the Property, and securing and/or repairing the Property. The Lender's actions can include, but are not limited to: (a) paying any sums secured by a lien which has priority over this Security Instrument; (b) appearing in court; and (c) paying reasonable attorneys' fees to protect its interest in the Property and/or rights under this Security Instrument, including its secured position in a bankruptcy proceeding. Securing the Property includes, but is not limited to, entering the Property to make repairs, change locks, replace or board up doors and windows, drain water from pipes, eliminate building or other code violations or dangerous conditions, and have utilities turned on or off. Although The Lender may take action under this Section 9, The Lender does not have to do so and is not under any duty or obligation to do so. It is agreed that The Lender incurs no liability for not taking any or all actions authorized under this Section 9. This section 18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19. Payment of Principal, Interest, Escrow Items, and Late Charges</w:t>
      </w:r>
    </w:p>
    <w:p>
      <w:pPr>
        <w:jc w:val="both"/>
      </w:pPr>
      <w:r>
        <w:t>The The Borrower shall pay when due the principal of, and interest on, the debt evidenced by the Note and any prepayment charges and late charges due under the Note. The Borrower shall also pay funds for Escrow Items pursuant to Section 3. Payments due under the Note and this Security Instrument shall be made in U.S. currency. However, if any check or other instrument received by The Lender as payment under the Note or this Security Instrument is returned to The Lender unpaid, The Lender may require that any or all subsequent payments due under the Note and this Security Instrument be made in one or more of the following forms, as selected by The Lender: (a) cash; (b) money order; (c) certified check, bank check, treasurer's check or cashier's check, provided any such check is drawn upon an institution whose deposits are insured by a federal agency, instrumentality, or entity; or (d) Electronic Funds Transfer. Payments are deemed received by The Lender when received at the location designated in the Note or at such other location as may be designated by The Lender in accordance with the notice provisions in Section 15. The Lender may return any payment or partial payment if the payment or partial payments are insufficient to bring the Loan current. This section 19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20. Application of Payments or Proceeds</w:t>
      </w:r>
    </w:p>
    <w:p>
      <w:pPr>
        <w:jc w:val="both"/>
      </w:pPr>
      <w:r>
        <w:t>Except as otherwise described in this Section 2, all payments accepted and applied by The Lender shall be applied in the following order of priority: (a) interest due under the Note; (b) principal due under the Note; (c) amounts due under Section 3. Such payments shall be applied to each Periodic Payment in the order in which it became due. Any remaining amounts shall be applied first to late charges, second to any other amounts due under this Security Instrument, and then to reduce the principal balance of the Note. If The Lender receives a payment from The Borrower for a delinquent Periodic Payment which includes a sufficient amount to pay any late charge due, the payment may be applied to the delinquent payment and the late charge. If more than one Periodic Payment is outstanding, The Lender may apply any payment received from The Borrower to the repayment of the Periodic Payments if, and to the extent that, each payment can be paid in full. To the extent that any excess exists after the payment is applied to the full payment of one or more Periodic Payments, such excess may be applied to any late charges due. Voluntary prepayments shall be applied first to any prepayment charges and then as described in the Note. This section 20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21. Funds for Escrow Items</w:t>
      </w:r>
    </w:p>
    <w:p>
      <w:pPr>
        <w:jc w:val="both"/>
      </w:pPr>
      <w:r>
        <w:t>The Borrower shall pay to The Lender on the day Periodic Payments are due under the Note, until the Note is paid in full, a sum (the 'Funds') to provide for payment of amounts due for: (a) taxes and assessments and other items which can attain priority over this Security Instrument as a lien or encumbrance on the Property; (b) leasehold payments or ground rents on the Property, if any; (c) premiums for any and all insurance required by The Lender under Section 5; and (d) Mortgage Insurance premiums, if any, or any sums payable by The Borrower to The Lender in lieu of the payment of Mortgage Insurance premiums in accordance with the provisions of Section 10. These items are called 'Escrow Items.' At origination or at any time during the term of the Loan, The Lender may require that Community Association Dues, Fees, and Assessments, if any, be escrowed by The Borrower, and such dues, fees and assessments shall be an Escrow Item. The Borrower shall promptly furnish to The Lender all notices of amounts to be paid under this Section. The Borrower shall pay The Lender the Funds for Escrow Items unless The Lender waives The Borrower's obligation to pay the Funds for any or all Escrow Items. The Lender may waive The Borrower's obligation to pay to The Lender Funds for any or all Escrow Items at any time. Any such waiver may only be in writing. This section 21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22. Charges; Liens</w:t>
      </w:r>
    </w:p>
    <w:p>
      <w:pPr>
        <w:jc w:val="both"/>
      </w:pPr>
      <w:r>
        <w:t>The Borrower shall pay all taxes, assessments, charges, fines, and impositions attributable to the Property which can attain priority over this Security Instrument, leasehold payments or ground rents on the Property, if any, and Community Association Dues, Fees, and Assessments, if any. To the extent that these items are Escrow Items, The Borrower shall pay them in the manner provided in Section 3. The Borrower shall promptly discharge any lien which has priority over this Security Instrument unless The Borrower: (a) agrees in writing to the payment of the obligation secured by the lien in a manner acceptable to The Lender, but only so long as The Borrower is performing such agreement; (b) contests the lien in good faith by, or defends against enforcement of the lien in, legal proceedings which in The Lender's opinion operate to prevent the enforcement of the lien while those proceedings are pending, but only until such proceedings are concluded; or (c) secures from the holder of the lien an agreement satisfactory to The Lender subordinating the lien to this Security Instrument. If The Lender determines that any part of the Property is subject to a lien which can attain priority over this Security Instrument, The Lender may give The Borrower a notice identifying the lien. Within 10 days of the date on which that notice is given, The Borrower shall satisfy the lien or take one or more of the actions set forth above in this Section 4. This section 22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23. Property Insurance</w:t>
      </w:r>
    </w:p>
    <w:p>
      <w:pPr>
        <w:jc w:val="both"/>
      </w:pPr>
      <w:r>
        <w:t>The Borrower shall keep the improvements now existing or hereafter erected on the Property insured against loss by fire, hazards included within the term 'extended coverage,' and any other hazards including, but not limited to, earthquakes and floods, for which The Lender requires insurance. This insurance shall be maintained in the amounts (including deductible levels) and for the periods that The Lender requires. What The Lender requires pursuant to the preceding sentences can change during the term of the Loan. The insurance carrier providing the insurance shall be chosen by The Borrower subject to The Lender's right to disapprove The Borrower's choice, which right shall not be exercised unreasonably. The Lender may require The Borrower to pay, in connection with this Loan, either: (a) a one-time charge for flood zone determination, certification and tracking services; or (b) a one-time charge for flood zone determination and certification services and subsequent charges each time remappings or similar changes occur which reasonably might affect such determination or certification. The Borrower shall also be responsible for the payment of any fees imposed by the Federal Emergency Management Agency in connection with the review of any flood zone determination resulting from an objection by The Borrower. This section 23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24. Occupancy</w:t>
      </w:r>
    </w:p>
    <w:p>
      <w:pPr>
        <w:jc w:val="both"/>
      </w:pPr>
      <w:r>
        <w:t>The Borrower shall occupy, establish, and use the Property as The Borrower's principal residence within 60 days after the execution of this Security Instrument and shall continue to occupy the Property as The Borrower's principal residence for at least one year after the date of occupancy, unless The Lender otherwise agrees in writing, which consent shall not be unreasonably withheld, or unless extenuating circumstances exist which are beyond The Borrower's control. Failure to maintain occupancy as required may constitute a default under this Security Instrument, entitling The Lender to exercise remedies available under Section 22, including acceleration of the debt. This section 24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2"/>
      </w:pPr>
      <w:r>
        <w:t>25. Preservation, Maintenance and Protection of the Property; Inspections</w:t>
      </w:r>
    </w:p>
    <w:p>
      <w:pPr>
        <w:jc w:val="both"/>
      </w:pPr>
      <w:r>
        <w:t>The Borrower shall not destroy, damage or impair the Property, allow the Property to deteriorate or commit waste on the Property. Whether or not The Borrower is residing in the Property, The Borrower shall maintain the Property in order to prevent the Property from deteriorating or decreasing in value due to its condition. Unless it is determined pursuant to Section 5 that repair or restoration is not economically feasible, The Borrower shall promptly repair the Property if damaged to avoid further deterioration or damage. If insurance or condemnation proceeds are paid in connection with damage to, or the taking of, the Property, The Borrower shall be responsible for repairing or restoring the Property only if The Lender has released proceeds for such purposes. The Lender may disburse proceeds for the repairs and restoration in a single payment or in a series of progress payments as the work is completed. If the insurance or condemnation proceeds are not sufficient to repair or restore the Property, The Borrower is not relieved of The Borrower's obligation for the completion of such repair or restoration. This section 25 further establishes the requirements set forth in the overarching covenants of the mortgage agreement, ensuring full compliance with both state and federal regulatory frameworks governing secured real estate transactions. Continuous adherence is mandatory.</w:t>
      </w:r>
    </w:p>
    <w:p>
      <w:pPr>
        <w:pStyle w:val="Heading1"/>
      </w:pPr>
      <w:r>
        <w:t>8. Contact Information</w:t>
      </w:r>
    </w:p>
    <w:p>
      <w:r>
        <w:t>For questions regarding this loan, contact Apex Horizon Bank Mortgage Servicing Department at (800) 555-0199 or email servicing@apexhorizonbank.com. Mailing Address: 500 Financial Plaza, Suite 400, Chicago, IL 60601.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