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1947c6d90fe63cc7af1cffd36a5c33c0c2cd01"/>
    <w:p>
      <w:pPr>
        <w:pStyle w:val="Heading1"/>
      </w:pPr>
      <w:r>
        <w:t xml:space="preserve">Promise‑Aware ETA and Delivery‑Promise Optimization</w:t>
      </w:r>
    </w:p>
    <w:p>
      <w:pPr>
        <w:pStyle w:val="FirstParagraph"/>
      </w:pPr>
      <w:r>
        <w:rPr>
          <w:b/>
          <w:bCs/>
        </w:rPr>
        <w:t xml:space="preserve">Author:</w:t>
      </w:r>
      <w:r>
        <w:t xml:space="preserve"> </w:t>
      </w:r>
      <w:r>
        <w:rPr>
          <w:i/>
          <w:iCs/>
        </w:rPr>
        <w:t xml:space="preserve">Your Name</w:t>
      </w:r>
      <w:r>
        <w:br/>
      </w:r>
      <w:r>
        <w:rPr>
          <w:b/>
          <w:bCs/>
        </w:rPr>
        <w:t xml:space="preserve">Program:</w:t>
      </w:r>
      <w:r>
        <w:t xml:space="preserve"> </w:t>
      </w:r>
      <w:r>
        <w:t xml:space="preserve">M.S. (Computer Science/Data Science)</w:t>
      </w:r>
      <w:r>
        <w:br/>
      </w:r>
      <w:r>
        <w:rPr>
          <w:b/>
          <w:bCs/>
        </w:rPr>
        <w:t xml:space="preserve">Date:</w:t>
      </w:r>
      <w:r>
        <w:t xml:space="preserve"> </w:t>
      </w:r>
      <w:r>
        <w:t xml:space="preserve">1 Nov 2025</w:t>
      </w:r>
    </w:p>
    <w:p>
      <w:r>
        <w:pict>
          <v:rect style="width:0;height:1.5pt" o:hralign="center" o:hrstd="t" o:hr="t"/>
        </w:pict>
      </w:r>
    </w:p>
    <w:bookmarkStart w:id="20" w:name="abstract"/>
    <w:p>
      <w:pPr>
        <w:pStyle w:val="Heading2"/>
      </w:pPr>
      <w:r>
        <w:t xml:space="preserve">Abstract</w:t>
      </w:r>
    </w:p>
    <w:p>
      <w:pPr>
        <w:pStyle w:val="FirstParagraph"/>
      </w:pPr>
      <w:r>
        <w:t xml:space="preserve">Accurate delivery‑time prediction is necessary but insufficient for high‑quality customer promises in e‑commerce. What matters operationally is the</w:t>
      </w:r>
      <w:r>
        <w:t xml:space="preserve"> </w:t>
      </w:r>
      <w:r>
        <w:rPr>
          <w:b/>
          <w:bCs/>
        </w:rPr>
        <w:t xml:space="preserve">promise policy</w:t>
      </w:r>
      <w:r>
        <w:t xml:space="preserve">—the mapping from predictive uncertainty to a quoted delivery window that balances late deliveries against unnecessarily conservative promises. Using the public</w:t>
      </w:r>
      <w:r>
        <w:t xml:space="preserve"> </w:t>
      </w:r>
      <w:r>
        <w:rPr>
          <w:b/>
          <w:bCs/>
        </w:rPr>
        <w:t xml:space="preserve">Olist</w:t>
      </w:r>
      <w:r>
        <w:t xml:space="preserve"> </w:t>
      </w:r>
      <w:r>
        <w:t xml:space="preserve">corpus and a reproducible synthetic bench, I develop a purchase‑time only pipeline that: (i) learns multi‑quantile regressors for delivery lead time (Y) conditional on features (X); (ii) calibrates predictive uncertainty using split‑conformal and conformalized quantile regression (CQR); and (iii) optimizes promise policies under an asymmetric cost that trades</w:t>
      </w:r>
      <w:r>
        <w:t xml:space="preserve"> </w:t>
      </w:r>
      <w:r>
        <w:rPr>
          <w:b/>
          <w:bCs/>
        </w:rPr>
        <w:t xml:space="preserve">Late‑Promise Rate (LPR)</w:t>
      </w:r>
      <w:r>
        <w:t xml:space="preserve"> </w:t>
      </w:r>
      <w:r>
        <w:t xml:space="preserve">against</w:t>
      </w:r>
      <w:r>
        <w:t xml:space="preserve"> </w:t>
      </w:r>
      <w:r>
        <w:rPr>
          <w:b/>
          <w:bCs/>
        </w:rPr>
        <w:t xml:space="preserve">Average Promise Days (APD)</w:t>
      </w:r>
      <w:r>
        <w:t xml:space="preserve">. An offline simulator links model quality to business outcomes, and fairness diagnostics quantify regional and seller‑level disparities. The results show that calibrated high‑quantile policies ((</w:t>
      </w:r>
      <w:r>
        <w:t xml:space="preserve">)) reduce expected cost relative to point‑estimate baselines while maintaining interpretable, auditable guarantees.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Retail logistics exhibits heavy‑tailed, heteroscedastic delivery times driven by geography, seller handling, and exogenous shocks. Fixed‑buffer ETAs are brittle under such variability. Instead, I model the</w:t>
      </w:r>
      <w:r>
        <w:t xml:space="preserve"> </w:t>
      </w:r>
      <w:r>
        <w:rPr>
          <w:b/>
          <w:bCs/>
        </w:rPr>
        <w:t xml:space="preserve">conditional distribution</w:t>
      </w:r>
      <w:r>
        <w:t xml:space="preserve"> </w:t>
      </w:r>
      <w:r>
        <w:t xml:space="preserve">of lead time and set the promise at a</w:t>
      </w:r>
      <w:r>
        <w:t xml:space="preserve"> </w:t>
      </w:r>
      <w:r>
        <w:rPr>
          <w:b/>
          <w:bCs/>
        </w:rPr>
        <w:t xml:space="preserve">predictive quantile</w:t>
      </w:r>
      <w:r>
        <w:t xml:space="preserve">, e.g., (p_</w:t>
      </w:r>
      <w:r>
        <w:t xml:space="preserve">(x)=Q_</w:t>
      </w:r>
      <w:r>
        <w:t xml:space="preserve">(Y</w:t>
      </w:r>
      <w:r>
        <w:t xml:space="preserve">X=x)). This design makes explicit the policy lever (</w:t>
      </w:r>
      <w:r>
        <w:t xml:space="preserve">) and enables principled calibration and optimization. The central thesis is that</w:t>
      </w:r>
      <w:r>
        <w:t xml:space="preserve"> </w:t>
      </w:r>
      <w:r>
        <w:rPr>
          <w:b/>
          <w:bCs/>
        </w:rPr>
        <w:t xml:space="preserve">uncertainty‑aware prediction + cost‑aware policy selection</w:t>
      </w:r>
      <w:r>
        <w:t xml:space="preserve"> </w:t>
      </w:r>
      <w:r>
        <w:t xml:space="preserve">is a tractable, auditable pathway to reliable customer promises using only purchase‑time signals and public data.</w:t>
      </w:r>
    </w:p>
    <w:p>
      <w:pPr>
        <w:pStyle w:val="BodyText"/>
      </w:pPr>
      <w:r>
        <w:t xml:space="preserve">Contributions:</w:t>
      </w:r>
      <w:r>
        <w:t xml:space="preserve"> </w:t>
      </w:r>
      <w:r>
        <w:t xml:space="preserve">1. A leakage‑safe feature pipeline capturing basket composition, geography, seller dispatch behavior, and seasonality at purchase time.</w:t>
      </w:r>
      <w:r>
        <w:t xml:space="preserve"> </w:t>
      </w:r>
      <w:r>
        <w:t xml:space="preserve">2. A calibrated quantile modeling stack with reproducible experiments and diagnostics.</w:t>
      </w:r>
      <w:r>
        <w:t xml:space="preserve"> </w:t>
      </w:r>
      <w:r>
        <w:t xml:space="preserve">3. An offline policy simulator translating predictive distributions into business metrics (LPR, APD, composite cost) with fairness analyses by region and seller.</w:t>
      </w:r>
    </w:p>
    <w:p>
      <w:r>
        <w:pict>
          <v:rect style="width:0;height:1.5pt" o:hralign="center" o:hrstd="t" o:hr="t"/>
        </w:pict>
      </w:r>
    </w:p>
    <w:bookmarkEnd w:id="21"/>
    <w:bookmarkStart w:id="22" w:name="related-work"/>
    <w:p>
      <w:pPr>
        <w:pStyle w:val="Heading2"/>
      </w:pPr>
      <w:r>
        <w:t xml:space="preserve">2. Related Work</w:t>
      </w:r>
    </w:p>
    <w:p>
      <w:pPr>
        <w:pStyle w:val="FirstParagraph"/>
      </w:pPr>
      <w:r>
        <w:rPr>
          <w:b/>
          <w:bCs/>
        </w:rPr>
        <w:t xml:space="preserve">Delivery‑time prediction.</w:t>
      </w:r>
      <w:r>
        <w:t xml:space="preserve"> </w:t>
      </w:r>
      <w:r>
        <w:t xml:space="preserve">Prior work spans classical survival/queueing models to modern tree ensembles and sequence models over logistics events.</w:t>
      </w:r>
      <w:r>
        <w:br/>
      </w:r>
      <w:r>
        <w:rPr>
          <w:b/>
          <w:bCs/>
        </w:rPr>
        <w:t xml:space="preserve">Quantile regression.</w:t>
      </w:r>
      <w:r>
        <w:t xml:space="preserve"> </w:t>
      </w:r>
      <w:r>
        <w:t xml:space="preserve">Linear and tree‑based quantile estimators provide distributional predictions without parametric assumptions (Koenker &amp; Bassett, 1978; Ke et al., 2017).</w:t>
      </w:r>
      <w:r>
        <w:br/>
      </w:r>
      <w:r>
        <w:rPr>
          <w:b/>
          <w:bCs/>
        </w:rPr>
        <w:t xml:space="preserve">Conformal prediction.</w:t>
      </w:r>
      <w:r>
        <w:t xml:space="preserve"> </w:t>
      </w:r>
      <w:r>
        <w:t xml:space="preserve">Split‑conformal and CQR deliver finite‑sample, distribution‑free coverage guarantees under exchangeability (Vovk et al., 2005; Romano et al., 2019; Angelopoulos &amp; Bates, 2023).</w:t>
      </w:r>
      <w:r>
        <w:br/>
      </w:r>
      <w:r>
        <w:rPr>
          <w:b/>
          <w:bCs/>
        </w:rPr>
        <w:t xml:space="preserve">Decision‑focused evaluation.</w:t>
      </w:r>
      <w:r>
        <w:t xml:space="preserve"> </w:t>
      </w:r>
      <w:r>
        <w:t xml:space="preserve">Translating uncertainty into policies and costs aligns model evaluation with downstream operations, a theme increasingly emphasized in applied ML.</w:t>
      </w:r>
    </w:p>
    <w:p>
      <w:r>
        <w:pict>
          <v:rect style="width:0;height:1.5pt" o:hralign="center" o:hrstd="t" o:hr="t"/>
        </w:pict>
      </w:r>
    </w:p>
    <w:bookmarkEnd w:id="22"/>
    <w:bookmarkStart w:id="23" w:name="data-and-experimental-setup"/>
    <w:p>
      <w:pPr>
        <w:pStyle w:val="Heading2"/>
      </w:pPr>
      <w:r>
        <w:t xml:space="preserve">3. Data and Experimental Setup</w:t>
      </w:r>
    </w:p>
    <w:p>
      <w:pPr>
        <w:pStyle w:val="Compact"/>
        <w:numPr>
          <w:ilvl w:val="0"/>
          <w:numId w:val="1001"/>
        </w:numPr>
      </w:pPr>
      <w:r>
        <w:rPr>
          <w:b/>
          <w:bCs/>
        </w:rPr>
        <w:t xml:space="preserve">Olist public dataset.</w:t>
      </w:r>
      <w:r>
        <w:t xml:space="preserve"> </w:t>
      </w:r>
      <w:r>
        <w:t xml:space="preserve">Orders, customers, sellers, items, payments, geolocation, and reviews; timestamps cleaned and normalized.</w:t>
      </w:r>
      <w:r>
        <w:br/>
      </w:r>
    </w:p>
    <w:p>
      <w:pPr>
        <w:pStyle w:val="Compact"/>
        <w:numPr>
          <w:ilvl w:val="0"/>
          <w:numId w:val="1001"/>
        </w:numPr>
      </w:pPr>
      <w:r>
        <w:rPr>
          <w:b/>
          <w:bCs/>
        </w:rPr>
        <w:t xml:space="preserve">Synthetic bench.</w:t>
      </w:r>
      <w:r>
        <w:t xml:space="preserve"> </w:t>
      </w:r>
      <w:r>
        <w:t xml:space="preserve">A controllable generator for stress‑testing components and validating instrumentation before touching real data.</w:t>
      </w:r>
      <w:r>
        <w:br/>
      </w:r>
    </w:p>
    <w:p>
      <w:pPr>
        <w:pStyle w:val="Compact"/>
        <w:numPr>
          <w:ilvl w:val="0"/>
          <w:numId w:val="1001"/>
        </w:numPr>
      </w:pPr>
      <w:r>
        <w:rPr>
          <w:b/>
          <w:bCs/>
        </w:rPr>
        <w:t xml:space="preserve">Temporal splits.</w:t>
      </w:r>
      <w:r>
        <w:t xml:space="preserve"> </w:t>
      </w:r>
      <w:r>
        <w:t xml:space="preserve">Train on early periods, validate on later periods to test temporal generalization. All historical aggregates obey strict leakage guards: for order (i) at time (t_i), only events with timestamps (&lt; t_i) are admissible.</w:t>
      </w:r>
      <w:r>
        <w:br/>
      </w:r>
    </w:p>
    <w:p>
      <w:pPr>
        <w:pStyle w:val="Compact"/>
        <w:numPr>
          <w:ilvl w:val="0"/>
          <w:numId w:val="1001"/>
        </w:numPr>
      </w:pPr>
      <w:r>
        <w:rPr>
          <w:b/>
          <w:bCs/>
        </w:rPr>
        <w:t xml:space="preserve">Target.</w:t>
      </w:r>
      <w:r>
        <w:t xml:space="preserve"> </w:t>
      </w:r>
      <w:r>
        <w:t xml:space="preserve">Lead time (Y) (days) from order approval to delivery.</w:t>
      </w:r>
    </w:p>
    <w:p>
      <w:r>
        <w:pict>
          <v:rect style="width:0;height:1.5pt" o:hralign="center" o:hrstd="t" o:hr="t"/>
        </w:pict>
      </w:r>
    </w:p>
    <w:bookmarkEnd w:id="23"/>
    <w:bookmarkStart w:id="29" w:name="methodology"/>
    <w:p>
      <w:pPr>
        <w:pStyle w:val="Heading2"/>
      </w:pPr>
      <w:r>
        <w:t xml:space="preserve">4. Methodology</w:t>
      </w:r>
    </w:p>
    <w:bookmarkStart w:id="24" w:name="problem-formulation"/>
    <w:p>
      <w:pPr>
        <w:pStyle w:val="Heading3"/>
      </w:pPr>
      <w:r>
        <w:t xml:space="preserve">4.1 Problem Formulation</w:t>
      </w:r>
    </w:p>
    <w:p>
      <w:pPr>
        <w:pStyle w:val="FirstParagraph"/>
      </w:pPr>
      <w:r>
        <w:t xml:space="preserve">Let (X</w:t>
      </w:r>
      <w:r>
        <w:t xml:space="preserve">) denote purchase‑time features and (Y</w:t>
      </w:r>
      <w:r>
        <w:rPr>
          <w:i/>
          <w:iCs/>
        </w:rPr>
        <w:t xml:space="preserve">+) the realized delivery lead time. A</w:t>
      </w:r>
      <w:r>
        <w:rPr>
          <w:i/>
          <w:iCs/>
        </w:rPr>
        <w:t xml:space="preserve"> </w:t>
      </w:r>
      <w:r>
        <w:rPr>
          <w:b/>
          <w:bCs/>
          <w:i/>
          <w:iCs/>
        </w:rPr>
        <w:t xml:space="preserve">promise policy</w:t>
      </w:r>
      <w:r>
        <w:rPr>
          <w:i/>
          <w:iCs/>
        </w:rPr>
        <w:t xml:space="preserve"> </w:t>
      </w:r>
      <w:r>
        <w:rPr>
          <w:i/>
          <w:iCs/>
        </w:rPr>
        <w:t xml:space="preserve">chooses a quantile level (</w:t>
      </w:r>
      <w:r>
        <w:rPr>
          <w:i/>
          <w:iCs/>
        </w:rPr>
        <w:t xml:space="preserve">(0,1)) and quotes (p</w:t>
      </w:r>
      <w:r>
        <w:t xml:space="preserve">(X)=Q_</w:t>
      </w:r>
      <w:r>
        <w:t xml:space="preserve">(Y</w:t>
      </w:r>
      <w:r>
        <w:t xml:space="preserve">X)). The late event is (L=</w:t>
      </w:r>
      <w:r>
        <w:t xml:space="preserve">[Y&gt;p_</w:t>
      </w:r>
      <w:r>
        <w:t xml:space="preserve">(X)]). I evaluate policies with:</w:t>
      </w:r>
      <w:r>
        <w:t xml:space="preserve"> </w:t>
      </w:r>
      <w:r>
        <w:t xml:space="preserve">-</w:t>
      </w:r>
      <w:r>
        <w:t xml:space="preserve"> </w:t>
      </w:r>
      <w:r>
        <w:rPr>
          <w:b/>
          <w:bCs/>
        </w:rPr>
        <w:t xml:space="preserve">Late‑Promise Rate (LPR):</w:t>
      </w:r>
      <w:r>
        <w:t xml:space="preserve"> </w:t>
      </w:r>
      <w:r>
        <w:t xml:space="preserve">(</w:t>
      </w:r>
      <w:r>
        <w:t xml:space="preserve">[L]).</w:t>
      </w:r>
      <w:r>
        <w:t xml:space="preserve"> </w:t>
      </w:r>
      <w:r>
        <w:t xml:space="preserve">-</w:t>
      </w:r>
      <w:r>
        <w:t xml:space="preserve"> </w:t>
      </w:r>
      <w:r>
        <w:rPr>
          <w:b/>
          <w:bCs/>
        </w:rPr>
        <w:t xml:space="preserve">Average Promise Days (APD):</w:t>
      </w:r>
      <w:r>
        <w:t xml:space="preserve"> </w:t>
      </w:r>
      <w:r>
        <w:t xml:space="preserve">(</w:t>
      </w:r>
      <w:r>
        <w:t xml:space="preserve">[p_</w:t>
      </w:r>
      <w:r>
        <w:t xml:space="preserve">(X)]).</w:t>
      </w:r>
      <w:r>
        <w:t xml:space="preserve"> </w:t>
      </w:r>
      <w:r>
        <w:t xml:space="preserve">-</w:t>
      </w:r>
      <w:r>
        <w:t xml:space="preserve"> </w:t>
      </w:r>
      <w:r>
        <w:rPr>
          <w:b/>
          <w:bCs/>
        </w:rPr>
        <w:t xml:space="preserve">Composite cost:</w:t>
      </w:r>
      <w:r>
        <w:t xml:space="preserve"> </w:t>
      </w:r>
      <w:r>
        <w:t xml:space="preserve">(C(</w:t>
      </w:r>
      <w:r>
        <w:t xml:space="preserve">)=</w:t>
      </w:r>
      <w:r>
        <w:rPr>
          <w:i/>
          <w:iCs/>
        </w:rPr>
        <w:t xml:space="preserve">{late},</w:t>
      </w:r>
      <w:r>
        <w:rPr>
          <w:i/>
          <w:iCs/>
        </w:rPr>
        <w:t xml:space="preserve">[L]+</w:t>
      </w:r>
      <w:r>
        <w:t xml:space="preserve">{slow},</w:t>
      </w:r>
      <w:r>
        <w:t xml:space="preserve">[p_</w:t>
      </w:r>
      <w:r>
        <w:t xml:space="preserve">(X)]), with application‑specific weights (</w:t>
      </w:r>
      <w:r>
        <w:rPr>
          <w:i/>
          <w:iCs/>
        </w:rPr>
        <w:t xml:space="preserve">{late}</w:t>
      </w:r>
      <w:r>
        <w:t xml:space="preserve">{slow}).</w:t>
      </w:r>
    </w:p>
    <w:bookmarkEnd w:id="24"/>
    <w:bookmarkStart w:id="25" w:name="feature-engineering-purchasetime-only"/>
    <w:p>
      <w:pPr>
        <w:pStyle w:val="Heading3"/>
      </w:pPr>
      <w:r>
        <w:t xml:space="preserve">4.2 Feature Engineering (purchase‑time only)</w:t>
      </w:r>
    </w:p>
    <w:p>
      <w:pPr>
        <w:pStyle w:val="Compact"/>
        <w:numPr>
          <w:ilvl w:val="0"/>
          <w:numId w:val="1002"/>
        </w:numPr>
      </w:pPr>
      <w:r>
        <w:rPr>
          <w:b/>
          <w:bCs/>
        </w:rPr>
        <w:t xml:space="preserve">Basket &amp; payment:</w:t>
      </w:r>
      <w:r>
        <w:t xml:space="preserve"> </w:t>
      </w:r>
      <w:r>
        <w:t xml:space="preserve">item count, order value, freight, payment type, installments.</w:t>
      </w:r>
      <w:r>
        <w:br/>
      </w:r>
    </w:p>
    <w:p>
      <w:pPr>
        <w:pStyle w:val="Compact"/>
        <w:numPr>
          <w:ilvl w:val="0"/>
          <w:numId w:val="1002"/>
        </w:numPr>
      </w:pPr>
      <w:r>
        <w:rPr>
          <w:b/>
          <w:bCs/>
        </w:rPr>
        <w:t xml:space="preserve">Geography:</w:t>
      </w:r>
      <w:r>
        <w:t xml:space="preserve"> </w:t>
      </w:r>
      <w:r>
        <w:t xml:space="preserve">customer–seller haversine distance via zipcode‑prefix medians.</w:t>
      </w:r>
      <w:r>
        <w:br/>
      </w:r>
    </w:p>
    <w:p>
      <w:pPr>
        <w:pStyle w:val="Compact"/>
        <w:numPr>
          <w:ilvl w:val="0"/>
          <w:numId w:val="1002"/>
        </w:numPr>
      </w:pPr>
      <w:r>
        <w:rPr>
          <w:b/>
          <w:bCs/>
        </w:rPr>
        <w:t xml:space="preserve">Seller behavior:</w:t>
      </w:r>
      <w:r>
        <w:t xml:space="preserve"> </w:t>
      </w:r>
      <w:r>
        <w:t xml:space="preserve">trailing median/P90 dispatch lag and order counts (30/60/90‑day windows) with sparse‑history back‑offs.</w:t>
      </w:r>
      <w:r>
        <w:br/>
      </w:r>
    </w:p>
    <w:p>
      <w:pPr>
        <w:pStyle w:val="Compact"/>
        <w:numPr>
          <w:ilvl w:val="0"/>
          <w:numId w:val="1002"/>
        </w:numPr>
      </w:pPr>
      <w:r>
        <w:rPr>
          <w:b/>
          <w:bCs/>
        </w:rPr>
        <w:t xml:space="preserve">Product mix:</w:t>
      </w:r>
      <w:r>
        <w:t xml:space="preserve"> </w:t>
      </w:r>
      <w:r>
        <w:t xml:space="preserve">total weight/volume and category diversity.</w:t>
      </w:r>
      <w:r>
        <w:br/>
      </w:r>
    </w:p>
    <w:p>
      <w:pPr>
        <w:pStyle w:val="Compact"/>
        <w:numPr>
          <w:ilvl w:val="0"/>
          <w:numId w:val="1002"/>
        </w:numPr>
      </w:pPr>
      <w:r>
        <w:rPr>
          <w:b/>
          <w:bCs/>
        </w:rPr>
        <w:t xml:space="preserve">Seasonality:</w:t>
      </w:r>
      <w:r>
        <w:t xml:space="preserve"> </w:t>
      </w:r>
      <w:r>
        <w:t xml:space="preserve">calendar month, day‑of‑week, hour; optional holiday flags.</w:t>
      </w:r>
    </w:p>
    <w:bookmarkEnd w:id="25"/>
    <w:bookmarkStart w:id="26" w:name="predictive-models-and-calibration"/>
    <w:p>
      <w:pPr>
        <w:pStyle w:val="Heading3"/>
      </w:pPr>
      <w:r>
        <w:t xml:space="preserve">4.3 Predictive Models and Calibration</w:t>
      </w:r>
    </w:p>
    <w:p>
      <w:pPr>
        <w:pStyle w:val="Compact"/>
        <w:numPr>
          <w:ilvl w:val="0"/>
          <w:numId w:val="1003"/>
        </w:numPr>
      </w:pPr>
      <w:r>
        <w:rPr>
          <w:b/>
          <w:bCs/>
        </w:rPr>
        <w:t xml:space="preserve">Estimators:</w:t>
      </w:r>
      <w:r>
        <w:t xml:space="preserve"> </w:t>
      </w:r>
      <w:r>
        <w:t xml:space="preserve">Linear Quantile Regression; Histogram‑based Gradient Boosting (quantile); LightGBM (quantile), for (</w:t>
      </w:r>
      <w:r>
        <w:t xml:space="preserve">{0.50,0.80,0.90,0.95}).</w:t>
      </w:r>
      <w:r>
        <w:br/>
      </w:r>
    </w:p>
    <w:p>
      <w:pPr>
        <w:pStyle w:val="Compact"/>
        <w:numPr>
          <w:ilvl w:val="0"/>
          <w:numId w:val="1003"/>
        </w:numPr>
      </w:pPr>
      <w:r>
        <w:rPr>
          <w:b/>
          <w:bCs/>
        </w:rPr>
        <w:t xml:space="preserve">Calibration:</w:t>
      </w:r>
      <w:r>
        <w:t xml:space="preserve"> </w:t>
      </w:r>
      <w:r>
        <w:t xml:space="preserve">split‑conformal wrappers and CQR to produce 90%/95% intervals with adaptive width. Diagnostics report empirical coverage, violation decomposition (lower/upper), and mean interval width.</w:t>
      </w:r>
    </w:p>
    <w:bookmarkEnd w:id="26"/>
    <w:bookmarkStart w:id="27" w:name="offline-policy-simulator"/>
    <w:p>
      <w:pPr>
        <w:pStyle w:val="Heading3"/>
      </w:pPr>
      <w:r>
        <w:t xml:space="preserve">4.4 Offline Policy Simulator</w:t>
      </w:r>
    </w:p>
    <w:p>
      <w:pPr>
        <w:pStyle w:val="FirstParagraph"/>
      </w:pPr>
      <w:r>
        <w:t xml:space="preserve">A stage pipeline converts predictions to policy outcomes. For a grid of (</w:t>
      </w:r>
      <w:r>
        <w:t xml:space="preserve">) values, the simulator computes LPR, APD, and (C(</w:t>
      </w:r>
      <w:r>
        <w:t xml:space="preserve">)). Segment‑aware variants evaluate policies by corridor distance, category, and seller‑dispatch deciles. Pareto frontiers and the minimum‑cost (</w:t>
      </w:r>
      <w:r>
        <w:t xml:space="preserve">) are reported.</w:t>
      </w:r>
    </w:p>
    <w:bookmarkEnd w:id="27"/>
    <w:bookmarkStart w:id="28" w:name="implementation-code-cli-and-artifacts"/>
    <w:p>
      <w:pPr>
        <w:pStyle w:val="Heading3"/>
      </w:pPr>
      <w:r>
        <w:t xml:space="preserve">4.5 Implementation (Code, CLI, and Artifacts)</w:t>
      </w:r>
    </w:p>
    <w:p>
      <w:pPr>
        <w:pStyle w:val="FirstParagraph"/>
      </w:pPr>
      <w:r>
        <w:rPr>
          <w:b/>
          <w:bCs/>
        </w:rPr>
        <w:t xml:space="preserve">Repository layout (selected):</w:t>
      </w:r>
      <w:r>
        <w:t xml:space="preserve"> </w:t>
      </w:r>
      <w:r>
        <w:t xml:space="preserve">-</w:t>
      </w:r>
      <w:r>
        <w:t xml:space="preserve"> </w:t>
      </w:r>
      <w:r>
        <w:rPr>
          <w:rStyle w:val="VerbatimChar"/>
        </w:rPr>
        <w:t xml:space="preserve">experiments/</w:t>
      </w:r>
      <w:r>
        <w:t xml:space="preserve"> </w:t>
      </w:r>
      <w:r>
        <w:t xml:space="preserve">— runners and logs (</w:t>
      </w:r>
      <w:r>
        <w:rPr>
          <w:rStyle w:val="VerbatimChar"/>
        </w:rPr>
        <w:t xml:space="preserve">run_stage_pipeline.py</w:t>
      </w:r>
      <w:r>
        <w:t xml:space="preserve">,</w:t>
      </w:r>
      <w:r>
        <w:t xml:space="preserve"> </w:t>
      </w:r>
      <w:r>
        <w:rPr>
          <w:rStyle w:val="VerbatimChar"/>
        </w:rPr>
        <w:t xml:space="preserve">run_synthetic_suite.py</w:t>
      </w:r>
      <w:r>
        <w:t xml:space="preserve">).</w:t>
      </w:r>
      <w:r>
        <w:br/>
      </w:r>
      <w:r>
        <w:t xml:space="preserve">-</w:t>
      </w:r>
      <w:r>
        <w:t xml:space="preserve"> </w:t>
      </w:r>
      <w:r>
        <w:rPr>
          <w:rStyle w:val="VerbatimChar"/>
        </w:rPr>
        <w:t xml:space="preserve">src/promise_aware_eta/</w:t>
      </w:r>
      <w:r>
        <w:t xml:space="preserve"> </w:t>
      </w:r>
      <w:r>
        <w:t xml:space="preserve">—</w:t>
      </w:r>
      <w:r>
        <w:t xml:space="preserve"> </w:t>
      </w:r>
      <w:r>
        <w:rPr>
          <w:rStyle w:val="VerbatimChar"/>
        </w:rPr>
        <w:t xml:space="preserve">analysis/</w:t>
      </w:r>
      <w:r>
        <w:t xml:space="preserve">,</w:t>
      </w:r>
      <w:r>
        <w:t xml:space="preserve"> </w:t>
      </w:r>
      <w:r>
        <w:rPr>
          <w:rStyle w:val="VerbatimChar"/>
        </w:rPr>
        <w:t xml:space="preserve">modeling/</w:t>
      </w:r>
      <w:r>
        <w:t xml:space="preserve"> </w:t>
      </w:r>
      <w:r>
        <w:t xml:space="preserve">(quantile estimators, calibration, trainers), and</w:t>
      </w:r>
      <w:r>
        <w:t xml:space="preserve"> </w:t>
      </w:r>
      <w:r>
        <w:rPr>
          <w:rStyle w:val="VerbatimChar"/>
        </w:rPr>
        <w:t xml:space="preserve">pipelines/</w:t>
      </w:r>
      <w:r>
        <w:t xml:space="preserve"> </w:t>
      </w:r>
      <w:r>
        <w:t xml:space="preserve">(data ingestion, features, policy, experiment tracking).</w:t>
      </w:r>
      <w:r>
        <w:br/>
      </w:r>
      <w:r>
        <w:t xml:space="preserve">-</w:t>
      </w:r>
      <w:r>
        <w:t xml:space="preserve"> </w:t>
      </w:r>
      <w:r>
        <w:rPr>
          <w:rStyle w:val="VerbatimChar"/>
        </w:rPr>
        <w:t xml:space="preserve">configs/experiments/</w:t>
      </w:r>
      <w:r>
        <w:t xml:space="preserve"> </w:t>
      </w:r>
      <w:r>
        <w:t xml:space="preserve">— canonical YAMLs for linear/HGB/LightGBM/synthetic baselines.</w:t>
      </w:r>
      <w:r>
        <w:br/>
      </w:r>
      <w:r>
        <w:t xml:space="preserve">-</w:t>
      </w:r>
      <w:r>
        <w:t xml:space="preserve"> </w:t>
      </w:r>
      <w:r>
        <w:rPr>
          <w:rStyle w:val="VerbatimChar"/>
        </w:rPr>
        <w:t xml:space="preserve">data/{raw,interim,processed}/</w:t>
      </w:r>
      <w:r>
        <w:t xml:space="preserve"> </w:t>
      </w:r>
      <w:r>
        <w:t xml:space="preserve">and</w:t>
      </w:r>
      <w:r>
        <w:t xml:space="preserve"> </w:t>
      </w:r>
      <w:r>
        <w:rPr>
          <w:rStyle w:val="VerbatimChar"/>
        </w:rPr>
        <w:t xml:space="preserve">docs/</w:t>
      </w:r>
      <w:r>
        <w:t xml:space="preserve"> </w:t>
      </w:r>
      <w:r>
        <w:t xml:space="preserve">for datasets and reports.</w:t>
      </w:r>
    </w:p>
    <w:p>
      <w:pPr>
        <w:pStyle w:val="BodyText"/>
      </w:pPr>
      <w:r>
        <w:rPr>
          <w:b/>
          <w:bCs/>
        </w:rPr>
        <w:t xml:space="preserve">Canonical commands:</w:t>
      </w:r>
    </w:p>
    <w:p>
      <w:pPr>
        <w:pStyle w:val="SourceCode"/>
      </w:pPr>
      <w:r>
        <w:rPr>
          <w:rStyle w:val="VerbatimChar"/>
        </w:rPr>
        <w:t xml:space="preserve"># Synthetic sanity runs</w:t>
      </w:r>
      <w:r>
        <w:br/>
      </w:r>
      <w:r>
        <w:rPr>
          <w:rStyle w:val="VerbatimChar"/>
        </w:rPr>
        <w:t xml:space="preserve">python experiments/run_synthetic_suite.py --force-regen</w:t>
      </w:r>
      <w:r>
        <w:br/>
      </w:r>
      <w:r>
        <w:br/>
      </w:r>
      <w:r>
        <w:rPr>
          <w:rStyle w:val="VerbatimChar"/>
        </w:rPr>
        <w:t xml:space="preserve"># End‑to‑end Olist run</w:t>
      </w:r>
      <w:r>
        <w:br/>
      </w:r>
      <w:r>
        <w:rPr>
          <w:rStyle w:val="VerbatimChar"/>
        </w:rPr>
        <w:t xml:space="preserve">python experiments/run_stage_pipeline.py \</w:t>
      </w:r>
      <w:r>
        <w:br/>
      </w:r>
      <w:r>
        <w:rPr>
          <w:rStyle w:val="VerbatimChar"/>
        </w:rPr>
        <w:t xml:space="preserve">  --config configs/experiments/quantile_baseline_lightgbm.yaml \</w:t>
      </w:r>
      <w:r>
        <w:br/>
      </w:r>
      <w:r>
        <w:rPr>
          <w:rStyle w:val="VerbatimChar"/>
        </w:rPr>
        <w:t xml:space="preserve">  --outdir experiments/logs/ --seed 42</w:t>
      </w:r>
      <w:r>
        <w:br/>
      </w:r>
      <w:r>
        <w:br/>
      </w:r>
      <w:r>
        <w:rPr>
          <w:rStyle w:val="VerbatimChar"/>
        </w:rPr>
        <w:t xml:space="preserve"># Alternative baselines</w:t>
      </w:r>
      <w:r>
        <w:br/>
      </w:r>
      <w:r>
        <w:rPr>
          <w:rStyle w:val="VerbatimChar"/>
        </w:rPr>
        <w:t xml:space="preserve">python experiments/run_stage_pipeline.py --config configs/experiments/quantile_baseline_linear.yaml  --outdir experiments/logs/</w:t>
      </w:r>
      <w:r>
        <w:br/>
      </w:r>
      <w:r>
        <w:rPr>
          <w:rStyle w:val="VerbatimChar"/>
        </w:rPr>
        <w:t xml:space="preserve">python experiments/run_stage_pipeline.py --config configs/experiments/quantile_baseline_hgb.yaml     --outdir experiments/logs/</w:t>
      </w:r>
    </w:p>
    <w:p>
      <w:pPr>
        <w:pStyle w:val="FirstParagraph"/>
      </w:pPr>
      <w:r>
        <w:rPr>
          <w:b/>
          <w:bCs/>
        </w:rPr>
        <w:t xml:space="preserve">Configuration knobs:</w:t>
      </w:r>
      <w:r>
        <w:t xml:space="preserve"> </w:t>
      </w:r>
      <w:r>
        <w:t xml:space="preserve">temporal split, quantile set, calibration method/target, policy grid and cost weights, feature‑family toggles with leakage guards, and tracking metadata.</w:t>
      </w:r>
    </w:p>
    <w:p>
      <w:pPr>
        <w:pStyle w:val="BodyText"/>
      </w:pPr>
      <w:r>
        <w:rPr>
          <w:b/>
          <w:bCs/>
        </w:rPr>
        <w:t xml:space="preserve">Emitted artifacts:</w:t>
      </w:r>
      <w:r>
        <w:t xml:space="preserve"> </w:t>
      </w:r>
      <w:r>
        <w:t xml:space="preserve">Stage‑2 calibration diagnostics (</w:t>
      </w:r>
      <w:r>
        <w:rPr>
          <w:rStyle w:val="VerbatimChar"/>
        </w:rPr>
        <w:t xml:space="preserve">stage2_calibration_diagnostics.json</w:t>
      </w:r>
      <w:r>
        <w:t xml:space="preserve">); Stage‑3 policy metrics (</w:t>
      </w:r>
      <w:r>
        <w:rPr>
          <w:rStyle w:val="VerbatimChar"/>
        </w:rPr>
        <w:t xml:space="preserve">stage3_policy_metrics.csv</w:t>
      </w:r>
      <w:r>
        <w:t xml:space="preserve">); Stage‑4 fairness exports (</w:t>
      </w:r>
      <w:r>
        <w:rPr>
          <w:rStyle w:val="VerbatimChar"/>
        </w:rPr>
        <w:t xml:space="preserve">stage4_region_fairness.csv</w:t>
      </w:r>
      <w:r>
        <w:t xml:space="preserve">,</w:t>
      </w:r>
      <w:r>
        <w:t xml:space="preserve"> </w:t>
      </w:r>
      <w:r>
        <w:rPr>
          <w:rStyle w:val="VerbatimChar"/>
        </w:rPr>
        <w:t xml:space="preserve">stage4_seller_metrics.csv</w:t>
      </w:r>
      <w:r>
        <w:t xml:space="preserve">).</w:t>
      </w:r>
    </w:p>
    <w:p>
      <w:pPr>
        <w:pStyle w:val="BodyText"/>
      </w:pPr>
      <w:r>
        <w:rPr>
          <w:b/>
          <w:bCs/>
        </w:rPr>
        <w:t xml:space="preserve">Quality gates:</w:t>
      </w:r>
      <w:r>
        <w:t xml:space="preserve"> </w:t>
      </w:r>
      <w:r>
        <w:t xml:space="preserve">coverage error (</w:t>
      </w:r>
      <w:r>
        <w:t xml:space="preserve">) on hold‑out; regional LPR gap (</w:t>
      </w:r>
      <w:r>
        <w:t xml:space="preserve">) and coverage ratio (</w:t>
      </w:r>
      <w:r>
        <w:t xml:space="preserve">) vs reference; regressions flagged if expected cost at the recommended (</w:t>
      </w:r>
      <w:r>
        <w:t xml:space="preserve">) worsens by (&gt;5%).</w:t>
      </w:r>
    </w:p>
    <w:p>
      <w:r>
        <w:pict>
          <v:rect style="width:0;height:1.5pt" o:hralign="center" o:hrstd="t" o:hr="t"/>
        </w:pict>
      </w:r>
    </w:p>
    <w:bookmarkEnd w:id="28"/>
    <w:bookmarkEnd w:id="29"/>
    <w:bookmarkStart w:id="30" w:name="experiments"/>
    <w:p>
      <w:pPr>
        <w:pStyle w:val="Heading2"/>
      </w:pPr>
      <w:r>
        <w:t xml:space="preserve">5. Experiments</w:t>
      </w:r>
    </w:p>
    <w:p>
      <w:pPr>
        <w:pStyle w:val="FirstParagraph"/>
      </w:pPr>
      <w:r>
        <w:rPr>
          <w:b/>
          <w:bCs/>
        </w:rPr>
        <w:t xml:space="preserve">5.1 Synthetic baselines.</w:t>
      </w:r>
      <w:r>
        <w:t xml:space="preserve"> </w:t>
      </w:r>
      <w:r>
        <w:t xml:space="preserve">Linear, HGB, and LightGBM quantile models validate the training/calibration stack and instrumentation (Appendix C).</w:t>
      </w:r>
      <w:r>
        <w:br/>
      </w:r>
      <w:r>
        <w:rPr>
          <w:b/>
          <w:bCs/>
        </w:rPr>
        <w:t xml:space="preserve">5.2 Calibration diagnostics.</w:t>
      </w:r>
      <w:r>
        <w:t xml:space="preserve"> </w:t>
      </w:r>
      <w:r>
        <w:t xml:space="preserve">Post‑conformal coverage, violation decomposition, and interval width guide refits and recalibration cadence.</w:t>
      </w:r>
      <w:r>
        <w:br/>
      </w:r>
      <w:r>
        <w:rPr>
          <w:b/>
          <w:bCs/>
        </w:rPr>
        <w:t xml:space="preserve">5.3 Promise policy selection.</w:t>
      </w:r>
      <w:r>
        <w:t xml:space="preserve"> </w:t>
      </w:r>
      <w:r>
        <w:t xml:space="preserve">For each (</w:t>
      </w:r>
      <w:r>
        <w:t xml:space="preserve">), compute LPR/APD/(C); select a global (</w:t>
      </w:r>
      <w:r>
        <w:t xml:space="preserve">) and examine segment‑aware variants; sweep (</w:t>
      </w:r>
      <w:r>
        <w:rPr>
          <w:i/>
          <w:iCs/>
        </w:rPr>
        <w:t xml:space="preserve">{late}!:!</w:t>
      </w:r>
      <w:r>
        <w:t xml:space="preserve">{slow}) for sensitivity.</w:t>
      </w:r>
      <w:r>
        <w:br/>
      </w:r>
      <w:r>
        <w:rPr>
          <w:b/>
          <w:bCs/>
        </w:rPr>
        <w:t xml:space="preserve">5.4 Fairness and disparity.</w:t>
      </w:r>
      <w:r>
        <w:t xml:space="preserve"> </w:t>
      </w:r>
      <w:r>
        <w:t xml:space="preserve">Report coverage, expected cost, and sample sizes by region and seller; flag under‑coverage and cost inflation.</w:t>
      </w:r>
    </w:p>
    <w:p>
      <w:r>
        <w:pict>
          <v:rect style="width:0;height:1.5pt" o:hralign="center" o:hrstd="t" o:hr="t"/>
        </w:pict>
      </w:r>
    </w:p>
    <w:bookmarkEnd w:id="30"/>
    <w:bookmarkStart w:id="31" w:name="results-highlights"/>
    <w:p>
      <w:pPr>
        <w:pStyle w:val="Heading2"/>
      </w:pPr>
      <w:r>
        <w:t xml:space="preserve">6. Results (Highlights)</w:t>
      </w:r>
    </w:p>
    <w:p>
      <w:pPr>
        <w:pStyle w:val="Compact"/>
        <w:numPr>
          <w:ilvl w:val="0"/>
          <w:numId w:val="1004"/>
        </w:numPr>
      </w:pPr>
      <w:r>
        <w:rPr>
          <w:b/>
          <w:bCs/>
        </w:rPr>
        <w:t xml:space="preserve">Calibration (Stage 2).</w:t>
      </w:r>
      <w:r>
        <w:t xml:space="preserve"> </w:t>
      </w:r>
      <w:r>
        <w:t xml:space="preserve">Observed coverage</w:t>
      </w:r>
      <w:r>
        <w:t xml:space="preserve"> </w:t>
      </w:r>
      <w:r>
        <w:rPr>
          <w:b/>
          <w:bCs/>
        </w:rPr>
        <w:t xml:space="preserve">0.8251</w:t>
      </w:r>
      <w:r>
        <w:t xml:space="preserve"> </w:t>
      </w:r>
      <w:r>
        <w:t xml:space="preserve">vs target</w:t>
      </w:r>
      <w:r>
        <w:t xml:space="preserve"> </w:t>
      </w:r>
      <w:r>
        <w:rPr>
          <w:b/>
          <w:bCs/>
        </w:rPr>
        <w:t xml:space="preserve">0.9000</w:t>
      </w:r>
      <w:r>
        <w:t xml:space="preserve">; lower violations</w:t>
      </w:r>
      <w:r>
        <w:t xml:space="preserve"> </w:t>
      </w:r>
      <w:r>
        <w:rPr>
          <w:b/>
          <w:bCs/>
        </w:rPr>
        <w:t xml:space="preserve">0.0820</w:t>
      </w:r>
      <w:r>
        <w:t xml:space="preserve">, upper violations</w:t>
      </w:r>
      <w:r>
        <w:t xml:space="preserve"> </w:t>
      </w:r>
      <w:r>
        <w:rPr>
          <w:b/>
          <w:bCs/>
        </w:rPr>
        <w:t xml:space="preserve">0.0929</w:t>
      </w:r>
      <w:r>
        <w:t xml:space="preserve">; mean interval width</w:t>
      </w:r>
      <w:r>
        <w:t xml:space="preserve"> </w:t>
      </w:r>
      <w:r>
        <w:rPr>
          <w:b/>
          <w:bCs/>
        </w:rPr>
        <w:t xml:space="preserve">6.11 days</w:t>
      </w:r>
      <w:r>
        <w:t xml:space="preserve">.</w:t>
      </w:r>
    </w:p>
    <w:p>
      <w:pPr>
        <w:pStyle w:val="Compact"/>
        <w:numPr>
          <w:ilvl w:val="0"/>
          <w:numId w:val="1004"/>
        </w:numPr>
      </w:pPr>
      <w:r>
        <w:rPr>
          <w:b/>
          <w:bCs/>
        </w:rPr>
        <w:t xml:space="preserve">Policy (Stage 3).</w:t>
      </w:r>
      <w:r>
        <w:t xml:space="preserve"> </w:t>
      </w:r>
      <w:r>
        <w:t xml:space="preserve">Minimum expected cost at</w:t>
      </w:r>
      <w:r>
        <w:t xml:space="preserve"> </w:t>
      </w:r>
      <w:r>
        <w:rPr>
          <w:b/>
          <w:bCs/>
        </w:rPr>
        <w:t xml:space="preserve">(</w:t>
      </w:r>
      <w:r>
        <w:rPr>
          <w:b/>
          <w:bCs/>
        </w:rPr>
        <w:t xml:space="preserve">)</w:t>
      </w:r>
      <w:r>
        <w:t xml:space="preserve"> </w:t>
      </w:r>
      <w:r>
        <w:t xml:space="preserve">with coverage</w:t>
      </w:r>
      <w:r>
        <w:t xml:space="preserve"> </w:t>
      </w:r>
      <w:r>
        <w:rPr>
          <w:b/>
          <w:bCs/>
        </w:rPr>
        <w:t xml:space="preserve">0.8822</w:t>
      </w:r>
      <w:r>
        <w:t xml:space="preserve">, APD</w:t>
      </w:r>
      <w:r>
        <w:t xml:space="preserve"> </w:t>
      </w:r>
      <w:r>
        <w:rPr>
          <w:b/>
          <w:bCs/>
        </w:rPr>
        <w:t xml:space="preserve">12.97 days</w:t>
      </w:r>
      <w:r>
        <w:t xml:space="preserve">, expected cost</w:t>
      </w:r>
      <w:r>
        <w:t xml:space="preserve"> </w:t>
      </w:r>
      <w:r>
        <w:rPr>
          <w:b/>
          <w:bCs/>
        </w:rPr>
        <w:t xml:space="preserve">3.19</w:t>
      </w:r>
      <w:r>
        <w:t xml:space="preserve">. The (</w:t>
      </w:r>
      <w:r>
        <w:t xml:space="preserve">) policy is dominated on both coverage and cost.</w:t>
      </w:r>
    </w:p>
    <w:p>
      <w:pPr>
        <w:pStyle w:val="Compact"/>
        <w:numPr>
          <w:ilvl w:val="0"/>
          <w:numId w:val="1004"/>
        </w:numPr>
      </w:pPr>
      <w:r>
        <w:rPr>
          <w:b/>
          <w:bCs/>
        </w:rPr>
        <w:t xml:space="preserve">Fairness (Stage 4).</w:t>
      </w:r>
      <w:r>
        <w:t xml:space="preserve"> </w:t>
      </w:r>
      <w:r>
        <w:t xml:space="preserve">Regional coverage spans</w:t>
      </w:r>
      <w:r>
        <w:t xml:space="preserve"> </w:t>
      </w:r>
      <w:r>
        <w:rPr>
          <w:b/>
          <w:bCs/>
        </w:rPr>
        <w:t xml:space="preserve">0.840–0.933</w:t>
      </w:r>
      <w:r>
        <w:t xml:space="preserve"> </w:t>
      </w:r>
      <w:r>
        <w:t xml:space="preserve">(south lowest, north highest). Seller coverage ranges</w:t>
      </w:r>
      <w:r>
        <w:t xml:space="preserve"> </w:t>
      </w:r>
      <w:r>
        <w:rPr>
          <w:b/>
          <w:bCs/>
        </w:rPr>
        <w:t xml:space="preserve">0.795–1.000</w:t>
      </w:r>
      <w:r>
        <w:t xml:space="preserve">; sparse‑history sellers account for most under‑coverage.</w:t>
      </w:r>
    </w:p>
    <w:p>
      <w:pPr>
        <w:pStyle w:val="Compact"/>
        <w:numPr>
          <w:ilvl w:val="0"/>
          <w:numId w:val="1004"/>
        </w:numPr>
      </w:pPr>
      <w:r>
        <w:rPr>
          <w:b/>
          <w:bCs/>
        </w:rPr>
        <w:t xml:space="preserve">Ablations.</w:t>
      </w:r>
      <w:r>
        <w:t xml:space="preserve"> </w:t>
      </w:r>
      <w:r>
        <w:t xml:space="preserve">Seller‑dispatch features tighten the right tail; distance and product‑mix features reduce interval width; rolling‑origin checks motivate periodic recalibration.</w:t>
      </w:r>
    </w:p>
    <w:p>
      <w:r>
        <w:pict>
          <v:rect style="width:0;height:1.5pt" o:hralign="center" o:hrstd="t" o:hr="t"/>
        </w:pict>
      </w:r>
    </w:p>
    <w:bookmarkEnd w:id="31"/>
    <w:bookmarkStart w:id="32" w:name="discussion"/>
    <w:p>
      <w:pPr>
        <w:pStyle w:val="Heading2"/>
      </w:pPr>
      <w:r>
        <w:t xml:space="preserve">7. Discussion</w:t>
      </w:r>
    </w:p>
    <w:p>
      <w:pPr>
        <w:pStyle w:val="FirstParagraph"/>
      </w:pPr>
      <w:r>
        <w:t xml:space="preserve">High‑quantile promises anchored to calibrated distributions provide a transparent, auditable control over late risk. Because exchangeability and stationarity are only approximate,</w:t>
      </w:r>
      <w:r>
        <w:t xml:space="preserve"> </w:t>
      </w:r>
      <w:r>
        <w:rPr>
          <w:b/>
          <w:bCs/>
        </w:rPr>
        <w:t xml:space="preserve">temporal drift</w:t>
      </w:r>
      <w:r>
        <w:t xml:space="preserve"> </w:t>
      </w:r>
      <w:r>
        <w:t xml:space="preserve">necessitates routine recalibration; rolling‑origin studies suggest a practical cadence. Fairness diagnostics should be read with attention to sample support: low‑volume sellers exhibit high variance; thresholding or hierarchical shrinkage is advisable. Operational deployment can start with a single global (</w:t>
      </w:r>
      <w:r>
        <w:t xml:space="preserve">) and graduate to segment‑aware variants when monitoring is mature.</w:t>
      </w:r>
    </w:p>
    <w:p>
      <w:r>
        <w:pict>
          <v:rect style="width:0;height:1.5pt" o:hralign="center" o:hrstd="t" o:hr="t"/>
        </w:pict>
      </w:r>
    </w:p>
    <w:bookmarkEnd w:id="32"/>
    <w:bookmarkStart w:id="38" w:name="tables-figures"/>
    <w:p>
      <w:pPr>
        <w:pStyle w:val="Heading2"/>
      </w:pPr>
      <w:r>
        <w:t xml:space="preserve">8. Tables &amp; Figures</w:t>
      </w:r>
    </w:p>
    <w:bookmarkStart w:id="33" w:name="calibration-diagnostics-stage-2"/>
    <w:p>
      <w:pPr>
        <w:pStyle w:val="Heading3"/>
      </w:pPr>
      <w:r>
        <w:t xml:space="preserve">8.1 Calibration Diagnostics (Stage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Target coverage</w:t>
            </w:r>
          </w:p>
        </w:tc>
        <w:tc>
          <w:tcPr/>
          <w:p>
            <w:pPr>
              <w:pStyle w:val="Compact"/>
              <w:jc w:val="right"/>
            </w:pPr>
            <w:r>
              <w:t xml:space="preserve">0.9000</w:t>
            </w:r>
          </w:p>
        </w:tc>
      </w:tr>
      <w:tr>
        <w:tc>
          <w:tcPr/>
          <w:p>
            <w:pPr>
              <w:pStyle w:val="Compact"/>
            </w:pPr>
            <w:r>
              <w:t xml:space="preserve">Observed coverage</w:t>
            </w:r>
          </w:p>
        </w:tc>
        <w:tc>
          <w:tcPr/>
          <w:p>
            <w:pPr>
              <w:pStyle w:val="Compact"/>
              <w:jc w:val="right"/>
            </w:pPr>
            <w:r>
              <w:t xml:space="preserve">0.8251</w:t>
            </w:r>
          </w:p>
        </w:tc>
      </w:tr>
      <w:tr>
        <w:tc>
          <w:tcPr/>
          <w:p>
            <w:pPr>
              <w:pStyle w:val="Compact"/>
            </w:pPr>
            <w:r>
              <w:t xml:space="preserve">Lower violation rate</w:t>
            </w:r>
          </w:p>
        </w:tc>
        <w:tc>
          <w:tcPr/>
          <w:p>
            <w:pPr>
              <w:pStyle w:val="Compact"/>
              <w:jc w:val="right"/>
            </w:pPr>
            <w:r>
              <w:t xml:space="preserve">0.0820</w:t>
            </w:r>
          </w:p>
        </w:tc>
      </w:tr>
      <w:tr>
        <w:tc>
          <w:tcPr/>
          <w:p>
            <w:pPr>
              <w:pStyle w:val="Compact"/>
            </w:pPr>
            <w:r>
              <w:t xml:space="preserve">Upper violation rate</w:t>
            </w:r>
          </w:p>
        </w:tc>
        <w:tc>
          <w:tcPr/>
          <w:p>
            <w:pPr>
              <w:pStyle w:val="Compact"/>
              <w:jc w:val="right"/>
            </w:pPr>
            <w:r>
              <w:t xml:space="preserve">0.0929</w:t>
            </w:r>
          </w:p>
        </w:tc>
      </w:tr>
      <w:tr>
        <w:tc>
          <w:tcPr/>
          <w:p>
            <w:pPr>
              <w:pStyle w:val="Compact"/>
            </w:pPr>
            <w:r>
              <w:t xml:space="preserve">Mean interval width (days)</w:t>
            </w:r>
          </w:p>
        </w:tc>
        <w:tc>
          <w:tcPr/>
          <w:p>
            <w:pPr>
              <w:pStyle w:val="Compact"/>
              <w:jc w:val="right"/>
            </w:pPr>
            <w:r>
              <w:t xml:space="preserve">6.11</w:t>
            </w:r>
          </w:p>
        </w:tc>
      </w:tr>
    </w:tbl>
    <w:bookmarkEnd w:id="33"/>
    <w:bookmarkStart w:id="34" w:name="policy-sweep-stage-3"/>
    <w:p>
      <w:pPr>
        <w:pStyle w:val="Heading3"/>
      </w:pPr>
      <w:r>
        <w:t xml:space="preserve">8.2 Policy Sweep (Stage 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w:t>
            </w:r>
          </w:p>
        </w:tc>
        <w:tc>
          <w:tcPr/>
          <w:p>
            <w:pPr>
              <w:pStyle w:val="Compact"/>
              <w:jc w:val="right"/>
            </w:pPr>
            <w:r>
              <w:t xml:space="preserve">τ</w:t>
            </w:r>
          </w:p>
        </w:tc>
        <w:tc>
          <w:tcPr/>
          <w:p>
            <w:pPr>
              <w:pStyle w:val="Compact"/>
              <w:jc w:val="right"/>
            </w:pPr>
            <w:r>
              <w:t xml:space="preserve">Coverage</w:t>
            </w:r>
          </w:p>
        </w:tc>
        <w:tc>
          <w:tcPr/>
          <w:p>
            <w:pPr>
              <w:pStyle w:val="Compact"/>
              <w:jc w:val="right"/>
            </w:pPr>
            <w:r>
              <w:t xml:space="preserve">Avg. Promised (days)</w:t>
            </w:r>
          </w:p>
        </w:tc>
        <w:tc>
          <w:tcPr/>
          <w:p>
            <w:pPr>
              <w:pStyle w:val="Compact"/>
              <w:jc w:val="right"/>
            </w:pPr>
            <w:r>
              <w:t xml:space="preserve">Expected Cost</w:t>
            </w:r>
          </w:p>
        </w:tc>
      </w:tr>
      <w:tr>
        <w:tc>
          <w:tcPr/>
          <w:p>
            <w:pPr>
              <w:pStyle w:val="Compact"/>
              <w:jc w:val="left"/>
            </w:pPr>
            <w:r>
              <w:t xml:space="preserve">p50</w:t>
            </w:r>
          </w:p>
        </w:tc>
        <w:tc>
          <w:tcPr/>
          <w:p>
            <w:pPr>
              <w:pStyle w:val="Compact"/>
              <w:jc w:val="right"/>
            </w:pPr>
            <w:r>
              <w:t xml:space="preserve">0.50</w:t>
            </w:r>
          </w:p>
        </w:tc>
        <w:tc>
          <w:tcPr/>
          <w:p>
            <w:pPr>
              <w:pStyle w:val="Compact"/>
              <w:jc w:val="right"/>
            </w:pPr>
            <w:r>
              <w:t xml:space="preserve">0.5288</w:t>
            </w:r>
          </w:p>
        </w:tc>
        <w:tc>
          <w:tcPr/>
          <w:p>
            <w:pPr>
              <w:pStyle w:val="Compact"/>
              <w:jc w:val="right"/>
            </w:pPr>
            <w:r>
              <w:t xml:space="preserve">10.49</w:t>
            </w:r>
          </w:p>
        </w:tc>
        <w:tc>
          <w:tcPr/>
          <w:p>
            <w:pPr>
              <w:pStyle w:val="Compact"/>
              <w:jc w:val="right"/>
            </w:pPr>
            <w:r>
              <w:t xml:space="preserve">4.83</w:t>
            </w:r>
          </w:p>
        </w:tc>
      </w:tr>
      <w:tr>
        <w:tc>
          <w:tcPr/>
          <w:p>
            <w:pPr>
              <w:pStyle w:val="Compact"/>
              <w:jc w:val="left"/>
            </w:pPr>
            <w:r>
              <w:rPr>
                <w:b/>
                <w:bCs/>
              </w:rPr>
              <w:t xml:space="preserve">p90 (recommended)</w:t>
            </w:r>
          </w:p>
        </w:tc>
        <w:tc>
          <w:tcPr/>
          <w:p>
            <w:pPr>
              <w:pStyle w:val="Compact"/>
              <w:jc w:val="right"/>
            </w:pPr>
            <w:r>
              <w:rPr>
                <w:b/>
                <w:bCs/>
              </w:rPr>
              <w:t xml:space="preserve">0.90</w:t>
            </w:r>
          </w:p>
        </w:tc>
        <w:tc>
          <w:tcPr/>
          <w:p>
            <w:pPr>
              <w:pStyle w:val="Compact"/>
              <w:jc w:val="right"/>
            </w:pPr>
            <w:r>
              <w:rPr>
                <w:b/>
                <w:bCs/>
              </w:rPr>
              <w:t xml:space="preserve">0.8822</w:t>
            </w:r>
          </w:p>
        </w:tc>
        <w:tc>
          <w:tcPr/>
          <w:p>
            <w:pPr>
              <w:pStyle w:val="Compact"/>
              <w:jc w:val="right"/>
            </w:pPr>
            <w:r>
              <w:rPr>
                <w:b/>
                <w:bCs/>
              </w:rPr>
              <w:t xml:space="preserve">12.97</w:t>
            </w:r>
          </w:p>
        </w:tc>
        <w:tc>
          <w:tcPr/>
          <w:p>
            <w:pPr>
              <w:pStyle w:val="Compact"/>
              <w:jc w:val="right"/>
            </w:pPr>
            <w:r>
              <w:rPr>
                <w:b/>
                <w:bCs/>
              </w:rPr>
              <w:t xml:space="preserve">3.19</w:t>
            </w:r>
          </w:p>
        </w:tc>
      </w:tr>
    </w:tbl>
    <w:p>
      <w:pPr>
        <w:pStyle w:val="BodyText"/>
      </w:pPr>
      <w:r>
        <w:rPr>
          <w:i/>
          <w:iCs/>
        </w:rPr>
        <w:t xml:space="preserve">This run evaluated (</w:t>
      </w:r>
      <w:r>
        <w:rPr>
          <w:i/>
          <w:iCs/>
        </w:rPr>
        <w:t xml:space="preserve">{0.50,0.90}); a denser grid (0.60–0.99) yields the full frontier.</w:t>
      </w:r>
    </w:p>
    <w:bookmarkEnd w:id="34"/>
    <w:bookmarkStart w:id="35" w:name="regional-fairness-coverage-stage-4"/>
    <w:p>
      <w:pPr>
        <w:pStyle w:val="Heading3"/>
      </w:pPr>
      <w:r>
        <w:t xml:space="preserve">8.3 Regional Fairness — Coverage (Stage 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Region</w:t>
            </w:r>
          </w:p>
        </w:tc>
        <w:tc>
          <w:tcPr/>
          <w:p>
            <w:pPr>
              <w:pStyle w:val="Compact"/>
              <w:jc w:val="right"/>
            </w:pPr>
            <w:r>
              <w:t xml:space="preserve">Coverage</w:t>
            </w:r>
          </w:p>
        </w:tc>
        <w:tc>
          <w:tcPr/>
          <w:p>
            <w:pPr>
              <w:pStyle w:val="Compact"/>
              <w:jc w:val="right"/>
            </w:pPr>
            <w:r>
              <w:t xml:space="preserve">Δ vs. Reference</w:t>
            </w:r>
          </w:p>
        </w:tc>
        <w:tc>
          <w:tcPr/>
          <w:p>
            <w:pPr>
              <w:pStyle w:val="Compact"/>
              <w:jc w:val="right"/>
            </w:pPr>
            <w:r>
              <w:t xml:space="preserve">Ratio to Reference</w:t>
            </w:r>
          </w:p>
        </w:tc>
      </w:tr>
      <w:tr>
        <w:tc>
          <w:tcPr/>
          <w:p>
            <w:pPr>
              <w:pStyle w:val="Compact"/>
              <w:jc w:val="left"/>
            </w:pPr>
            <w:r>
              <w:t xml:space="preserve">north (reference)</w:t>
            </w:r>
          </w:p>
        </w:tc>
        <w:tc>
          <w:tcPr/>
          <w:p>
            <w:pPr>
              <w:pStyle w:val="Compact"/>
              <w:jc w:val="right"/>
            </w:pPr>
            <w:r>
              <w:t xml:space="preserve">0.9333</w:t>
            </w:r>
          </w:p>
        </w:tc>
        <w:tc>
          <w:tcPr/>
          <w:p>
            <w:pPr>
              <w:pStyle w:val="Compact"/>
              <w:jc w:val="right"/>
            </w:pPr>
            <w:r>
              <w:t xml:space="preserve">0.0000</w:t>
            </w:r>
          </w:p>
        </w:tc>
        <w:tc>
          <w:tcPr/>
          <w:p>
            <w:pPr>
              <w:pStyle w:val="Compact"/>
              <w:jc w:val="right"/>
            </w:pPr>
            <w:r>
              <w:t xml:space="preserve">1.0000</w:t>
            </w:r>
          </w:p>
        </w:tc>
      </w:tr>
      <w:tr>
        <w:tc>
          <w:tcPr/>
          <w:p>
            <w:pPr>
              <w:pStyle w:val="Compact"/>
              <w:jc w:val="left"/>
            </w:pPr>
            <w:r>
              <w:t xml:space="preserve">east</w:t>
            </w:r>
          </w:p>
        </w:tc>
        <w:tc>
          <w:tcPr/>
          <w:p>
            <w:pPr>
              <w:pStyle w:val="Compact"/>
              <w:jc w:val="right"/>
            </w:pPr>
            <w:r>
              <w:t xml:space="preserve">0.8955</w:t>
            </w:r>
          </w:p>
        </w:tc>
        <w:tc>
          <w:tcPr/>
          <w:p>
            <w:pPr>
              <w:pStyle w:val="Compact"/>
              <w:jc w:val="right"/>
            </w:pPr>
            <w:r>
              <w:t xml:space="preserve">−0.0378</w:t>
            </w:r>
          </w:p>
        </w:tc>
        <w:tc>
          <w:tcPr/>
          <w:p>
            <w:pPr>
              <w:pStyle w:val="Compact"/>
              <w:jc w:val="right"/>
            </w:pPr>
            <w:r>
              <w:t xml:space="preserve">0.9595</w:t>
            </w:r>
          </w:p>
        </w:tc>
      </w:tr>
      <w:tr>
        <w:tc>
          <w:tcPr/>
          <w:p>
            <w:pPr>
              <w:pStyle w:val="Compact"/>
              <w:jc w:val="left"/>
            </w:pPr>
            <w:r>
              <w:t xml:space="preserve">west</w:t>
            </w:r>
          </w:p>
        </w:tc>
        <w:tc>
          <w:tcPr/>
          <w:p>
            <w:pPr>
              <w:pStyle w:val="Compact"/>
              <w:jc w:val="right"/>
            </w:pPr>
            <w:r>
              <w:t xml:space="preserve">0.8621</w:t>
            </w:r>
          </w:p>
        </w:tc>
        <w:tc>
          <w:tcPr/>
          <w:p>
            <w:pPr>
              <w:pStyle w:val="Compact"/>
              <w:jc w:val="right"/>
            </w:pPr>
            <w:r>
              <w:t xml:space="preserve">−0.0713</w:t>
            </w:r>
          </w:p>
        </w:tc>
        <w:tc>
          <w:tcPr/>
          <w:p>
            <w:pPr>
              <w:pStyle w:val="Compact"/>
              <w:jc w:val="right"/>
            </w:pPr>
            <w:r>
              <w:t xml:space="preserve">0.9236</w:t>
            </w:r>
          </w:p>
        </w:tc>
      </w:tr>
      <w:tr>
        <w:tc>
          <w:tcPr/>
          <w:p>
            <w:pPr>
              <w:pStyle w:val="Compact"/>
              <w:jc w:val="left"/>
            </w:pPr>
            <w:r>
              <w:t xml:space="preserve">south</w:t>
            </w:r>
          </w:p>
        </w:tc>
        <w:tc>
          <w:tcPr/>
          <w:p>
            <w:pPr>
              <w:pStyle w:val="Compact"/>
              <w:jc w:val="right"/>
            </w:pPr>
            <w:r>
              <w:t xml:space="preserve">0.8396</w:t>
            </w:r>
          </w:p>
        </w:tc>
        <w:tc>
          <w:tcPr/>
          <w:p>
            <w:pPr>
              <w:pStyle w:val="Compact"/>
              <w:jc w:val="right"/>
            </w:pPr>
            <w:r>
              <w:t xml:space="preserve">−0.0937</w:t>
            </w:r>
          </w:p>
        </w:tc>
        <w:tc>
          <w:tcPr/>
          <w:p>
            <w:pPr>
              <w:pStyle w:val="Compact"/>
              <w:jc w:val="right"/>
            </w:pPr>
            <w:r>
              <w:t xml:space="preserve">0.8996</w:t>
            </w:r>
          </w:p>
        </w:tc>
      </w:tr>
    </w:tbl>
    <w:bookmarkEnd w:id="35"/>
    <w:bookmarkStart w:id="36" w:name="Xc35faba4ca3a7abcac912b5e68b190b28f8b0f9"/>
    <w:p>
      <w:pPr>
        <w:pStyle w:val="Heading3"/>
      </w:pPr>
      <w:r>
        <w:t xml:space="preserve">8.4 Seller Fairness — Coverage Top/Bottom (Stage 4)</w:t>
      </w:r>
    </w:p>
    <w:p>
      <w:pPr>
        <w:pStyle w:val="FirstParagraph"/>
      </w:pPr>
      <w:r>
        <w:rPr>
          <w:b/>
          <w:bCs/>
        </w:rPr>
        <w:t xml:space="preserve">Top 5 sellers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Seller</w:t>
            </w:r>
          </w:p>
        </w:tc>
        <w:tc>
          <w:tcPr/>
          <w:p>
            <w:pPr>
              <w:pStyle w:val="Compact"/>
              <w:jc w:val="right"/>
            </w:pPr>
            <w:r>
              <w:t xml:space="preserve">Coverage</w:t>
            </w:r>
          </w:p>
        </w:tc>
      </w:tr>
      <w:tr>
        <w:tc>
          <w:tcPr/>
          <w:p>
            <w:pPr>
              <w:pStyle w:val="Compact"/>
              <w:jc w:val="left"/>
            </w:pPr>
            <w:r>
              <w:t xml:space="preserve">seller_004</w:t>
            </w:r>
          </w:p>
        </w:tc>
        <w:tc>
          <w:tcPr/>
          <w:p>
            <w:pPr>
              <w:pStyle w:val="Compact"/>
              <w:jc w:val="right"/>
            </w:pPr>
            <w:r>
              <w:t xml:space="preserve">1.0000</w:t>
            </w:r>
          </w:p>
        </w:tc>
      </w:tr>
      <w:tr>
        <w:tc>
          <w:tcPr/>
          <w:p>
            <w:pPr>
              <w:pStyle w:val="Compact"/>
              <w:jc w:val="left"/>
            </w:pPr>
            <w:r>
              <w:t xml:space="preserve">seller_006</w:t>
            </w:r>
          </w:p>
        </w:tc>
        <w:tc>
          <w:tcPr/>
          <w:p>
            <w:pPr>
              <w:pStyle w:val="Compact"/>
              <w:jc w:val="right"/>
            </w:pPr>
            <w:r>
              <w:t xml:space="preserve">0.9355</w:t>
            </w:r>
          </w:p>
        </w:tc>
      </w:tr>
      <w:tr>
        <w:tc>
          <w:tcPr/>
          <w:p>
            <w:pPr>
              <w:pStyle w:val="Compact"/>
              <w:jc w:val="left"/>
            </w:pPr>
            <w:r>
              <w:t xml:space="preserve">seller_000</w:t>
            </w:r>
          </w:p>
        </w:tc>
        <w:tc>
          <w:tcPr/>
          <w:p>
            <w:pPr>
              <w:pStyle w:val="Compact"/>
              <w:jc w:val="right"/>
            </w:pPr>
            <w:r>
              <w:t xml:space="preserve">0.9032</w:t>
            </w:r>
          </w:p>
        </w:tc>
      </w:tr>
      <w:tr>
        <w:tc>
          <w:tcPr/>
          <w:p>
            <w:pPr>
              <w:pStyle w:val="Compact"/>
              <w:jc w:val="left"/>
            </w:pPr>
            <w:r>
              <w:t xml:space="preserve">seller_008</w:t>
            </w:r>
          </w:p>
        </w:tc>
        <w:tc>
          <w:tcPr/>
          <w:p>
            <w:pPr>
              <w:pStyle w:val="Compact"/>
              <w:jc w:val="right"/>
            </w:pPr>
            <w:r>
              <w:t xml:space="preserve">0.8947</w:t>
            </w:r>
          </w:p>
        </w:tc>
      </w:tr>
      <w:tr>
        <w:tc>
          <w:tcPr/>
          <w:p>
            <w:pPr>
              <w:pStyle w:val="Compact"/>
              <w:jc w:val="left"/>
            </w:pPr>
            <w:r>
              <w:t xml:space="preserve">seller_005</w:t>
            </w:r>
          </w:p>
        </w:tc>
        <w:tc>
          <w:tcPr/>
          <w:p>
            <w:pPr>
              <w:pStyle w:val="Compact"/>
              <w:jc w:val="right"/>
            </w:pPr>
            <w:r>
              <w:t xml:space="preserve">0.8919</w:t>
            </w:r>
          </w:p>
        </w:tc>
      </w:tr>
    </w:tbl>
    <w:p>
      <w:pPr>
        <w:pStyle w:val="BodyText"/>
      </w:pPr>
      <w:r>
        <w:rPr>
          <w:b/>
          <w:bCs/>
        </w:rPr>
        <w:t xml:space="preserve">Bottom 5 sellers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Seller</w:t>
            </w:r>
          </w:p>
        </w:tc>
        <w:tc>
          <w:tcPr/>
          <w:p>
            <w:pPr>
              <w:pStyle w:val="Compact"/>
              <w:jc w:val="right"/>
            </w:pPr>
            <w:r>
              <w:t xml:space="preserve">Coverage</w:t>
            </w:r>
          </w:p>
        </w:tc>
      </w:tr>
      <w:tr>
        <w:tc>
          <w:tcPr/>
          <w:p>
            <w:pPr>
              <w:pStyle w:val="Compact"/>
              <w:jc w:val="left"/>
            </w:pPr>
            <w:r>
              <w:t xml:space="preserve">seller_007</w:t>
            </w:r>
          </w:p>
        </w:tc>
        <w:tc>
          <w:tcPr/>
          <w:p>
            <w:pPr>
              <w:pStyle w:val="Compact"/>
              <w:jc w:val="right"/>
            </w:pPr>
            <w:r>
              <w:t xml:space="preserve">0.8636</w:t>
            </w:r>
          </w:p>
        </w:tc>
      </w:tr>
      <w:tr>
        <w:tc>
          <w:tcPr/>
          <w:p>
            <w:pPr>
              <w:pStyle w:val="Compact"/>
              <w:jc w:val="left"/>
            </w:pPr>
            <w:r>
              <w:t xml:space="preserve">seller_002</w:t>
            </w:r>
          </w:p>
        </w:tc>
        <w:tc>
          <w:tcPr/>
          <w:p>
            <w:pPr>
              <w:pStyle w:val="Compact"/>
              <w:jc w:val="right"/>
            </w:pPr>
            <w:r>
              <w:t xml:space="preserve">0.8611</w:t>
            </w:r>
          </w:p>
        </w:tc>
      </w:tr>
      <w:tr>
        <w:tc>
          <w:tcPr/>
          <w:p>
            <w:pPr>
              <w:pStyle w:val="Compact"/>
              <w:jc w:val="left"/>
            </w:pPr>
            <w:r>
              <w:t xml:space="preserve">seller_003</w:t>
            </w:r>
          </w:p>
        </w:tc>
        <w:tc>
          <w:tcPr/>
          <w:p>
            <w:pPr>
              <w:pStyle w:val="Compact"/>
              <w:jc w:val="right"/>
            </w:pPr>
            <w:r>
              <w:t xml:space="preserve">0.8605</w:t>
            </w:r>
          </w:p>
        </w:tc>
      </w:tr>
      <w:tr>
        <w:tc>
          <w:tcPr/>
          <w:p>
            <w:pPr>
              <w:pStyle w:val="Compact"/>
              <w:jc w:val="left"/>
            </w:pPr>
            <w:r>
              <w:t xml:space="preserve">seller_001</w:t>
            </w:r>
          </w:p>
        </w:tc>
        <w:tc>
          <w:tcPr/>
          <w:p>
            <w:pPr>
              <w:pStyle w:val="Compact"/>
              <w:jc w:val="right"/>
            </w:pPr>
            <w:r>
              <w:t xml:space="preserve">0.8333</w:t>
            </w:r>
          </w:p>
        </w:tc>
      </w:tr>
      <w:tr>
        <w:tc>
          <w:tcPr/>
          <w:p>
            <w:pPr>
              <w:pStyle w:val="Compact"/>
              <w:jc w:val="left"/>
            </w:pPr>
            <w:r>
              <w:t xml:space="preserve">seller_009</w:t>
            </w:r>
          </w:p>
        </w:tc>
        <w:tc>
          <w:tcPr/>
          <w:p>
            <w:pPr>
              <w:pStyle w:val="Compact"/>
              <w:jc w:val="right"/>
            </w:pPr>
            <w:r>
              <w:t xml:space="preserve">0.7949</w:t>
            </w:r>
          </w:p>
        </w:tc>
      </w:tr>
    </w:tbl>
    <w:bookmarkEnd w:id="36"/>
    <w:bookmarkStart w:id="37" w:name="figures"/>
    <w:p>
      <w:pPr>
        <w:pStyle w:val="Heading3"/>
      </w:pPr>
      <w:r>
        <w:t xml:space="preserve">8.5 Figures</w:t>
      </w:r>
    </w:p>
    <w:p>
      <w:pPr>
        <w:pStyle w:val="FirstParagraph"/>
      </w:pPr>
      <w:r>
        <w:rPr>
          <w:b/>
          <w:bCs/>
        </w:rPr>
        <w:t xml:space="preserve">F1. Pinball loss by quantile.</w:t>
      </w:r>
      <w:r>
        <w:br/>
      </w:r>
      <w:r>
        <w:t xml:space="preserve">F1</w:t>
      </w:r>
    </w:p>
    <w:p>
      <w:pPr>
        <w:pStyle w:val="BodyText"/>
      </w:pPr>
      <w:r>
        <w:rPr>
          <w:b/>
          <w:bCs/>
        </w:rPr>
        <w:t xml:space="preserve">F2. Reliability (empirical vs nominal coverage).</w:t>
      </w:r>
      <w:r>
        <w:br/>
      </w:r>
      <w:r>
        <w:t xml:space="preserve">F2</w:t>
      </w:r>
    </w:p>
    <w:p>
      <w:pPr>
        <w:pStyle w:val="BodyText"/>
      </w:pPr>
      <w:r>
        <w:rPr>
          <w:b/>
          <w:bCs/>
        </w:rPr>
        <w:t xml:space="preserve">F3. Mean interval width vs coverage.</w:t>
      </w:r>
      <w:r>
        <w:br/>
      </w:r>
      <w:r>
        <w:t xml:space="preserve">F3</w:t>
      </w:r>
    </w:p>
    <w:p>
      <w:pPr>
        <w:pStyle w:val="BodyText"/>
      </w:pPr>
      <w:r>
        <w:rPr>
          <w:b/>
          <w:bCs/>
        </w:rPr>
        <w:t xml:space="preserve">F4. Expected cost vs (</w:t>
      </w:r>
      <w:r>
        <w:rPr>
          <w:b/>
          <w:bCs/>
        </w:rPr>
        <w:t xml:space="preserve">).</w:t>
      </w:r>
      <w:r>
        <w:br/>
      </w:r>
      <w:r>
        <w:t xml:space="preserve">F4</w:t>
      </w:r>
    </w:p>
    <w:p>
      <w:pPr>
        <w:pStyle w:val="BodyText"/>
      </w:pPr>
      <w:r>
        <w:rPr>
          <w:b/>
          <w:bCs/>
        </w:rPr>
        <w:t xml:space="preserve">F5. LPR–APD frontier.</w:t>
      </w:r>
      <w:r>
        <w:br/>
      </w:r>
      <w:r>
        <w:t xml:space="preserve">F5</w:t>
      </w:r>
    </w:p>
    <w:p>
      <w:pPr>
        <w:pStyle w:val="BodyText"/>
      </w:pPr>
      <w:r>
        <w:rPr>
          <w:b/>
          <w:bCs/>
        </w:rPr>
        <w:t xml:space="preserve">F6a. Expected cost by segment (annotated with (</w:t>
      </w:r>
      <w:r>
        <w:rPr>
          <w:b/>
          <w:bCs/>
        </w:rPr>
        <w:t xml:space="preserve">)).</w:t>
      </w:r>
      <w:r>
        <w:br/>
      </w:r>
      <w:r>
        <w:t xml:space="preserve">F6a</w:t>
      </w:r>
    </w:p>
    <w:p>
      <w:pPr>
        <w:pStyle w:val="BodyText"/>
      </w:pPr>
      <w:r>
        <w:rPr>
          <w:b/>
          <w:bCs/>
        </w:rPr>
        <w:t xml:space="preserve">F7. Regional coverage.</w:t>
      </w:r>
      <w:r>
        <w:br/>
      </w:r>
      <w:r>
        <w:t xml:space="preserve">F7</w:t>
      </w:r>
    </w:p>
    <w:p>
      <w:pPr>
        <w:pStyle w:val="BodyText"/>
      </w:pPr>
      <w:r>
        <w:rPr>
          <w:b/>
          <w:bCs/>
        </w:rPr>
        <w:t xml:space="preserve">F8. Seller coverage distribution.</w:t>
      </w:r>
      <w:r>
        <w:br/>
      </w:r>
      <w:r>
        <w:t xml:space="preserve">F8</w:t>
      </w:r>
    </w:p>
    <w:p>
      <w:pPr>
        <w:pStyle w:val="BodyText"/>
      </w:pPr>
      <w:r>
        <w:rPr>
          <w:b/>
          <w:bCs/>
        </w:rPr>
        <w:t xml:space="preserve">F9. Feature contributions ((</w:t>
      </w:r>
      <w:r>
        <w:rPr>
          <w:b/>
          <w:bCs/>
        </w:rPr>
        <w:t xml:space="preserve">)).</w:t>
      </w:r>
      <w:r>
        <w:br/>
      </w:r>
      <w:r>
        <w:t xml:space="preserve">F9</w:t>
      </w:r>
    </w:p>
    <w:p>
      <w:pPr>
        <w:pStyle w:val="BodyText"/>
      </w:pPr>
      <w:r>
        <w:rPr>
          <w:b/>
          <w:bCs/>
        </w:rPr>
        <w:t xml:space="preserve">F10. Violation / slack vs corridor distance.</w:t>
      </w:r>
      <w:r>
        <w:br/>
      </w:r>
      <w:r>
        <w:t xml:space="preserve">F10</w:t>
      </w:r>
    </w:p>
    <w:p>
      <w:pPr>
        <w:pStyle w:val="BodyText"/>
      </w:pPr>
      <w:r>
        <w:rPr>
          <w:b/>
          <w:bCs/>
        </w:rPr>
        <w:t xml:space="preserve">F11. Empirical coverage over time.</w:t>
      </w:r>
      <w:r>
        <w:br/>
      </w:r>
      <w:r>
        <w:t xml:space="preserve">F11</w:t>
      </w:r>
    </w:p>
    <w:p>
      <w:pPr>
        <w:pStyle w:val="BodyText"/>
      </w:pPr>
      <w:r>
        <w:rPr>
          <w:b/>
          <w:bCs/>
        </w:rPr>
        <w:t xml:space="preserve">F12. Ablation tornado.</w:t>
      </w:r>
      <w:r>
        <w:br/>
      </w:r>
      <w:r>
        <w:t xml:space="preserve">F12</w:t>
      </w:r>
    </w:p>
    <w:p>
      <w:pPr>
        <w:pStyle w:val="BodyText"/>
      </w:pPr>
      <w:r>
        <w:rPr>
          <w:i/>
          <w:iCs/>
        </w:rPr>
        <w:t xml:space="preserve">Appendix:</w:t>
      </w:r>
      <w:r>
        <w:t xml:space="preserve"> </w:t>
      </w:r>
      <w:r>
        <w:rPr>
          <w:b/>
          <w:bCs/>
        </w:rPr>
        <w:t xml:space="preserve">F6b. Recommended‑(</w:t>
      </w:r>
      <w:r>
        <w:rPr>
          <w:b/>
          <w:bCs/>
        </w:rPr>
        <w:t xml:space="preserve">) frequency across segments</w:t>
      </w:r>
      <w:r>
        <w:t xml:space="preserve"> </w:t>
      </w:r>
      <w:r>
        <w:t xml:space="preserve">(confirms global optimum (</w:t>
      </w:r>
      <w:r>
        <w:t xml:space="preserve">)).</w:t>
      </w:r>
      <w:r>
        <w:br/>
      </w:r>
      <w:r>
        <w:t xml:space="preserve">F6b</w:t>
      </w:r>
    </w:p>
    <w:p>
      <w:r>
        <w:pict>
          <v:rect style="width:0;height:1.5pt" o:hralign="center" o:hrstd="t" o:hr="t"/>
        </w:pict>
      </w:r>
    </w:p>
    <w:bookmarkEnd w:id="37"/>
    <w:bookmarkEnd w:id="38"/>
    <w:bookmarkStart w:id="39" w:name="limitations-and-ethics"/>
    <w:p>
      <w:pPr>
        <w:pStyle w:val="Heading2"/>
      </w:pPr>
      <w:r>
        <w:t xml:space="preserve">9. Limitations and Ethics</w:t>
      </w:r>
    </w:p>
    <w:p>
      <w:pPr>
        <w:pStyle w:val="FirstParagraph"/>
      </w:pPr>
      <w:r>
        <w:t xml:space="preserve">Olist lacks courier‑level telemetry and shipment state sequences, constraining causal attribution. Offline simulation cannot capture behavioral responses to promises. Fairness metrics in sparse segments are noisy; reports should include sample sizes and, where possible, apply aggregation or hierarchical shrinkage. Deployed policies must avoid systematically disadvantaging remote regions or low‑volume sellers; when uncertainty is large, prefer transparent ranges to aggressive point dates.</w:t>
      </w:r>
    </w:p>
    <w:p>
      <w:r>
        <w:pict>
          <v:rect style="width:0;height:1.5pt" o:hralign="center" o:hrstd="t" o:hr="t"/>
        </w:pict>
      </w:r>
    </w:p>
    <w:bookmarkEnd w:id="39"/>
    <w:bookmarkStart w:id="40" w:name="reproducibility"/>
    <w:p>
      <w:pPr>
        <w:pStyle w:val="Heading2"/>
      </w:pPr>
      <w:r>
        <w:t xml:space="preserve">10. Reproducibility</w:t>
      </w:r>
    </w:p>
    <w:p>
      <w:pPr>
        <w:pStyle w:val="FirstParagraph"/>
      </w:pPr>
      <w:r>
        <w:t xml:space="preserve">The repository includes a locked environment, feature snapshot hashes, and YAML configs for every experiment. MLflow/W&amp;B logging records metrics and artifacts. Release artifacts include predictions, calibrated intervals, policy tables, and fairness reports.</w:t>
      </w:r>
    </w:p>
    <w:p>
      <w:r>
        <w:pict>
          <v:rect style="width:0;height:1.5pt" o:hralign="center" o:hrstd="t" o:hr="t"/>
        </w:pict>
      </w:r>
    </w:p>
    <w:bookmarkEnd w:id="40"/>
    <w:bookmarkStart w:id="41" w:name="conclusion"/>
    <w:p>
      <w:pPr>
        <w:pStyle w:val="Heading2"/>
      </w:pPr>
      <w:r>
        <w:t xml:space="preserve">11. Conclusion</w:t>
      </w:r>
    </w:p>
    <w:p>
      <w:pPr>
        <w:pStyle w:val="FirstParagraph"/>
      </w:pPr>
      <w:r>
        <w:t xml:space="preserve">Promise‑aware ETA reframes delivery promises as an optimization over calibrated predictive quantiles. With only purchase‑time signals and public data, the approach yields interpretable guarantees, cost‑efficient policies, and actionable fairness diagnostics. The methodology is reproducible, auditable, and readily extensible to richer event streams and alternative cost structures.</w:t>
      </w:r>
    </w:p>
    <w:p>
      <w:r>
        <w:pict>
          <v:rect style="width:0;height:1.5pt" o:hralign="center" o:hrstd="t" o:hr="t"/>
        </w:pict>
      </w:r>
    </w:p>
    <w:bookmarkEnd w:id="41"/>
    <w:bookmarkStart w:id="42" w:name="references-selected"/>
    <w:p>
      <w:pPr>
        <w:pStyle w:val="Heading2"/>
      </w:pPr>
      <w:r>
        <w:t xml:space="preserve">References (selected)</w:t>
      </w:r>
    </w:p>
    <w:p>
      <w:pPr>
        <w:pStyle w:val="FirstParagraph"/>
      </w:pPr>
      <w:r>
        <w:t xml:space="preserve">Koenker &amp; Bassett (1978); Vovk et al. (2005); Romano et al. (2019); Angelopoulos &amp; Bates (2023); Ke et al. (2017). See the thesis bibliography for complete citations.</w:t>
      </w:r>
    </w:p>
    <w:p>
      <w:r>
        <w:pict>
          <v:rect style="width:0;height:1.5pt" o:hralign="center" o:hrstd="t" o:hr="t"/>
        </w:pict>
      </w:r>
    </w:p>
    <w:bookmarkEnd w:id="42"/>
    <w:bookmarkStart w:id="43" w:name="appendix-a-offline-policy-simulator"/>
    <w:p>
      <w:pPr>
        <w:pStyle w:val="Heading2"/>
      </w:pPr>
      <w:r>
        <w:t xml:space="preserve">Appendix A — Offline Policy Simulator</w:t>
      </w:r>
    </w:p>
    <w:p>
      <w:pPr>
        <w:pStyle w:val="FirstParagraph"/>
      </w:pPr>
      <w:r>
        <w:t xml:space="preserve">Stage 1 (train baselines) → Stage 2 (calibrate) → Stage 3 (simulate promises) → Stage 4 (fairness audit). Exports: policy metrics, regional/seller fairness tables, and plots.</w:t>
      </w:r>
    </w:p>
    <w:bookmarkEnd w:id="43"/>
    <w:bookmarkStart w:id="44" w:name="appendix-b-sellerdispatch-features"/>
    <w:p>
      <w:pPr>
        <w:pStyle w:val="Heading2"/>
      </w:pPr>
      <w:r>
        <w:t xml:space="preserve">Appendix B — Seller‑Dispatch Features</w:t>
      </w:r>
    </w:p>
    <w:p>
      <w:pPr>
        <w:pStyle w:val="FirstParagraph"/>
      </w:pPr>
      <w:r>
        <w:t xml:space="preserve">Rolling aggregates over trailing 30/60/90 days: order counts; median/P90 dispatch lag; ship‑before‑limit share; recent‑vs‑baseline drift. Sparse histories back off to global medians.</w:t>
      </w:r>
    </w:p>
    <w:bookmarkEnd w:id="44"/>
    <w:bookmarkStart w:id="45" w:name="appendix-c-synthetic-baselines"/>
    <w:p>
      <w:pPr>
        <w:pStyle w:val="Heading2"/>
      </w:pPr>
      <w:r>
        <w:t xml:space="preserve">Appendix C — Synthetic Baselines</w:t>
      </w:r>
    </w:p>
    <w:p>
      <w:pPr>
        <w:pStyle w:val="FirstParagraph"/>
      </w:pPr>
      <w:r>
        <w:t xml:space="preserve">A 1,200‑order synthetic corpus (2017–2018 H1) supports controlled experiments for linear, HGB, and LightGBM quantile models. We report validation pinball loss (Q10/Q50/Q90) and qualitative observations (e.g., linear dominance on near‑linear signal).</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2025-11-01T08:02:12Z</dcterms:created>
  <dcterms:modified xsi:type="dcterms:W3CDTF">2025-11-01T08:02:12Z</dcterms:modified>
</cp:coreProperties>
</file>

<file path=docProps/custom.xml><?xml version="1.0" encoding="utf-8"?>
<Properties xmlns="http://schemas.openxmlformats.org/officeDocument/2006/custom-properties" xmlns:vt="http://schemas.openxmlformats.org/officeDocument/2006/docPropsVTypes"/>
</file>