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Lecture Notes: RAG Pipelines</w:t>
      </w:r>
    </w:p>
    <w:p>
      <w:r>
        <w:t>These notes accompany the lab on retrieval augmented generation.</w:t>
      </w:r>
    </w:p>
    <w:p>
      <w:pPr>
        <w:pStyle w:val="Heading2"/>
      </w:pPr>
      <w:r>
        <w:t>Pipeline stages</w:t>
      </w:r>
    </w:p>
    <w:p>
      <w:pPr>
        <w:pStyle w:val="Heading3"/>
      </w:pPr>
      <w:r>
        <w:t>1. Objective</w:t>
      </w:r>
    </w:p>
    <w:p>
      <w:r>
        <w:t>The objective of the experiment is to build a question answering system that can answer questions about a personal document collection without any prior fine-tuning of a language model.</w:t>
      </w:r>
    </w:p>
    <w:p>
      <w:pPr>
        <w:pStyle w:val="Heading3"/>
      </w:pPr>
      <w:r>
        <w:t>2. System Architecture</w:t>
      </w:r>
    </w:p>
    <w:p>
      <w:r>
        <w:t>The architecture has six stages. First the uploaded file is parsed into plain text. The text is then cleaned to remove repeated page headers, fix hyphenation and normalise whitespace.</w:t>
      </w:r>
    </w:p>
    <w:p>
      <w:pPr>
        <w:pStyle w:val="Heading3"/>
      </w:pPr>
      <w:r>
        <w:t>3. Embeddings</w:t>
      </w:r>
    </w:p>
    <w:p>
      <w:r>
        <w:t>The embedding model is sentence-transformers/all-MiniLM-L6-v2. It is a small bi-encoder that maps a chunk of text into a dense vector of 384 dimensions, and it is chosen because it is fast on CPU while still capturing semantic similarity well enough for passage retrieval.</w:t>
      </w:r>
    </w:p>
    <w:p>
      <w:pPr>
        <w:pStyle w:val="Heading3"/>
      </w:pPr>
      <w:r>
        <w:t>4. Chunking Strategy</w:t>
      </w:r>
    </w:p>
    <w:p>
      <w:r>
        <w:t>The chunking strategy uses 500 character chunks with an overlap of 100 characters. A chunk size of 500 characters keeps enough context for a meaningful passage while staying small enough that the embedding is not diluted by unrelated text.</w:t>
      </w:r>
    </w:p>
    <w:p>
      <w:pPr>
        <w:pStyle w:val="Heading2"/>
      </w:pPr>
      <w:r>
        <w:t>Configuration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Parameter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Chunk size</w:t>
            </w:r>
          </w:p>
        </w:tc>
        <w:tc>
          <w:tcPr>
            <w:tcW w:type="dxa" w:w="4320"/>
          </w:tcPr>
          <w:p>
            <w:r>
              <w:t>500 characters</w:t>
            </w:r>
          </w:p>
        </w:tc>
      </w:tr>
      <w:tr>
        <w:tc>
          <w:tcPr>
            <w:tcW w:type="dxa" w:w="4320"/>
          </w:tcPr>
          <w:p>
            <w:r>
              <w:t>Chunk overlap</w:t>
            </w:r>
          </w:p>
        </w:tc>
        <w:tc>
          <w:tcPr>
            <w:tcW w:type="dxa" w:w="4320"/>
          </w:tcPr>
          <w:p>
            <w:r>
              <w:t>100 characters</w:t>
            </w:r>
          </w:p>
        </w:tc>
      </w:tr>
      <w:tr>
        <w:tc>
          <w:tcPr>
            <w:tcW w:type="dxa" w:w="4320"/>
          </w:tcPr>
          <w:p>
            <w:r>
              <w:t>Embedding model</w:t>
            </w:r>
          </w:p>
        </w:tc>
        <w:tc>
          <w:tcPr>
            <w:tcW w:type="dxa" w:w="4320"/>
          </w:tcPr>
          <w:p>
            <w:r>
              <w:t>sentence-transformers/all-MiniLM-L6-v2</w:t>
            </w:r>
          </w:p>
        </w:tc>
      </w:tr>
      <w:tr>
        <w:tc>
          <w:tcPr>
            <w:tcW w:type="dxa" w:w="4320"/>
          </w:tcPr>
          <w:p>
            <w:r>
              <w:t>Embedding dimension</w:t>
            </w:r>
          </w:p>
        </w:tc>
        <w:tc>
          <w:tcPr>
            <w:tcW w:type="dxa" w:w="4320"/>
          </w:tcPr>
          <w:p>
            <w:r>
              <w:t>384</w:t>
            </w:r>
          </w:p>
        </w:tc>
      </w:tr>
      <w:tr>
        <w:tc>
          <w:tcPr>
            <w:tcW w:type="dxa" w:w="4320"/>
          </w:tcPr>
          <w:p>
            <w:r>
              <w:t>Vector database</w:t>
            </w:r>
          </w:p>
        </w:tc>
        <w:tc>
          <w:tcPr>
            <w:tcW w:type="dxa" w:w="4320"/>
          </w:tcPr>
          <w:p>
            <w:r>
              <w:t>ChromaDB (cosine)</w:t>
            </w:r>
          </w:p>
        </w:tc>
      </w:tr>
      <w:tr>
        <w:tc>
          <w:tcPr>
            <w:tcW w:type="dxa" w:w="4320"/>
          </w:tcPr>
          <w:p>
            <w:r>
              <w:t>Top-K retrieved chunks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</w:tbl>
    <w:p>
      <w:r>
        <w:t>The advantage of a 100 character overlap is that a fact on a chunk boundary still appears whole inside at least one chunk.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