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F35"/>
          <w:sz w:val="64"/>
        </w:rPr>
        <w:t>WASTE2WATT</w:t>
      </w:r>
    </w:p>
    <w:p>
      <w:pPr>
        <w:jc w:val="center"/>
      </w:pPr>
      <w:r>
        <w:rPr>
          <w:color w:val="547A56"/>
          <w:sz w:val="32"/>
        </w:rPr>
        <w:t>Waste-to-Energy Intelligence Platform</w:t>
      </w:r>
    </w:p>
    <w:p>
      <w:pPr>
        <w:jc w:val="center"/>
      </w:pPr>
      <w:r>
        <w:rPr>
          <w:b/>
        </w:rPr>
        <w:t>TEAM NULLVERSE  |  PROJECT CONCEPT &amp; TECHNICAL BLUEPRINT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F35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FROM FOOD WASTE TO ACTIONABLE ENERGY INTELLIGENCE</w:t>
            </w:r>
          </w:p>
        </w:tc>
      </w:tr>
    </w:tbl>
    <w:p/>
    <w:p>
      <w:pPr>
        <w:jc w:val="center"/>
      </w:pPr>
      <w:r>
        <w:rPr>
          <w:i/>
        </w:rPr>
        <w:t>A decision-support product for colleges, hostels, canteens and institutions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Waste2Watt is an AWS-powered waste-to-energy intelligence platform that helps institutions understand their organic-waste streams, evaluate responsible processing pathways, estimate the energy potentially recoverable through anaerobic digestion, and assess indicative economics. Its differentiator is an explainable decision workflow: structured waste data, deterministic engineering calculations, AI-assisted interpretation, scenario comparison and evidence-aware recommendations.</w:t>
      </w:r>
    </w:p>
    <w:p>
      <w:r>
        <w:t>The product is not a simple energy calculator and not a chatbot. It is a decision-support system that explains what might be viable, why, what assumptions drive the result, what is still unknown, and what should be measured or verified next.</w:t>
      </w:r>
    </w:p>
    <w:p>
      <w:pPr>
        <w:pStyle w:val="Heading1"/>
      </w:pPr>
      <w:r>
        <w:t>2. Problem Statement</w:t>
      </w:r>
    </w:p>
    <w:p>
      <w:r>
        <w:t>Institutional kitchens, hostels and canteens generate biodegradable waste but may lack a joined-up view of waste quantities, composition, treatment options, potential energy recovery, cost implications and data quality. A dashboard can display quantities; Waste2Watt should help users decide what to do differently.</w:t>
      </w:r>
    </w:p>
    <w:p>
      <w:pPr>
        <w:pStyle w:val="ListBullet"/>
      </w:pPr>
      <w:r>
        <w:t>Waste records are often scattered or not analysed over time.</w:t>
      </w:r>
    </w:p>
    <w:p>
      <w:pPr>
        <w:pStyle w:val="ListBullet"/>
      </w:pPr>
      <w:r>
        <w:t>Energy estimates can be misleading when feedstock quality, conversion losses and missing assumptions are hidden.</w:t>
      </w:r>
    </w:p>
    <w:p>
      <w:pPr>
        <w:pStyle w:val="ListBullet"/>
      </w:pPr>
      <w:r>
        <w:t>Institutions may compare options without a transparent cost model or an explicit account of uncertainty.</w:t>
      </w:r>
    </w:p>
    <w:p>
      <w:pPr>
        <w:pStyle w:val="ListBullet"/>
      </w:pPr>
      <w:r>
        <w:t>A recommendation is hard to trust if the system cannot explain its evidence and limitations.</w:t>
      </w:r>
    </w:p>
    <w:p>
      <w:pPr>
        <w:pStyle w:val="Heading1"/>
      </w:pPr>
      <w:r>
        <w:t>3. Vision and Product Positioning</w:t>
      </w:r>
    </w:p>
    <w:p>
      <w:r>
        <w:t>Vision: make institutional organic-waste decisions measurable, explainable and economically assessable.</w:t>
      </w:r>
    </w:p>
    <w:p>
      <w:r>
        <w:t>Product promise: Understand your organic waste, compare responsible treatment options, and evaluate energy recovery before investing in infrastructure.</w:t>
      </w:r>
    </w:p>
    <w:p>
      <w:pPr>
        <w:pStyle w:val="Heading2"/>
      </w:pPr>
      <w:r>
        <w:t>Primary users</w:t>
      </w:r>
    </w:p>
    <w:p>
      <w:pPr>
        <w:pStyle w:val="ListBullet"/>
      </w:pPr>
      <w:r>
        <w:t>Campus sustainability/facilities managers</w:t>
      </w:r>
    </w:p>
    <w:p>
      <w:pPr>
        <w:pStyle w:val="ListBullet"/>
      </w:pPr>
      <w:r>
        <w:t>Hostel and canteen operators</w:t>
      </w:r>
    </w:p>
    <w:p>
      <w:pPr>
        <w:pStyle w:val="ListBullet"/>
      </w:pPr>
      <w:r>
        <w:t>Institutional administrators</w:t>
      </w:r>
    </w:p>
    <w:p>
      <w:pPr>
        <w:pStyle w:val="ListBullet"/>
      </w:pPr>
      <w:r>
        <w:t>Sustainability teams preparing internal reports</w:t>
      </w:r>
    </w:p>
    <w:p>
      <w:pPr>
        <w:pStyle w:val="Heading1"/>
      </w:pPr>
      <w:r>
        <w:t>4. Core Product Workflow</w:t>
      </w:r>
    </w:p>
    <w:p>
      <w:pPr>
        <w:pStyle w:val="ListNumber"/>
      </w:pPr>
      <w:r>
        <w:t>Create/select an institution or site.</w:t>
      </w:r>
    </w:p>
    <w:p>
      <w:pPr>
        <w:pStyle w:val="ListNumber"/>
      </w:pPr>
      <w:r>
        <w:t>Record waste date, source, category, mass, contamination estimate and provenance.</w:t>
      </w:r>
    </w:p>
    <w:p>
      <w:pPr>
        <w:pStyle w:val="ListNumber"/>
      </w:pPr>
      <w:r>
        <w:t>Review trends and the quality/completeness of the waste profile.</w:t>
      </w:r>
    </w:p>
    <w:p>
      <w:pPr>
        <w:pStyle w:val="ListNumber"/>
      </w:pPr>
      <w:r>
        <w:t>Run an analysis that evaluates suitable pathways and available evidence.</w:t>
      </w:r>
    </w:p>
    <w:p>
      <w:pPr>
        <w:pStyle w:val="ListNumber"/>
      </w:pPr>
      <w:r>
        <w:t>Inspect the anaerobic-digestion scenario, energy estimates, factors and uncertainty.</w:t>
      </w:r>
    </w:p>
    <w:p>
      <w:pPr>
        <w:pStyle w:val="ListNumber"/>
      </w:pPr>
      <w:r>
        <w:t>Compare indicative costs, operating expenses, energy value and simple payback.</w:t>
      </w:r>
    </w:p>
    <w:p>
      <w:pPr>
        <w:pStyle w:val="ListNumber"/>
      </w:pPr>
      <w:r>
        <w:t>Export a report that clearly separates measured data, assumptions, estimates and unknowns.</w:t>
      </w:r>
    </w:p>
    <w:p>
      <w:pPr>
        <w:pStyle w:val="Heading1"/>
      </w:pPr>
      <w:r>
        <w:t>5. Feature Set</w:t>
      </w:r>
    </w:p>
    <w:p>
      <w:pPr>
        <w:pStyle w:val="Heading2"/>
      </w:pPr>
      <w:r>
        <w:t>Waste Intelligence Engine</w:t>
      </w:r>
    </w:p>
    <w:p>
      <w:r>
        <w:t>Track waste by source, category, mass and date; show trends, data-quality flags and unusual changes.</w:t>
      </w:r>
    </w:p>
    <w:p>
      <w:pPr>
        <w:pStyle w:val="Heading2"/>
      </w:pPr>
      <w:r>
        <w:t>Explainable Pathway Recommender</w:t>
      </w:r>
    </w:p>
    <w:p>
      <w:r>
        <w:t>Compare prevention, safe surplus-food redistribution review, composting and anaerobic digestion where appropriate. Explain suitability, constraints, evidence and missing inputs.</w:t>
      </w:r>
    </w:p>
    <w:p>
      <w:pPr>
        <w:pStyle w:val="Heading2"/>
      </w:pPr>
      <w:r>
        <w:t>Biogas &amp; Energy Potential</w:t>
      </w:r>
    </w:p>
    <w:p>
      <w:r>
        <w:t>Estimate potential biogas, methane and usable electricity/heat using configured factors and deterministic calculations.</w:t>
      </w:r>
    </w:p>
    <w:p>
      <w:pPr>
        <w:pStyle w:val="Heading2"/>
      </w:pPr>
      <w:r>
        <w:t>Feasibility &amp; ROI Simulator</w:t>
      </w:r>
    </w:p>
    <w:p>
      <w:r>
        <w:t>Let users change tariff, capex and opex assumptions; show indicative savings, break-even conditions and payback only when mathematically valid.</w:t>
      </w:r>
    </w:p>
    <w:p>
      <w:pPr>
        <w:pStyle w:val="Heading2"/>
      </w:pPr>
      <w:r>
        <w:t>Reality Check &amp; Impact Tracker</w:t>
      </w:r>
    </w:p>
    <w:p>
      <w:r>
        <w:t>Separate estimated output from measured output. Compare forecasts with actual plant readings only when real data is supplied.</w:t>
      </w:r>
    </w:p>
    <w:p>
      <w:pPr>
        <w:pStyle w:val="Heading2"/>
      </w:pPr>
      <w:r>
        <w:t>Evidence-Aware Reporting</w:t>
      </w:r>
    </w:p>
    <w:p>
      <w:r>
        <w:t>Export assumptions, source references, scenario comparison, uncertainty and next steps.</w:t>
      </w:r>
    </w:p>
    <w:p>
      <w:pPr>
        <w:pStyle w:val="Heading1"/>
      </w:pPr>
      <w:r>
        <w:t>6. High-Capability AI Design</w:t>
      </w:r>
    </w:p>
    <w:p>
      <w:r>
        <w:t>AI is a core intelligence layer, but the UI should remain visually quiet. Use Amazon Bedrock server-side and, if feasible, the Strands Agents SDK to orchestrate narrow tools. AI should interpret messy inputs, call tools, compare scenarios and explain evidence; deterministic functions remain the source of truth for numerical results.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CE8DF"/>
          </w:tcPr>
          <w:p>
            <w:r>
              <w:t>AI capability</w:t>
            </w:r>
          </w:p>
        </w:tc>
        <w:tc>
          <w:tcPr>
            <w:tcW w:type="dxa" w:w="4997"/>
            <w:shd w:fill="DCE8DF"/>
          </w:tcPr>
          <w:p>
            <w:r>
              <w:t>Expected behaviour</w:t>
            </w:r>
          </w:p>
        </w:tc>
      </w:tr>
      <w:tr>
        <w:tc>
          <w:tcPr>
            <w:tcW w:type="dxa" w:w="4997"/>
          </w:tcPr>
          <w:p>
            <w:r>
              <w:t>Input understanding</w:t>
            </w:r>
          </w:p>
        </w:tc>
        <w:tc>
          <w:tcPr>
            <w:tcW w:type="dxa" w:w="4997"/>
          </w:tcPr>
          <w:p>
            <w:r>
              <w:t>Interpret user notes and optionally suggest waste categories from images; require user confirmation. Never infer exact mass or energy from a photo.</w:t>
            </w:r>
          </w:p>
        </w:tc>
      </w:tr>
      <w:tr>
        <w:tc>
          <w:tcPr>
            <w:tcW w:type="dxa" w:w="4997"/>
          </w:tcPr>
          <w:p>
            <w:r>
              <w:t>Tool-using orchestration</w:t>
            </w:r>
          </w:p>
        </w:tc>
        <w:tc>
          <w:tcPr>
            <w:tcW w:type="dxa" w:w="4997"/>
          </w:tcPr>
          <w:p>
            <w:r>
              <w:t>Call typed tools for waste-profile summaries, pathway rules, yield calculations, feasibility, sensitivity analysis and approved evidence retrieval.</w:t>
            </w:r>
          </w:p>
        </w:tc>
      </w:tr>
      <w:tr>
        <w:tc>
          <w:tcPr>
            <w:tcW w:type="dxa" w:w="4997"/>
          </w:tcPr>
          <w:p>
            <w:r>
              <w:t>Grounded synthesis</w:t>
            </w:r>
          </w:p>
        </w:tc>
        <w:tc>
          <w:tcPr>
            <w:tcW w:type="dxa" w:w="4997"/>
          </w:tcPr>
          <w:p>
            <w:r>
              <w:t>Return structured results with pathway candidates, reasons, constraints, evidence IDs, missing data and uncertainty notes.</w:t>
            </w:r>
          </w:p>
        </w:tc>
      </w:tr>
      <w:tr>
        <w:tc>
          <w:tcPr>
            <w:tcW w:type="dxa" w:w="4997"/>
          </w:tcPr>
          <w:p>
            <w:r>
              <w:t>Scenario intelligence</w:t>
            </w:r>
          </w:p>
        </w:tc>
        <w:tc>
          <w:tcPr>
            <w:tcW w:type="dxa" w:w="4997"/>
          </w:tcPr>
          <w:p>
            <w:r>
              <w:t>Explain how results change when assumptions change and identify which unknowns most affect the decision.</w:t>
            </w:r>
          </w:p>
        </w:tc>
      </w:tr>
      <w:tr>
        <w:tc>
          <w:tcPr>
            <w:tcW w:type="dxa" w:w="4997"/>
          </w:tcPr>
          <w:p>
            <w:r>
              <w:t>Knowledge retrieval</w:t>
            </w:r>
          </w:p>
        </w:tc>
        <w:tc>
          <w:tcPr>
            <w:tcW w:type="dxa" w:w="4997"/>
          </w:tcPr>
          <w:p>
            <w:r>
              <w:t>Retrieve only curated, approved technical sources/factors. Cite a source only if it was actually retrieved or configured.</w:t>
            </w:r>
          </w:p>
        </w:tc>
      </w:tr>
      <w:tr>
        <w:tc>
          <w:tcPr>
            <w:tcW w:type="dxa" w:w="4997"/>
          </w:tcPr>
          <w:p>
            <w:r>
              <w:t>Forecasting (stretch)</w:t>
            </w:r>
          </w:p>
        </w:tc>
        <w:tc>
          <w:tcPr>
            <w:tcW w:type="dxa" w:w="4997"/>
          </w:tcPr>
          <w:p>
            <w:r>
              <w:t>Forecast waste trends only after sufficient dated history exists; compare against a simple baseline and disclose limitations.</w:t>
            </w:r>
          </w:p>
        </w:tc>
      </w:tr>
      <w:tr>
        <w:tc>
          <w:tcPr>
            <w:tcW w:type="dxa" w:w="4997"/>
          </w:tcPr>
          <w:p>
            <w:r>
              <w:t>Graceful fallback</w:t>
            </w:r>
          </w:p>
        </w:tc>
        <w:tc>
          <w:tcPr>
            <w:tcW w:type="dxa" w:w="4997"/>
          </w:tcPr>
          <w:p>
            <w:r>
              <w:t>If Bedrock is unavailable or output fails schema validation, show deterministic calculations and a templated explanation.</w:t>
            </w:r>
          </w:p>
        </w:tc>
      </w:tr>
    </w:tbl>
    <w:p>
      <w:pPr>
        <w:pStyle w:val="Heading2"/>
      </w:pPr>
      <w:r>
        <w:t>AI guardrails</w:t>
      </w:r>
    </w:p>
    <w:p>
      <w:pPr>
        <w:pStyle w:val="ListBullet"/>
      </w:pPr>
      <w:r>
        <w:t>LLMs must not invent yield factors, energy values, tariffs, costs, emission factors or citations.</w:t>
      </w:r>
    </w:p>
    <w:p>
      <w:pPr>
        <w:pStyle w:val="ListBullet"/>
      </w:pPr>
      <w:r>
        <w:t>Every numeric result must come from tested, deterministic domain functions and include units and factor IDs.</w:t>
      </w:r>
    </w:p>
    <w:p>
      <w:pPr>
        <w:pStyle w:val="ListBullet"/>
      </w:pPr>
      <w:r>
        <w:t>Validate structured model output against a schema and cross-check numeric values against tool outputs.</w:t>
      </w:r>
    </w:p>
    <w:p>
      <w:pPr>
        <w:pStyle w:val="ListBullet"/>
      </w:pPr>
      <w:r>
        <w:t>Treat user uploads and retrieved text as untrusted; never execute instructions embedded in documents.</w:t>
      </w:r>
    </w:p>
    <w:p>
      <w:pPr>
        <w:pStyle w:val="ListBullet"/>
      </w:pPr>
      <w:r>
        <w:t>Keep model calls, secrets and protected operations on the backend.</w:t>
      </w:r>
    </w:p>
    <w:p>
      <w:pPr>
        <w:pStyle w:val="ListBullet"/>
      </w:pPr>
      <w:r>
        <w:t>Label AI classifications as suggestions and require human review for real-world decisions.</w:t>
      </w:r>
    </w:p>
    <w:p>
      <w:pPr>
        <w:pStyle w:val="Heading1"/>
      </w:pPr>
      <w:r>
        <w:t>7. Technical Architecture on AWS</w:t>
      </w:r>
    </w:p>
    <w:p>
      <w:r>
        <w:t>Recommended MVP architecture:</w:t>
      </w:r>
    </w:p>
    <w:p>
      <w:pPr>
        <w:pStyle w:val="ListBullet"/>
      </w:pPr>
      <w:r>
        <w:t>React + TypeScript frontend hosted on AWS Amplify.</w:t>
      </w:r>
    </w:p>
    <w:p>
      <w:pPr>
        <w:pStyle w:val="ListBullet"/>
      </w:pPr>
      <w:r>
        <w:t>Amazon API Gateway as the API entry point.</w:t>
      </w:r>
    </w:p>
    <w:p>
      <w:pPr>
        <w:pStyle w:val="ListBullet"/>
      </w:pPr>
      <w:r>
        <w:t>AWS Lambda for input validation, domain logic, orchestration and API handlers.</w:t>
      </w:r>
    </w:p>
    <w:p>
      <w:pPr>
        <w:pStyle w:val="ListBullet"/>
      </w:pPr>
      <w:r>
        <w:t>Amazon DynamoDB for waste records, analysis snapshots and configured factors.</w:t>
      </w:r>
    </w:p>
    <w:p>
      <w:pPr>
        <w:pStyle w:val="ListBullet"/>
      </w:pPr>
      <w:r>
        <w:t>Amazon S3 for uploads and reports only when needed.</w:t>
      </w:r>
    </w:p>
    <w:p>
      <w:pPr>
        <w:pStyle w:val="ListBullet"/>
      </w:pPr>
      <w:r>
        <w:t>Amazon Bedrock for server-side AI; Strands Agents SDK if compatible with the selected runtime/model and schedule.</w:t>
      </w:r>
    </w:p>
    <w:p>
      <w:pPr>
        <w:pStyle w:val="ListBullet"/>
      </w:pPr>
      <w:r>
        <w:t>Amazon CloudWatch for logs, errors and operational visibility.</w:t>
      </w:r>
    </w:p>
    <w:p>
      <w:r>
        <w:t>Keep the architecture minimal and real. Verify model availability, IAM permissions and costs in the chosen AWS region before deployment. Do not provision paid resources without explicit approval. A local mock is useful for development but must never be represented as a real AWS integration.</w:t>
      </w:r>
    </w:p>
    <w:p>
      <w:pPr>
        <w:pStyle w:val="Heading1"/>
      </w:pPr>
      <w:r>
        <w:t>8. Core Data and Calculation Principles</w:t>
      </w:r>
    </w:p>
    <w:p>
      <w:r>
        <w:t>Every value should carry provenance: measured, user-provided, assumed, estimated, simulated or unknown.</w:t>
      </w:r>
    </w:p>
    <w:p>
      <w:pPr>
        <w:pStyle w:val="Heading2"/>
      </w:pPr>
      <w:r>
        <w:t>Simplified calculation structure</w:t>
      </w:r>
    </w:p>
    <w:p>
      <w:r>
        <w:t>Biogas potential = suitable waste mass × configured feedstock-specific biogas yield.</w:t>
      </w:r>
    </w:p>
    <w:p>
      <w:r>
        <w:t>Electricity potential = biogas volume × methane fraction × methane energy content × electrical conversion efficiency.</w:t>
      </w:r>
    </w:p>
    <w:p>
      <w:r>
        <w:t>These are model structures, not universal constants. Use consistent units and credible, documented factors. Include losses where relevant. If a required factor is missing, show insufficient data rather than generating a confident-looking number.</w:t>
      </w:r>
    </w:p>
    <w:p>
      <w:pPr>
        <w:pStyle w:val="Heading2"/>
      </w:pPr>
      <w:r>
        <w:t>Feasibility metrics</w:t>
      </w:r>
    </w:p>
    <w:p>
      <w:pPr>
        <w:pStyle w:val="ListBullet"/>
      </w:pPr>
      <w:r>
        <w:t>Daily energy value = usable energy × applicable electricity tariff.</w:t>
      </w:r>
    </w:p>
    <w:p>
      <w:pPr>
        <w:pStyle w:val="ListBullet"/>
      </w:pPr>
      <w:r>
        <w:t>Annual net benefit = annual verified/modelled benefits − annual operating costs.</w:t>
      </w:r>
    </w:p>
    <w:p>
      <w:pPr>
        <w:pStyle w:val="ListBullet"/>
      </w:pPr>
      <w:r>
        <w:t>Simple payback = initial investment ÷ positive annual net benefit.</w:t>
      </w:r>
    </w:p>
    <w:p>
      <w:pPr>
        <w:pStyle w:val="ListBullet"/>
      </w:pPr>
      <w:r>
        <w:t>If annual net benefit is zero or negative, do not show a positive payback period.</w:t>
      </w:r>
    </w:p>
    <w:p>
      <w:pPr>
        <w:pStyle w:val="ListBullet"/>
      </w:pPr>
      <w:r>
        <w:t>Break-even results must disclose which assumptions were included.</w:t>
      </w:r>
    </w:p>
    <w:p>
      <w:pPr>
        <w:pStyle w:val="Heading1"/>
      </w:pPr>
      <w:r>
        <w:t>9. UX and Visual Identity</w:t>
      </w:r>
    </w:p>
    <w:p>
      <w:r>
        <w:t>The frontend should feel like a premium sustainability and infrastructure-operations product: editorial, calm, trustworthy and data-led. AI should be powerful behind the scenes but visually quiet.</w:t>
      </w:r>
    </w:p>
    <w:p>
      <w:pPr>
        <w:pStyle w:val="Heading2"/>
      </w:pPr>
      <w:r>
        <w:t>Theme</w:t>
      </w:r>
    </w:p>
    <w:p>
      <w:pPr>
        <w:pStyle w:val="ListBullet"/>
      </w:pPr>
      <w:r>
        <w:t>Forest green #173F35 and deep pine #102D27 for brand and headings.</w:t>
      </w:r>
    </w:p>
    <w:p>
      <w:pPr>
        <w:pStyle w:val="ListBullet"/>
      </w:pPr>
      <w:r>
        <w:t>Warm paper #F6F3EA backgrounds, white data surfaces and restrained amber #D99A35 for attention states.</w:t>
      </w:r>
    </w:p>
    <w:p>
      <w:pPr>
        <w:pStyle w:val="ListBullet"/>
      </w:pPr>
      <w:r>
        <w:t>Legible sans-serif typography, generous whitespace, thin borders and restrained rounded corners.</w:t>
      </w:r>
    </w:p>
    <w:p>
      <w:pPr>
        <w:pStyle w:val="ListBullet"/>
      </w:pPr>
      <w:r>
        <w:t>Clear charts, scenario comparison, assumptions and evidence labels.</w:t>
      </w:r>
    </w:p>
    <w:p>
      <w:pPr>
        <w:pStyle w:val="ListBullet"/>
      </w:pPr>
      <w:r>
        <w:t>Avoid purple/cyan neon gradients, glowing orbs, robots, excessive sparkles, sci-fi glassmorphism and a chatbot-first homepage.</w:t>
      </w:r>
    </w:p>
    <w:p>
      <w:pPr>
        <w:pStyle w:val="Heading2"/>
      </w:pPr>
      <w:r>
        <w:t>Primary pages</w:t>
      </w:r>
    </w:p>
    <w:p>
      <w:pPr>
        <w:pStyle w:val="ListBullet"/>
      </w:pPr>
      <w:r>
        <w:t>Overview: key waste metrics, trend chart, data quality and recent records.</w:t>
      </w:r>
    </w:p>
    <w:p>
      <w:pPr>
        <w:pStyle w:val="ListBullet"/>
      </w:pPr>
      <w:r>
        <w:t>Waste Log: accessible form and historical records.</w:t>
      </w:r>
    </w:p>
    <w:p>
      <w:pPr>
        <w:pStyle w:val="ListBullet"/>
      </w:pPr>
      <w:r>
        <w:t>Analysis: pathway recommendations, reasons, evidence and missing data.</w:t>
      </w:r>
    </w:p>
    <w:p>
      <w:pPr>
        <w:pStyle w:val="ListBullet"/>
      </w:pPr>
      <w:r>
        <w:t>Scenario Studio: energy assumptions, economics and sensitivity.</w:t>
      </w:r>
    </w:p>
    <w:p>
      <w:pPr>
        <w:pStyle w:val="ListBullet"/>
      </w:pPr>
      <w:r>
        <w:t>Reports/Settings: export, factor configuration and provenance.</w:t>
      </w:r>
    </w:p>
    <w:p>
      <w:pPr>
        <w:pStyle w:val="Heading1"/>
      </w:pPr>
      <w:r>
        <w:t>10. Repository Rules for Antigravity</w:t>
      </w:r>
    </w:p>
    <w:p>
      <w:r>
        <w:t>The companion starter bundle contains AGENTS.md, architecture and AI specifications, design tokens, a phased implementation plan, data dictionary, assumptions register and a copy-ready Antigravity prompt. These files should be placed in the repository root before coding.</w:t>
      </w:r>
    </w:p>
    <w:p>
      <w:pPr>
        <w:pStyle w:val="ListBullet"/>
      </w:pPr>
      <w:r>
        <w:t>Inspect existing files before changing anything; preserve working code.</w:t>
      </w:r>
    </w:p>
    <w:p>
      <w:pPr>
        <w:pStyle w:val="ListBullet"/>
      </w:pPr>
      <w:r>
        <w:t>Return a repository assessment and plan first; do not code until the user approves.</w:t>
      </w:r>
    </w:p>
    <w:p>
      <w:pPr>
        <w:pStyle w:val="ListBullet"/>
      </w:pPr>
      <w:r>
        <w:t>Implement one milestone at a time and run tests/type-check/build after each.</w:t>
      </w:r>
    </w:p>
    <w:p>
      <w:pPr>
        <w:pStyle w:val="ListBullet"/>
      </w:pPr>
      <w:r>
        <w:t>Never claim commands or cloud deployments succeeded unless verified.</w:t>
      </w:r>
    </w:p>
    <w:p>
      <w:pPr>
        <w:pStyle w:val="ListBullet"/>
      </w:pPr>
      <w:r>
        <w:t>Use TypeScript strict mode and test calculations, invalid inputs, missing factors and AI fallbacks.</w:t>
      </w:r>
    </w:p>
    <w:p>
      <w:pPr>
        <w:pStyle w:val="ListBullet"/>
      </w:pPr>
      <w:r>
        <w:t>Do not create billable AWS resources or deploy without explicit approval.</w:t>
      </w:r>
    </w:p>
    <w:p>
      <w:pPr>
        <w:pStyle w:val="ListBullet"/>
      </w:pPr>
      <w:r>
        <w:t>No dead buttons, fake integrations, unlabelled demo data or unsupported environmental claims.</w:t>
      </w:r>
    </w:p>
    <w:p>
      <w:pPr>
        <w:pStyle w:val="Heading1"/>
      </w:pPr>
      <w:r>
        <w:t>11. MVP Scope and Build Order</w:t>
      </w:r>
    </w:p>
    <w:p>
      <w:pPr>
        <w:pStyle w:val="ListNumber"/>
      </w:pPr>
      <w:r>
        <w:t>Milestone 0: inspect repository and agree plan.</w:t>
      </w:r>
    </w:p>
    <w:p>
      <w:pPr>
        <w:pStyle w:val="ListNumber"/>
      </w:pPr>
      <w:r>
        <w:t>Milestone 1: responsive product shell and visual system.</w:t>
      </w:r>
    </w:p>
    <w:p>
      <w:pPr>
        <w:pStyle w:val="ListNumber"/>
      </w:pPr>
      <w:r>
        <w:t>Milestone 2: typed domain model and deterministic calculation engine with tests.</w:t>
      </w:r>
    </w:p>
    <w:p>
      <w:pPr>
        <w:pStyle w:val="ListNumber"/>
      </w:pPr>
      <w:r>
        <w:t>Milestone 3: API and persistence.</w:t>
      </w:r>
    </w:p>
    <w:p>
      <w:pPr>
        <w:pStyle w:val="ListNumber"/>
      </w:pPr>
      <w:r>
        <w:t>Milestone 4: Bedrock/agent orchestration, schemas, evidence and fallback.</w:t>
      </w:r>
    </w:p>
    <w:p>
      <w:pPr>
        <w:pStyle w:val="ListNumber"/>
      </w:pPr>
      <w:r>
        <w:t>Milestone 5: scenario economics and reporting.</w:t>
      </w:r>
    </w:p>
    <w:p>
      <w:pPr>
        <w:pStyle w:val="ListNumber"/>
      </w:pPr>
      <w:r>
        <w:t>Milestone 6: AWS deployment, IAM review and CloudWatch verification.</w:t>
      </w:r>
    </w:p>
    <w:p>
      <w:pPr>
        <w:pStyle w:val="ListNumber"/>
      </w:pPr>
      <w:r>
        <w:t>Milestone 7: three-minute demo, public repository and honest write-up.</w:t>
      </w:r>
    </w:p>
    <w:p>
      <w:r>
        <w:t>Priority rule: one complete vertical slice beats many unfinished advanced features.</w:t>
      </w:r>
    </w:p>
    <w:p>
      <w:pPr>
        <w:pStyle w:val="Heading1"/>
      </w:pPr>
      <w:r>
        <w:t>12. Demo Narrative</w:t>
      </w:r>
    </w:p>
    <w:p>
      <w:pPr>
        <w:pStyle w:val="ListNumber"/>
      </w:pPr>
      <w:r>
        <w:t>Show a clearly labelled campus canteen waste record.</w:t>
      </w:r>
    </w:p>
    <w:p>
      <w:pPr>
        <w:pStyle w:val="ListNumber"/>
      </w:pPr>
      <w:r>
        <w:t>Run analysis and show a pathway shortlist with reasons and missing inputs.</w:t>
      </w:r>
    </w:p>
    <w:p>
      <w:pPr>
        <w:pStyle w:val="ListNumber"/>
      </w:pPr>
      <w:r>
        <w:t>Open the anaerobic-digestion scenario and explain the assumptions behind energy potential.</w:t>
      </w:r>
    </w:p>
    <w:p>
      <w:pPr>
        <w:pStyle w:val="ListNumber"/>
      </w:pPr>
      <w:r>
        <w:t>Change a cost or energy assumption and show how the scenario changes.</w:t>
      </w:r>
    </w:p>
    <w:p>
      <w:pPr>
        <w:pStyle w:val="ListNumber"/>
      </w:pPr>
      <w:r>
        <w:t>Show the actual AWS request path and logs; do not simulate evidence of cloud deployment.</w:t>
      </w:r>
    </w:p>
    <w:p>
      <w:pPr>
        <w:pStyle w:val="ListNumber"/>
      </w:pPr>
      <w:r>
        <w:t>Close by explaining that Waste2Watt supports evidence-based decisions and does not guarantee energy production.</w:t>
      </w:r>
    </w:p>
    <w:p>
      <w:pPr>
        <w:pStyle w:val="Heading1"/>
      </w:pPr>
      <w:r>
        <w:t>13. Risks and Mitigations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CE8DF"/>
          </w:tcPr>
          <w:p>
            <w:r>
              <w:t>Risk</w:t>
            </w:r>
          </w:p>
        </w:tc>
        <w:tc>
          <w:tcPr>
            <w:tcW w:type="dxa" w:w="4997"/>
            <w:shd w:fill="DCE8DF"/>
          </w:tcPr>
          <w:p>
            <w:r>
              <w:t>Mitigation</w:t>
            </w:r>
          </w:p>
        </w:tc>
      </w:tr>
      <w:tr>
        <w:tc>
          <w:tcPr>
            <w:tcW w:type="dxa" w:w="4997"/>
          </w:tcPr>
          <w:p>
            <w:r>
              <w:t>Unreliable assumptions</w:t>
            </w:r>
          </w:p>
        </w:tc>
        <w:tc>
          <w:tcPr>
            <w:tcW w:type="dxa" w:w="4997"/>
          </w:tcPr>
          <w:p>
            <w:r>
              <w:t>Store source, unit, version and quality label; block calculations when required factors are missing.</w:t>
            </w:r>
          </w:p>
        </w:tc>
      </w:tr>
      <w:tr>
        <w:tc>
          <w:tcPr>
            <w:tcW w:type="dxa" w:w="4997"/>
          </w:tcPr>
          <w:p>
            <w:r>
              <w:t>LLM hallucination</w:t>
            </w:r>
          </w:p>
        </w:tc>
        <w:tc>
          <w:tcPr>
            <w:tcW w:type="dxa" w:w="4997"/>
          </w:tcPr>
          <w:p>
            <w:r>
              <w:t>Use tool calls, strict schemas, source IDs, deterministic numeric functions and fallback.</w:t>
            </w:r>
          </w:p>
        </w:tc>
      </w:tr>
      <w:tr>
        <w:tc>
          <w:tcPr>
            <w:tcW w:type="dxa" w:w="4997"/>
          </w:tcPr>
          <w:p>
            <w:r>
              <w:t>Scope creep</w:t>
            </w:r>
          </w:p>
        </w:tc>
        <w:tc>
          <w:tcPr>
            <w:tcW w:type="dxa" w:w="4997"/>
          </w:tcPr>
          <w:p>
            <w:r>
              <w:t>Ship the complete waste-log → analysis → scenario flow before image AI or forecasting.</w:t>
            </w:r>
          </w:p>
        </w:tc>
      </w:tr>
      <w:tr>
        <w:tc>
          <w:tcPr>
            <w:tcW w:type="dxa" w:w="4997"/>
          </w:tcPr>
          <w:p>
            <w:r>
              <w:t>AWS setup complexity</w:t>
            </w:r>
          </w:p>
        </w:tc>
        <w:tc>
          <w:tcPr>
            <w:tcW w:type="dxa" w:w="4997"/>
          </w:tcPr>
          <w:p>
            <w:r>
              <w:t>Use a minimal serverless architecture and verify region/model/IAM early.</w:t>
            </w:r>
          </w:p>
        </w:tc>
      </w:tr>
      <w:tr>
        <w:tc>
          <w:tcPr>
            <w:tcW w:type="dxa" w:w="4997"/>
          </w:tcPr>
          <w:p>
            <w:r>
              <w:t>Misleading impact claims</w:t>
            </w:r>
          </w:p>
        </w:tc>
        <w:tc>
          <w:tcPr>
            <w:tcW w:type="dxa" w:w="4997"/>
          </w:tcPr>
          <w:p>
            <w:r>
              <w:t>Separate estimated from measured and label demo data.</w:t>
            </w:r>
          </w:p>
        </w:tc>
      </w:tr>
      <w:tr>
        <w:tc>
          <w:tcPr>
            <w:tcW w:type="dxa" w:w="4997"/>
          </w:tcPr>
          <w:p>
            <w:r>
              <w:t>AI-themed visual clichés</w:t>
            </w:r>
          </w:p>
        </w:tc>
        <w:tc>
          <w:tcPr>
            <w:tcW w:type="dxa" w:w="4997"/>
          </w:tcPr>
          <w:p>
            <w:r>
              <w:t>Use environmental editorial design; keep AI labels subtle.</w:t>
            </w:r>
          </w:p>
        </w:tc>
      </w:tr>
    </w:tbl>
    <w:p>
      <w:pPr>
        <w:pStyle w:val="Heading1"/>
      </w:pPr>
      <w:r>
        <w:t>14. Hackathon Submission Reminder</w:t>
      </w:r>
    </w:p>
    <w:p>
      <w:r>
        <w:t>The official Environmental Hacks rules require a public repository, a demo video of up to three minutes, and a short write-up covering the problem, build and AWS usage. The video must show actual working functionality and actual AWS integration if claimed. AI coding tools should be listed, and third-party work/assets must be credited. Check the event page for the exact submission deadline and follow the requirement that the project work submitted as new work begins within the hackathon window.</w:t>
      </w:r>
    </w:p>
    <w:p>
      <w:r>
        <w:t>Official pages:</w:t>
      </w:r>
    </w:p>
    <w:p>
      <w:r>
        <w:t>https://www.wemakedevs.org/aws/env</w:t>
      </w:r>
    </w:p>
    <w:p>
      <w:r>
        <w:t>https://www.wemakedevs.org/aws/env/rules</w:t>
      </w:r>
    </w:p>
    <w:p>
      <w:pPr>
        <w:pStyle w:val="Heading1"/>
      </w:pPr>
      <w:r>
        <w:t>15. Final Product Statement</w:t>
      </w:r>
    </w:p>
    <w:p>
      <w:r>
        <w:rPr>
          <w:b/>
          <w:color w:val="173F35"/>
        </w:rPr>
        <w:t>Waste2Watt turns institutional organic-waste data into explainable, evidence-aware decisions. It combines deterministic energy and feasibility models with AI-assisted orchestration, scenario reasoning and clear uncertainty reporting—so institutions can evaluate resource recovery before investing in it.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D75"/>
        <w:sz w:val="16"/>
      </w:rPr>
      <w:t>WASTE2WATT  |  TEAM NULLVERSE  |  PROJECT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2B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95B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95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F3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