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5B21B6" w:val="clear"/>
            <w:tcMar>
              <w:top w:type="dxa" w:w="120"/>
              <w:left w:type="dxa" w:w="160"/>
              <w:bottom w:type="dxa" w:w="120"/>
              <w:right w:type="dxa" w:w="160"/>
            </w:tcMar>
          </w:tcPr>
          <w:p>
            <w:pPr>
              <w:spacing w:after="0" w:before="0"/>
              <w:jc w:val="left"/>
            </w:pPr>
            <w:r>
              <w:rPr>
                <w:rFonts w:ascii="Arial" w:cs="Arial" w:eastAsia="Arial" w:hAnsi="Arial"/>
                <w:b w:val="false"/>
                <w:bCs w:val="false"/>
                <w:i w:val="false"/>
                <w:iCs w:val="false"/>
                <w:color w:val="1E1B4B"/>
                <w:sz w:val="20"/>
                <w:szCs w:val="20"/>
              </w:rPr>
              <w:t xml:space="preserve"/>
            </w:r>
          </w:p>
        </w:tc>
      </w:tr>
      <w:tr>
        <w:tc>
          <w:tcPr>
            <w:tcW w:type="dxa" w:w="9360"/>
            <w:tcBorders>
              <w:top w:val="none" w:color="FFFFFF" w:sz="0"/>
              <w:left w:val="none" w:color="FFFFFF" w:sz="0"/>
              <w:bottom w:val="none" w:color="FFFFFF" w:sz="0"/>
              <w:right w:val="none" w:color="FFFFFF" w:sz="0"/>
            </w:tcBorders>
            <w:shd w:fill="5B21B6" w:val="clear"/>
            <w:tcMar>
              <w:top w:type="dxa" w:w="120"/>
              <w:left w:type="dxa" w:w="160"/>
              <w:bottom w:type="dxa" w:w="120"/>
              <w:right w:type="dxa" w:w="160"/>
            </w:tcMar>
          </w:tcPr>
          <w:p>
            <w:pPr>
              <w:spacing w:after="80" w:before="640"/>
              <w:jc w:val="center"/>
            </w:pPr>
            <w:r>
              <w:rPr>
                <w:rFonts w:ascii="Arial" w:cs="Arial" w:eastAsia="Arial" w:hAnsi="Arial"/>
                <w:b/>
                <w:bCs/>
                <w:i w:val="false"/>
                <w:iCs w:val="false"/>
                <w:color w:val="A78BFA"/>
                <w:sz w:val="22"/>
                <w:szCs w:val="22"/>
              </w:rPr>
              <w:t xml:space="preserve">PRODUCT TEARDOWN</w:t>
            </w:r>
          </w:p>
          <w:p>
            <w:pPr>
              <w:spacing w:after="160" w:before="0"/>
              <w:jc w:val="center"/>
            </w:pPr>
            <w:r>
              <w:rPr>
                <w:rFonts w:ascii="Arial" w:cs="Arial" w:eastAsia="Arial" w:hAnsi="Arial"/>
                <w:b/>
                <w:bCs/>
                <w:i w:val="false"/>
                <w:iCs w:val="false"/>
                <w:color w:val="FFFFFF"/>
                <w:sz w:val="96"/>
                <w:szCs w:val="96"/>
              </w:rPr>
              <w:t xml:space="preserve">Subspace</w:t>
            </w:r>
            <w:r>
              <w:rPr>
                <w:rFonts w:ascii="Arial" w:cs="Arial" w:eastAsia="Arial" w:hAnsi="Arial"/>
                <w:b/>
                <w:bCs/>
                <w:i w:val="false"/>
                <w:iCs w:val="false"/>
                <w:color w:val="A78BFA"/>
                <w:sz w:val="96"/>
                <w:szCs w:val="96"/>
              </w:rPr>
              <w:t xml:space="preserve">.money</w:t>
            </w:r>
          </w:p>
          <w:p>
            <w:pPr>
              <w:spacing w:after="560" w:before="0"/>
              <w:jc w:val="center"/>
            </w:pPr>
            <w:r>
              <w:rPr>
                <w:rFonts w:ascii="Arial" w:cs="Arial" w:eastAsia="Arial" w:hAnsi="Arial"/>
                <w:b w:val="false"/>
                <w:bCs w:val="false"/>
                <w:i w:val="false"/>
                <w:iCs w:val="false"/>
                <w:color w:val="C4B5FD"/>
                <w:sz w:val="20"/>
                <w:szCs w:val="20"/>
              </w:rPr>
              <w:t xml:space="preserve">5 Sharp Feedbacks · Real Observations · Executable Solutions</w:t>
            </w:r>
          </w:p>
        </w:tc>
      </w:tr>
      <w:tr>
        <w:tc>
          <w:tcPr>
            <w:tcW w:type="dxa" w:w="9360"/>
            <w:tcBorders>
              <w:top w:val="none" w:color="FFFFFF" w:sz="0"/>
              <w:left w:val="none" w:color="FFFFFF" w:sz="0"/>
              <w:bottom w:val="none" w:color="FFFFFF" w:sz="0"/>
              <w:right w:val="none" w:color="FFFFFF" w:sz="0"/>
            </w:tcBorders>
            <w:shd w:fill="FFFFFF" w:val="clear"/>
            <w:tcMar>
              <w:top w:type="dxa" w:w="120"/>
              <w:left w:type="dxa" w:w="160"/>
              <w:bottom w:type="dxa" w:w="120"/>
              <w:right w:type="dxa" w:w="16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FFFFFF" w:val="clear"/>
                  <w:tcMar>
                    <w:top w:type="dxa" w:w="180"/>
                    <w:left w:type="dxa" w:w="160"/>
                    <w:bottom w:type="dxa" w:w="180"/>
                    <w:right w:type="dxa" w:w="160"/>
                  </w:tcMar>
                </w:tcPr>
                <w:p>
                  <w:pPr>
                    <w:spacing w:after="0" w:before="0"/>
                    <w:jc w:val="left"/>
                  </w:pPr>
                  <w:r>
                    <w:rPr>
                      <w:rFonts w:ascii="Arial" w:cs="Arial" w:eastAsia="Arial" w:hAnsi="Arial"/>
                      <w:b w:val="false"/>
                      <w:bCs w:val="false"/>
                      <w:i w:val="false"/>
                      <w:iCs w:val="false"/>
                      <w:color w:val="6B7280"/>
                      <w:sz w:val="17"/>
                      <w:szCs w:val="17"/>
                    </w:rPr>
                    <w:t xml:space="preserve">Submitted By</w:t>
                  </w:r>
                </w:p>
                <w:p>
                  <w:pPr>
                    <w:spacing w:after="0" w:before="0"/>
                    <w:jc w:val="left"/>
                  </w:pPr>
                  <w:r>
                    <w:rPr>
                      <w:rFonts w:ascii="Arial" w:cs="Arial" w:eastAsia="Arial" w:hAnsi="Arial"/>
                      <w:b/>
                      <w:bCs/>
                      <w:i w:val="false"/>
                      <w:iCs w:val="false"/>
                      <w:color w:val="1E1B4B"/>
                      <w:sz w:val="22"/>
                      <w:szCs w:val="22"/>
                    </w:rPr>
                    <w:t xml:space="preserve">Yash Vardhan Malik</w:t>
                  </w:r>
                </w:p>
              </w:tc>
              <w:tc>
                <w:tcPr>
                  <w:tcW w:type="dxa" w:w="2340"/>
                  <w:tcBorders>
                    <w:top w:val="none" w:color="FFFFFF" w:sz="0"/>
                    <w:left w:val="single" w:color="E5E7EB" w:sz="2"/>
                    <w:bottom w:val="none" w:color="FFFFFF" w:sz="0"/>
                    <w:right w:val="none" w:color="FFFFFF" w:sz="0"/>
                  </w:tcBorders>
                  <w:shd w:fill="FFFFFF" w:val="clear"/>
                  <w:tcMar>
                    <w:top w:type="dxa" w:w="180"/>
                    <w:left w:type="dxa" w:w="160"/>
                    <w:bottom w:type="dxa" w:w="180"/>
                    <w:right w:type="dxa" w:w="160"/>
                  </w:tcMar>
                </w:tcPr>
                <w:p>
                  <w:pPr>
                    <w:spacing w:after="0" w:before="0"/>
                    <w:jc w:val="left"/>
                  </w:pPr>
                  <w:r>
                    <w:rPr>
                      <w:rFonts w:ascii="Arial" w:cs="Arial" w:eastAsia="Arial" w:hAnsi="Arial"/>
                      <w:b w:val="false"/>
                      <w:bCs w:val="false"/>
                      <w:i w:val="false"/>
                      <w:iCs w:val="false"/>
                      <w:color w:val="6B7280"/>
                      <w:sz w:val="17"/>
                      <w:szCs w:val="17"/>
                    </w:rPr>
                    <w:t xml:space="preserve">Role</w:t>
                  </w:r>
                </w:p>
                <w:p>
                  <w:pPr>
                    <w:spacing w:after="0" w:before="0"/>
                    <w:jc w:val="left"/>
                  </w:pPr>
                  <w:r>
                    <w:rPr>
                      <w:rFonts w:ascii="Arial" w:cs="Arial" w:eastAsia="Arial" w:hAnsi="Arial"/>
                      <w:b/>
                      <w:bCs/>
                      <w:i w:val="false"/>
                      <w:iCs w:val="false"/>
                      <w:color w:val="1E1B4B"/>
                      <w:sz w:val="22"/>
                      <w:szCs w:val="22"/>
                    </w:rPr>
                    <w:t xml:space="preserve">Product Intern</w:t>
                  </w:r>
                </w:p>
              </w:tc>
              <w:tc>
                <w:tcPr>
                  <w:tcW w:type="dxa" w:w="2340"/>
                  <w:tcBorders>
                    <w:top w:val="none" w:color="FFFFFF" w:sz="0"/>
                    <w:left w:val="single" w:color="E5E7EB" w:sz="2"/>
                    <w:bottom w:val="none" w:color="FFFFFF" w:sz="0"/>
                    <w:right w:val="none" w:color="FFFFFF" w:sz="0"/>
                  </w:tcBorders>
                  <w:shd w:fill="FFFFFF" w:val="clear"/>
                  <w:tcMar>
                    <w:top w:type="dxa" w:w="180"/>
                    <w:left w:type="dxa" w:w="160"/>
                    <w:bottom w:type="dxa" w:w="180"/>
                    <w:right w:type="dxa" w:w="160"/>
                  </w:tcMar>
                </w:tcPr>
                <w:p>
                  <w:pPr>
                    <w:spacing w:after="0" w:before="0"/>
                    <w:jc w:val="left"/>
                  </w:pPr>
                  <w:r>
                    <w:rPr>
                      <w:rFonts w:ascii="Arial" w:cs="Arial" w:eastAsia="Arial" w:hAnsi="Arial"/>
                      <w:b w:val="false"/>
                      <w:bCs w:val="false"/>
                      <w:i w:val="false"/>
                      <w:iCs w:val="false"/>
                      <w:color w:val="6B7280"/>
                      <w:sz w:val="17"/>
                      <w:szCs w:val="17"/>
                    </w:rPr>
                    <w:t xml:space="preserve">Company</w:t>
                  </w:r>
                </w:p>
                <w:p>
                  <w:pPr>
                    <w:spacing w:after="0" w:before="0"/>
                    <w:jc w:val="left"/>
                  </w:pPr>
                  <w:r>
                    <w:rPr>
                      <w:rFonts w:ascii="Arial" w:cs="Arial" w:eastAsia="Arial" w:hAnsi="Arial"/>
                      <w:b/>
                      <w:bCs/>
                      <w:i w:val="false"/>
                      <w:iCs w:val="false"/>
                      <w:color w:val="1E1B4B"/>
                      <w:sz w:val="22"/>
                      <w:szCs w:val="22"/>
                    </w:rPr>
                    <w:t xml:space="preserve">Subspace.money</w:t>
                  </w:r>
                </w:p>
              </w:tc>
              <w:tc>
                <w:tcPr>
                  <w:tcW w:type="dxa" w:w="2340"/>
                  <w:tcBorders>
                    <w:top w:val="none" w:color="FFFFFF" w:sz="0"/>
                    <w:left w:val="single" w:color="E5E7EB" w:sz="2"/>
                    <w:bottom w:val="none" w:color="FFFFFF" w:sz="0"/>
                    <w:right w:val="none" w:color="FFFFFF" w:sz="0"/>
                  </w:tcBorders>
                  <w:shd w:fill="FFFFFF" w:val="clear"/>
                  <w:tcMar>
                    <w:top w:type="dxa" w:w="180"/>
                    <w:left w:type="dxa" w:w="160"/>
                    <w:bottom w:type="dxa" w:w="180"/>
                    <w:right w:type="dxa" w:w="160"/>
                  </w:tcMar>
                </w:tcPr>
                <w:p>
                  <w:pPr>
                    <w:spacing w:after="0" w:before="0"/>
                    <w:jc w:val="left"/>
                  </w:pPr>
                  <w:r>
                    <w:rPr>
                      <w:rFonts w:ascii="Arial" w:cs="Arial" w:eastAsia="Arial" w:hAnsi="Arial"/>
                      <w:b w:val="false"/>
                      <w:bCs w:val="false"/>
                      <w:i w:val="false"/>
                      <w:iCs w:val="false"/>
                      <w:color w:val="6B7280"/>
                      <w:sz w:val="17"/>
                      <w:szCs w:val="17"/>
                    </w:rPr>
                    <w:t xml:space="preserve">Date</w:t>
                  </w:r>
                </w:p>
                <w:p>
                  <w:pPr>
                    <w:spacing w:after="0" w:before="0"/>
                    <w:jc w:val="left"/>
                  </w:pPr>
                  <w:r>
                    <w:rPr>
                      <w:rFonts w:ascii="Arial" w:cs="Arial" w:eastAsia="Arial" w:hAnsi="Arial"/>
                      <w:b/>
                      <w:bCs/>
                      <w:i w:val="false"/>
                      <w:iCs w:val="false"/>
                      <w:color w:val="1E1B4B"/>
                      <w:sz w:val="22"/>
                      <w:szCs w:val="22"/>
                    </w:rPr>
                    <w:t xml:space="preserve">May 31, 2026</w:t>
                  </w:r>
                </w:p>
              </w:tc>
            </w:tr>
          </w:tbl>
          <w:p/>
        </w:tc>
      </w:tr>
    </w:tbl>
    <w:p>
      <w:pPr>
        <w:spacing w:after="0" w:before="0"/>
        <w:jc w:val="left"/>
      </w:pPr>
      <w:r>
        <w:br w:type="page"/>
      </w:r>
    </w:p>
    <w:p>
      <w:pPr>
        <w:pBdr>
          <w:bottom w:val="single" w:color="7C3AED" w:sz="10" w:space="4"/>
        </w:pBdr>
        <w:spacing w:after="80" w:before="80"/>
        <w:jc w:val="left"/>
      </w:pPr>
      <w:r>
        <w:rPr>
          <w:rFonts w:ascii="Arial" w:cs="Arial" w:eastAsia="Arial" w:hAnsi="Arial"/>
          <w:b/>
          <w:bCs/>
          <w:i w:val="false"/>
          <w:iCs w:val="false"/>
          <w:color w:val="1E1B4B"/>
          <w:sz w:val="36"/>
          <w:szCs w:val="36"/>
        </w:rPr>
        <w:t xml:space="preserve">Executive Summary</w:t>
      </w:r>
    </w:p>
    <w:p>
      <w:pPr>
        <w:spacing w:after="120" w:before="0"/>
        <w:jc w:val="left"/>
      </w:pPr>
      <w:r>
        <w:rPr>
          <w:rFonts w:ascii="Arial" w:cs="Arial" w:eastAsia="Arial" w:hAnsi="Arial"/>
          <w:b w:val="false"/>
          <w:bCs w:val="false"/>
          <w:i w:val="false"/>
          <w:iCs w:val="false"/>
          <w:color w:val="1E1B4B"/>
          <w:sz w:val="20"/>
          <w:szCs w:val="20"/>
        </w:rPr>
        <w:t xml:space="preserve"/>
      </w:r>
    </w:p>
    <w:p>
      <w:pPr>
        <w:spacing w:after="120" w:before="0"/>
        <w:jc w:val="left"/>
      </w:pPr>
      <w:r>
        <w:rPr>
          <w:rFonts w:ascii="Arial" w:cs="Arial" w:eastAsia="Arial" w:hAnsi="Arial"/>
          <w:b w:val="false"/>
          <w:bCs w:val="false"/>
          <w:i w:val="false"/>
          <w:iCs w:val="false"/>
          <w:color w:val="1E1B4B"/>
          <w:sz w:val="20"/>
          <w:szCs w:val="20"/>
        </w:rPr>
        <w:t xml:space="preserve">Subspace.money is a Bengaluru-based fintech marketplace founded in 2021 — bootstrapped to ₹36.5 Cr ARR (FY25) with zero external funding and only 3 employees. It allows users to share streaming subscriptions at split cost, purchase discounted gift cards, rent equipment, and track recurring expenses. The model works.</w:t>
      </w:r>
    </w:p>
    <w:p>
      <w:pPr>
        <w:spacing w:after="160" w:before="0"/>
        <w:jc w:val="left"/>
      </w:pPr>
      <w:r>
        <w:rPr>
          <w:rFonts w:ascii="Arial" w:cs="Arial" w:eastAsia="Arial" w:hAnsi="Arial"/>
          <w:b w:val="false"/>
          <w:bCs w:val="false"/>
          <w:i w:val="false"/>
          <w:iCs w:val="false"/>
          <w:color w:val="1E1B4B"/>
          <w:sz w:val="20"/>
          <w:szCs w:val="20"/>
        </w:rPr>
        <w:t xml:space="preserve">But a hands-on product audit reveals a consistent gap between what Subspace promises and what it delivers. Five areas need attention: broken UX flows that destroy trust at critical moments, core features that are either buried or unbuilt, a diffused GTM with no prioritised ICP, a thin competitive moat against informal alternatives, and untapped collaboration channels. Each has a specific, executable fix.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F5F3FF" w:val="clear"/>
            <w:tcMar>
              <w:top w:type="dxa" w:w="160"/>
              <w:left w:type="dxa" w:w="160"/>
              <w:bottom w:type="dxa" w:w="160"/>
              <w:right w:type="dxa" w:w="160"/>
            </w:tcMar>
          </w:tcPr>
          <w:p>
            <w:pPr>
              <w:spacing w:after="0" w:before="0"/>
              <w:jc w:val="center"/>
            </w:pPr>
            <w:r>
              <w:rPr>
                <w:rFonts w:ascii="Arial" w:cs="Arial" w:eastAsia="Arial" w:hAnsi="Arial"/>
                <w:b/>
                <w:bCs/>
                <w:i w:val="false"/>
                <w:iCs w:val="false"/>
                <w:color w:val="7C3AED"/>
                <w:sz w:val="40"/>
                <w:szCs w:val="40"/>
              </w:rPr>
              <w:t xml:space="preserve">₹36.5 Cr</w:t>
            </w:r>
          </w:p>
          <w:p>
            <w:pPr>
              <w:spacing w:after="0" w:before="0"/>
              <w:jc w:val="center"/>
            </w:pPr>
            <w:r>
              <w:rPr>
                <w:rFonts w:ascii="Arial" w:cs="Arial" w:eastAsia="Arial" w:hAnsi="Arial"/>
                <w:b w:val="false"/>
                <w:bCs w:val="false"/>
                <w:i w:val="false"/>
                <w:iCs w:val="false"/>
                <w:color w:val="6B7280"/>
                <w:sz w:val="17"/>
                <w:szCs w:val="17"/>
              </w:rPr>
              <w:t xml:space="preserve">ARR — FY25</w:t>
            </w:r>
          </w:p>
        </w:tc>
        <w:tc>
          <w:tcPr>
            <w:tcW w:type="dxa" w:w="2340"/>
            <w:tcBorders>
              <w:top w:val="none" w:color="FFFFFF" w:sz="0"/>
              <w:left w:val="single" w:color="E5E7EB" w:sz="2"/>
              <w:bottom w:val="none" w:color="FFFFFF" w:sz="0"/>
              <w:right w:val="none" w:color="FFFFFF" w:sz="0"/>
            </w:tcBorders>
            <w:shd w:fill="F5F3FF" w:val="clear"/>
            <w:tcMar>
              <w:top w:type="dxa" w:w="160"/>
              <w:left w:type="dxa" w:w="160"/>
              <w:bottom w:type="dxa" w:w="160"/>
              <w:right w:type="dxa" w:w="160"/>
            </w:tcMar>
          </w:tcPr>
          <w:p>
            <w:pPr>
              <w:spacing w:after="0" w:before="0"/>
              <w:jc w:val="center"/>
            </w:pPr>
            <w:r>
              <w:rPr>
                <w:rFonts w:ascii="Arial" w:cs="Arial" w:eastAsia="Arial" w:hAnsi="Arial"/>
                <w:b/>
                <w:bCs/>
                <w:i w:val="false"/>
                <w:iCs w:val="false"/>
                <w:color w:val="7C3AED"/>
                <w:sz w:val="40"/>
                <w:szCs w:val="40"/>
              </w:rPr>
              <w:t xml:space="preserve">Bootstrapped</w:t>
            </w:r>
          </w:p>
          <w:p>
            <w:pPr>
              <w:spacing w:after="0" w:before="0"/>
              <w:jc w:val="center"/>
            </w:pPr>
            <w:r>
              <w:rPr>
                <w:rFonts w:ascii="Arial" w:cs="Arial" w:eastAsia="Arial" w:hAnsi="Arial"/>
                <w:b w:val="false"/>
                <w:bCs w:val="false"/>
                <w:i w:val="false"/>
                <w:iCs w:val="false"/>
                <w:color w:val="6B7280"/>
                <w:sz w:val="17"/>
                <w:szCs w:val="17"/>
              </w:rPr>
              <w:t xml:space="preserve">Zero External Funding</w:t>
            </w:r>
          </w:p>
        </w:tc>
        <w:tc>
          <w:tcPr>
            <w:tcW w:type="dxa" w:w="2340"/>
            <w:tcBorders>
              <w:top w:val="none" w:color="FFFFFF" w:sz="0"/>
              <w:left w:val="single" w:color="E5E7EB" w:sz="2"/>
              <w:bottom w:val="none" w:color="FFFFFF" w:sz="0"/>
              <w:right w:val="none" w:color="FFFFFF" w:sz="0"/>
            </w:tcBorders>
            <w:shd w:fill="F5F3FF" w:val="clear"/>
            <w:tcMar>
              <w:top w:type="dxa" w:w="160"/>
              <w:left w:type="dxa" w:w="160"/>
              <w:bottom w:type="dxa" w:w="160"/>
              <w:right w:type="dxa" w:w="160"/>
            </w:tcMar>
          </w:tcPr>
          <w:p>
            <w:pPr>
              <w:spacing w:after="0" w:before="0"/>
              <w:jc w:val="center"/>
            </w:pPr>
            <w:r>
              <w:rPr>
                <w:rFonts w:ascii="Arial" w:cs="Arial" w:eastAsia="Arial" w:hAnsi="Arial"/>
                <w:b/>
                <w:bCs/>
                <w:i w:val="false"/>
                <w:iCs w:val="false"/>
                <w:color w:val="7C3AED"/>
                <w:sz w:val="40"/>
                <w:szCs w:val="40"/>
              </w:rPr>
              <w:t xml:space="preserve">3 Employees</w:t>
            </w:r>
          </w:p>
          <w:p>
            <w:pPr>
              <w:spacing w:after="0" w:before="0"/>
              <w:jc w:val="center"/>
            </w:pPr>
            <w:r>
              <w:rPr>
                <w:rFonts w:ascii="Arial" w:cs="Arial" w:eastAsia="Arial" w:hAnsi="Arial"/>
                <w:b w:val="false"/>
                <w:bCs w:val="false"/>
                <w:i w:val="false"/>
                <w:iCs w:val="false"/>
                <w:color w:val="6B7280"/>
                <w:sz w:val="17"/>
                <w:szCs w:val="17"/>
              </w:rPr>
              <w:t xml:space="preserve">Lean Team · Big Scope</w:t>
            </w:r>
          </w:p>
        </w:tc>
        <w:tc>
          <w:tcPr>
            <w:tcW w:type="dxa" w:w="2340"/>
            <w:tcBorders>
              <w:top w:val="none" w:color="FFFFFF" w:sz="0"/>
              <w:left w:val="single" w:color="E5E7EB" w:sz="2"/>
              <w:bottom w:val="none" w:color="FFFFFF" w:sz="0"/>
              <w:right w:val="none" w:color="FFFFFF" w:sz="0"/>
            </w:tcBorders>
            <w:shd w:fill="F5F3FF" w:val="clear"/>
            <w:tcMar>
              <w:top w:type="dxa" w:w="160"/>
              <w:left w:type="dxa" w:w="160"/>
              <w:bottom w:type="dxa" w:w="160"/>
              <w:right w:type="dxa" w:w="160"/>
            </w:tcMar>
          </w:tcPr>
          <w:p>
            <w:pPr>
              <w:spacing w:after="0" w:before="0"/>
              <w:jc w:val="center"/>
            </w:pPr>
            <w:r>
              <w:rPr>
                <w:rFonts w:ascii="Arial" w:cs="Arial" w:eastAsia="Arial" w:hAnsi="Arial"/>
                <w:b/>
                <w:bCs/>
                <w:i w:val="false"/>
                <w:iCs w:val="false"/>
                <w:color w:val="7C3AED"/>
                <w:sz w:val="40"/>
                <w:szCs w:val="40"/>
              </w:rPr>
              <w:t xml:space="preserve">#1 in India</w:t>
            </w:r>
          </w:p>
          <w:p>
            <w:pPr>
              <w:spacing w:after="0" w:before="0"/>
              <w:jc w:val="center"/>
            </w:pPr>
            <w:r>
              <w:rPr>
                <w:rFonts w:ascii="Arial" w:cs="Arial" w:eastAsia="Arial" w:hAnsi="Arial"/>
                <w:b w:val="false"/>
                <w:bCs w:val="false"/>
                <w:i w:val="false"/>
                <w:iCs w:val="false"/>
                <w:color w:val="6B7280"/>
                <w:sz w:val="17"/>
                <w:szCs w:val="17"/>
              </w:rPr>
              <w:t xml:space="preserve">No Direct Local Competitor</w:t>
            </w:r>
          </w:p>
        </w:tc>
      </w:tr>
    </w:tbl>
    <w:p>
      <w:pPr>
        <w:spacing w:after="160" w:before="0"/>
        <w:jc w:val="left"/>
      </w:pPr>
      <w:r>
        <w:rPr>
          <w:rFonts w:ascii="Arial" w:cs="Arial" w:eastAsia="Arial" w:hAnsi="Arial"/>
          <w:b w:val="false"/>
          <w:bCs w:val="false"/>
          <w:i w:val="false"/>
          <w:iCs w:val="false"/>
          <w:color w:val="1E1B4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2200"/>
        <w:gridCol w:w="4560"/>
      </w:tblGrid>
      <w:tr>
        <w:tc>
          <w:tcPr>
            <w:tcW w:type="dxa" w:w="600"/>
            <w:tcBorders>
              <w:top w:val="none" w:color="FFFFFF" w:sz="0"/>
              <w:left w:val="none" w:color="FFFFFF" w:sz="0"/>
              <w:bottom w:val="none" w:color="FFFFFF" w:sz="0"/>
              <w:right w:val="none" w:color="FFFFFF" w:sz="0"/>
            </w:tcBorders>
            <w:shd w:fill="7C3AED" w:val="clear"/>
            <w:tcMar>
              <w:top w:type="dxa" w:w="120"/>
              <w:left w:type="dxa" w:w="160"/>
              <w:bottom w:type="dxa" w:w="120"/>
              <w:right w:type="dxa" w:w="160"/>
            </w:tcMar>
          </w:tcPr>
          <w:p>
            <w:pPr>
              <w:spacing w:after="0" w:before="0"/>
              <w:jc w:val="center"/>
            </w:pPr>
            <w:r>
              <w:rPr>
                <w:rFonts w:ascii="Arial" w:cs="Arial" w:eastAsia="Arial" w:hAnsi="Arial"/>
                <w:b/>
                <w:bCs/>
                <w:i w:val="false"/>
                <w:iCs w:val="false"/>
                <w:color w:val="FFFFFF"/>
                <w:sz w:val="16"/>
                <w:szCs w:val="16"/>
              </w:rPr>
              <w:t xml:space="preserve">PILLAR</w:t>
            </w:r>
          </w:p>
        </w:tc>
        <w:tc>
          <w:tcPr>
            <w:tcW w:type="dxa" w:w="2000"/>
            <w:tcBorders>
              <w:top w:val="none" w:color="FFFFFF" w:sz="0"/>
              <w:left w:val="none" w:color="FFFFFF" w:sz="0"/>
              <w:bottom w:val="none" w:color="FFFFFF" w:sz="0"/>
              <w:right w:val="none" w:color="FFFFFF" w:sz="0"/>
            </w:tcBorders>
            <w:shd w:fill="7C3AED" w:val="clear"/>
            <w:tcMar>
              <w:top w:type="dxa" w:w="120"/>
              <w:left w:type="dxa" w:w="160"/>
              <w:bottom w:type="dxa" w:w="120"/>
              <w:right w:type="dxa" w:w="160"/>
            </w:tcMar>
          </w:tcPr>
          <w:p>
            <w:pPr>
              <w:spacing w:after="0" w:before="0"/>
              <w:jc w:val="left"/>
            </w:pPr>
            <w:r>
              <w:rPr>
                <w:rFonts w:ascii="Arial" w:cs="Arial" w:eastAsia="Arial" w:hAnsi="Arial"/>
                <w:b/>
                <w:bCs/>
                <w:i w:val="false"/>
                <w:iCs w:val="false"/>
                <w:color w:val="FFFFFF"/>
                <w:sz w:val="16"/>
                <w:szCs w:val="16"/>
              </w:rPr>
              <w:t xml:space="preserve">AREA</w:t>
            </w:r>
          </w:p>
        </w:tc>
        <w:tc>
          <w:tcPr>
            <w:tcW w:type="dxa" w:w="2200"/>
            <w:tcBorders>
              <w:top w:val="none" w:color="FFFFFF" w:sz="0"/>
              <w:left w:val="none" w:color="FFFFFF" w:sz="0"/>
              <w:bottom w:val="none" w:color="FFFFFF" w:sz="0"/>
              <w:right w:val="none" w:color="FFFFFF" w:sz="0"/>
            </w:tcBorders>
            <w:shd w:fill="7C3AED" w:val="clear"/>
            <w:tcMar>
              <w:top w:type="dxa" w:w="120"/>
              <w:left w:type="dxa" w:w="160"/>
              <w:bottom w:type="dxa" w:w="120"/>
              <w:right w:type="dxa" w:w="160"/>
            </w:tcMar>
          </w:tcPr>
          <w:p>
            <w:pPr>
              <w:spacing w:after="0" w:before="0"/>
              <w:jc w:val="left"/>
            </w:pPr>
            <w:r>
              <w:rPr>
                <w:rFonts w:ascii="Arial" w:cs="Arial" w:eastAsia="Arial" w:hAnsi="Arial"/>
                <w:b/>
                <w:bCs/>
                <w:i w:val="false"/>
                <w:iCs w:val="false"/>
                <w:color w:val="FFFFFF"/>
                <w:sz w:val="16"/>
                <w:szCs w:val="16"/>
              </w:rPr>
              <w:t xml:space="preserve">FRAMEWORK</w:t>
            </w:r>
          </w:p>
        </w:tc>
        <w:tc>
          <w:tcPr>
            <w:tcW w:type="dxa" w:w="4560"/>
            <w:tcBorders>
              <w:top w:val="none" w:color="FFFFFF" w:sz="0"/>
              <w:left w:val="none" w:color="FFFFFF" w:sz="0"/>
              <w:bottom w:val="none" w:color="FFFFFF" w:sz="0"/>
              <w:right w:val="none" w:color="FFFFFF" w:sz="0"/>
            </w:tcBorders>
            <w:shd w:fill="7C3AED" w:val="clear"/>
            <w:tcMar>
              <w:top w:type="dxa" w:w="120"/>
              <w:left w:type="dxa" w:w="160"/>
              <w:bottom w:type="dxa" w:w="120"/>
              <w:right w:type="dxa" w:w="160"/>
            </w:tcMar>
          </w:tcPr>
          <w:p>
            <w:pPr>
              <w:spacing w:after="0" w:before="0"/>
              <w:jc w:val="left"/>
            </w:pPr>
            <w:r>
              <w:rPr>
                <w:rFonts w:ascii="Arial" w:cs="Arial" w:eastAsia="Arial" w:hAnsi="Arial"/>
                <w:b/>
                <w:bCs/>
                <w:i w:val="false"/>
                <w:iCs w:val="false"/>
                <w:color w:val="FFFFFF"/>
                <w:sz w:val="16"/>
                <w:szCs w:val="16"/>
              </w:rPr>
              <w:t xml:space="preserve">KEY FINDING</w:t>
            </w:r>
          </w:p>
        </w:tc>
      </w:tr>
      <w:tr>
        <w:tc>
          <w:tcPr>
            <w:tcW w:type="dxa" w:w="600"/>
            <w:tcBorders>
              <w:top w:val="single" w:color="E5E7EB" w:sz="1"/>
              <w:left w:val="single" w:color="E5E7EB" w:sz="1"/>
              <w:bottom w:val="single" w:color="E5E7EB" w:sz="1"/>
              <w:right w:val="single" w:color="E5E7EB" w:sz="1"/>
            </w:tcBorders>
            <w:shd w:fill="FFFFFF" w:val="clear"/>
            <w:tcMar>
              <w:top w:type="dxa" w:w="120"/>
              <w:left w:type="dxa" w:w="160"/>
              <w:bottom w:type="dxa" w:w="120"/>
              <w:right w:type="dxa" w:w="160"/>
            </w:tcMar>
          </w:tcPr>
          <w:p>
            <w:pPr>
              <w:spacing w:after="0" w:before="0"/>
              <w:jc w:val="center"/>
            </w:pPr>
            <w:r>
              <w:rPr>
                <w:rFonts w:ascii="Arial" w:cs="Arial" w:eastAsia="Arial" w:hAnsi="Arial"/>
                <w:b/>
                <w:bCs/>
                <w:i w:val="false"/>
                <w:iCs w:val="false"/>
                <w:color w:val="7C3AED"/>
                <w:sz w:val="22"/>
                <w:szCs w:val="22"/>
              </w:rPr>
              <w:t xml:space="preserve">01</w:t>
            </w:r>
          </w:p>
        </w:tc>
        <w:tc>
          <w:tcPr>
            <w:tcW w:type="dxa" w:w="2000"/>
            <w:tcBorders>
              <w:top w:val="single" w:color="E5E7EB" w:sz="1"/>
              <w:left w:val="single" w:color="E5E7EB" w:sz="1"/>
              <w:bottom w:val="single" w:color="E5E7EB" w:sz="1"/>
              <w:right w:val="single" w:color="E5E7EB" w:sz="1"/>
            </w:tcBorders>
            <w:shd w:fill="FFFFFF" w:val="clear"/>
            <w:tcMar>
              <w:top w:type="dxa" w:w="120"/>
              <w:left w:type="dxa" w:w="160"/>
              <w:bottom w:type="dxa" w:w="120"/>
              <w:right w:type="dxa" w:w="160"/>
            </w:tcMar>
          </w:tcPr>
          <w:p>
            <w:pPr>
              <w:spacing w:after="0" w:before="0"/>
              <w:jc w:val="left"/>
            </w:pPr>
            <w:r>
              <w:rPr>
                <w:rFonts w:ascii="Arial" w:cs="Arial" w:eastAsia="Arial" w:hAnsi="Arial"/>
                <w:b/>
                <w:bCs/>
                <w:i w:val="false"/>
                <w:iCs w:val="false"/>
                <w:color w:val="1E1B4B"/>
                <w:sz w:val="19"/>
                <w:szCs w:val="19"/>
              </w:rPr>
              <w:t xml:space="preserve">UX</w:t>
            </w:r>
          </w:p>
        </w:tc>
        <w:tc>
          <w:tcPr>
            <w:tcW w:type="dxa" w:w="2200"/>
            <w:tcBorders>
              <w:top w:val="single" w:color="E5E7EB" w:sz="1"/>
              <w:left w:val="single" w:color="E5E7EB" w:sz="1"/>
              <w:bottom w:val="single" w:color="E5E7EB" w:sz="1"/>
              <w:right w:val="single" w:color="E5E7EB" w:sz="1"/>
            </w:tcBorders>
            <w:shd w:fill="FFFFFF" w:val="clear"/>
            <w:tcMar>
              <w:top w:type="dxa" w:w="120"/>
              <w:left w:type="dxa" w:w="160"/>
              <w:bottom w:type="dxa" w:w="120"/>
              <w:right w:type="dxa" w:w="160"/>
            </w:tcMar>
          </w:tcPr>
          <w:p>
            <w:pPr>
              <w:spacing w:after="0" w:before="0"/>
              <w:jc w:val="left"/>
            </w:pPr>
            <w:r>
              <w:rPr>
                <w:rFonts w:ascii="Arial" w:cs="Arial" w:eastAsia="Arial" w:hAnsi="Arial"/>
                <w:b w:val="false"/>
                <w:bCs w:val="false"/>
                <w:i w:val="false"/>
                <w:iCs w:val="false"/>
                <w:color w:val="6B7280"/>
                <w:sz w:val="18"/>
                <w:szCs w:val="18"/>
              </w:rPr>
              <w:t xml:space="preserve">7Ps — Product &amp; Process</w:t>
            </w:r>
          </w:p>
        </w:tc>
        <w:tc>
          <w:tcPr>
            <w:tcW w:type="dxa" w:w="4560"/>
            <w:tcBorders>
              <w:top w:val="single" w:color="E5E7EB" w:sz="1"/>
              <w:left w:val="single" w:color="E5E7EB" w:sz="1"/>
              <w:bottom w:val="single" w:color="E5E7EB" w:sz="1"/>
              <w:right w:val="single" w:color="E5E7EB" w:sz="1"/>
            </w:tcBorders>
            <w:shd w:fill="FFFFFF" w:val="clear"/>
            <w:tcMar>
              <w:top w:type="dxa" w:w="120"/>
              <w:left w:type="dxa" w:w="160"/>
              <w:bottom w:type="dxa" w:w="120"/>
              <w:right w:type="dxa" w:w="160"/>
            </w:tcMar>
          </w:tcPr>
          <w:p>
            <w:pPr>
              <w:spacing w:after="0" w:before="0"/>
              <w:jc w:val="left"/>
            </w:pPr>
            <w:r>
              <w:rPr>
                <w:rFonts w:ascii="Arial" w:cs="Arial" w:eastAsia="Arial" w:hAnsi="Arial"/>
                <w:b w:val="false"/>
                <w:bCs w:val="false"/>
                <w:i w:val="false"/>
                <w:iCs w:val="false"/>
                <w:color w:val="1E1B4B"/>
                <w:sz w:val="18"/>
                <w:szCs w:val="18"/>
              </w:rPr>
              <w:t xml:space="preserve">Trust collapses at checkout, onboarding, and vendor management</w:t>
            </w:r>
          </w:p>
        </w:tc>
      </w:tr>
      <w:tr>
        <w:tc>
          <w:tcPr>
            <w:tcW w:type="dxa" w:w="600"/>
            <w:tcBorders>
              <w:top w:val="single" w:color="E5E7EB" w:sz="1"/>
              <w:left w:val="single" w:color="E5E7EB" w:sz="1"/>
              <w:bottom w:val="single" w:color="E5E7EB" w:sz="1"/>
              <w:right w:val="single" w:color="E5E7EB" w:sz="1"/>
            </w:tcBorders>
            <w:shd w:fill="F9FAFB" w:val="clear"/>
            <w:tcMar>
              <w:top w:type="dxa" w:w="120"/>
              <w:left w:type="dxa" w:w="160"/>
              <w:bottom w:type="dxa" w:w="120"/>
              <w:right w:type="dxa" w:w="160"/>
            </w:tcMar>
          </w:tcPr>
          <w:p>
            <w:pPr>
              <w:spacing w:after="0" w:before="0"/>
              <w:jc w:val="center"/>
            </w:pPr>
            <w:r>
              <w:rPr>
                <w:rFonts w:ascii="Arial" w:cs="Arial" w:eastAsia="Arial" w:hAnsi="Arial"/>
                <w:b/>
                <w:bCs/>
                <w:i w:val="false"/>
                <w:iCs w:val="false"/>
                <w:color w:val="7C3AED"/>
                <w:sz w:val="22"/>
                <w:szCs w:val="22"/>
              </w:rPr>
              <w:t xml:space="preserve">02</w:t>
            </w:r>
          </w:p>
        </w:tc>
        <w:tc>
          <w:tcPr>
            <w:tcW w:type="dxa" w:w="2000"/>
            <w:tcBorders>
              <w:top w:val="single" w:color="E5E7EB" w:sz="1"/>
              <w:left w:val="single" w:color="E5E7EB" w:sz="1"/>
              <w:bottom w:val="single" w:color="E5E7EB" w:sz="1"/>
              <w:right w:val="single" w:color="E5E7EB" w:sz="1"/>
            </w:tcBorders>
            <w:shd w:fill="F9FAFB" w:val="clear"/>
            <w:tcMar>
              <w:top w:type="dxa" w:w="120"/>
              <w:left w:type="dxa" w:w="160"/>
              <w:bottom w:type="dxa" w:w="120"/>
              <w:right w:type="dxa" w:w="160"/>
            </w:tcMar>
          </w:tcPr>
          <w:p>
            <w:pPr>
              <w:spacing w:after="0" w:before="0"/>
              <w:jc w:val="left"/>
            </w:pPr>
            <w:r>
              <w:rPr>
                <w:rFonts w:ascii="Arial" w:cs="Arial" w:eastAsia="Arial" w:hAnsi="Arial"/>
                <w:b/>
                <w:bCs/>
                <w:i w:val="false"/>
                <w:iCs w:val="false"/>
                <w:color w:val="1E1B4B"/>
                <w:sz w:val="19"/>
                <w:szCs w:val="19"/>
              </w:rPr>
              <w:t xml:space="preserve">Features / Services</w:t>
            </w:r>
          </w:p>
        </w:tc>
        <w:tc>
          <w:tcPr>
            <w:tcW w:type="dxa" w:w="2200"/>
            <w:tcBorders>
              <w:top w:val="single" w:color="E5E7EB" w:sz="1"/>
              <w:left w:val="single" w:color="E5E7EB" w:sz="1"/>
              <w:bottom w:val="single" w:color="E5E7EB" w:sz="1"/>
              <w:right w:val="single" w:color="E5E7EB" w:sz="1"/>
            </w:tcBorders>
            <w:shd w:fill="F9FAFB" w:val="clear"/>
            <w:tcMar>
              <w:top w:type="dxa" w:w="120"/>
              <w:left w:type="dxa" w:w="160"/>
              <w:bottom w:type="dxa" w:w="120"/>
              <w:right w:type="dxa" w:w="160"/>
            </w:tcMar>
          </w:tcPr>
          <w:p>
            <w:pPr>
              <w:spacing w:after="0" w:before="0"/>
              <w:jc w:val="left"/>
            </w:pPr>
            <w:r>
              <w:rPr>
                <w:rFonts w:ascii="Arial" w:cs="Arial" w:eastAsia="Arial" w:hAnsi="Arial"/>
                <w:b w:val="false"/>
                <w:bCs w:val="false"/>
                <w:i w:val="false"/>
                <w:iCs w:val="false"/>
                <w:color w:val="6B7280"/>
                <w:sz w:val="18"/>
                <w:szCs w:val="18"/>
              </w:rPr>
              <w:t xml:space="preserve">SWOT — Weaknesses</w:t>
            </w:r>
          </w:p>
        </w:tc>
        <w:tc>
          <w:tcPr>
            <w:tcW w:type="dxa" w:w="4560"/>
            <w:tcBorders>
              <w:top w:val="single" w:color="E5E7EB" w:sz="1"/>
              <w:left w:val="single" w:color="E5E7EB" w:sz="1"/>
              <w:bottom w:val="single" w:color="E5E7EB" w:sz="1"/>
              <w:right w:val="single" w:color="E5E7EB" w:sz="1"/>
            </w:tcBorders>
            <w:shd w:fill="F9FAFB" w:val="clear"/>
            <w:tcMar>
              <w:top w:type="dxa" w:w="120"/>
              <w:left w:type="dxa" w:w="160"/>
              <w:bottom w:type="dxa" w:w="120"/>
              <w:right w:type="dxa" w:w="160"/>
            </w:tcMar>
          </w:tcPr>
          <w:p>
            <w:pPr>
              <w:spacing w:after="0" w:before="0"/>
              <w:jc w:val="left"/>
            </w:pPr>
            <w:r>
              <w:rPr>
                <w:rFonts w:ascii="Arial" w:cs="Arial" w:eastAsia="Arial" w:hAnsi="Arial"/>
                <w:b w:val="false"/>
                <w:bCs w:val="false"/>
                <w:i w:val="false"/>
                <w:iCs w:val="false"/>
                <w:color w:val="1E1B4B"/>
                <w:sz w:val="18"/>
                <w:szCs w:val="18"/>
              </w:rPr>
              <w:t xml:space="preserve">Gap between what is marketed and what is built</w:t>
            </w:r>
          </w:p>
        </w:tc>
      </w:tr>
      <w:tr>
        <w:tc>
          <w:tcPr>
            <w:tcW w:type="dxa" w:w="600"/>
            <w:tcBorders>
              <w:top w:val="single" w:color="E5E7EB" w:sz="1"/>
              <w:left w:val="single" w:color="E5E7EB" w:sz="1"/>
              <w:bottom w:val="single" w:color="E5E7EB" w:sz="1"/>
              <w:right w:val="single" w:color="E5E7EB" w:sz="1"/>
            </w:tcBorders>
            <w:shd w:fill="FFFFFF" w:val="clear"/>
            <w:tcMar>
              <w:top w:type="dxa" w:w="120"/>
              <w:left w:type="dxa" w:w="160"/>
              <w:bottom w:type="dxa" w:w="120"/>
              <w:right w:type="dxa" w:w="160"/>
            </w:tcMar>
          </w:tcPr>
          <w:p>
            <w:pPr>
              <w:spacing w:after="0" w:before="0"/>
              <w:jc w:val="center"/>
            </w:pPr>
            <w:r>
              <w:rPr>
                <w:rFonts w:ascii="Arial" w:cs="Arial" w:eastAsia="Arial" w:hAnsi="Arial"/>
                <w:b/>
                <w:bCs/>
                <w:i w:val="false"/>
                <w:iCs w:val="false"/>
                <w:color w:val="7C3AED"/>
                <w:sz w:val="22"/>
                <w:szCs w:val="22"/>
              </w:rPr>
              <w:t xml:space="preserve">03</w:t>
            </w:r>
          </w:p>
        </w:tc>
        <w:tc>
          <w:tcPr>
            <w:tcW w:type="dxa" w:w="2000"/>
            <w:tcBorders>
              <w:top w:val="single" w:color="E5E7EB" w:sz="1"/>
              <w:left w:val="single" w:color="E5E7EB" w:sz="1"/>
              <w:bottom w:val="single" w:color="E5E7EB" w:sz="1"/>
              <w:right w:val="single" w:color="E5E7EB" w:sz="1"/>
            </w:tcBorders>
            <w:shd w:fill="FFFFFF" w:val="clear"/>
            <w:tcMar>
              <w:top w:type="dxa" w:w="120"/>
              <w:left w:type="dxa" w:w="160"/>
              <w:bottom w:type="dxa" w:w="120"/>
              <w:right w:type="dxa" w:w="160"/>
            </w:tcMar>
          </w:tcPr>
          <w:p>
            <w:pPr>
              <w:spacing w:after="0" w:before="0"/>
              <w:jc w:val="left"/>
            </w:pPr>
            <w:r>
              <w:rPr>
                <w:rFonts w:ascii="Arial" w:cs="Arial" w:eastAsia="Arial" w:hAnsi="Arial"/>
                <w:b/>
                <w:bCs/>
                <w:i w:val="false"/>
                <w:iCs w:val="false"/>
                <w:color w:val="1E1B4B"/>
                <w:sz w:val="19"/>
                <w:szCs w:val="19"/>
              </w:rPr>
              <w:t xml:space="preserve">GTM &amp; ICPs</w:t>
            </w:r>
          </w:p>
        </w:tc>
        <w:tc>
          <w:tcPr>
            <w:tcW w:type="dxa" w:w="2200"/>
            <w:tcBorders>
              <w:top w:val="single" w:color="E5E7EB" w:sz="1"/>
              <w:left w:val="single" w:color="E5E7EB" w:sz="1"/>
              <w:bottom w:val="single" w:color="E5E7EB" w:sz="1"/>
              <w:right w:val="single" w:color="E5E7EB" w:sz="1"/>
            </w:tcBorders>
            <w:shd w:fill="FFFFFF" w:val="clear"/>
            <w:tcMar>
              <w:top w:type="dxa" w:w="120"/>
              <w:left w:type="dxa" w:w="160"/>
              <w:bottom w:type="dxa" w:w="120"/>
              <w:right w:type="dxa" w:w="160"/>
            </w:tcMar>
          </w:tcPr>
          <w:p>
            <w:pPr>
              <w:spacing w:after="0" w:before="0"/>
              <w:jc w:val="left"/>
            </w:pPr>
            <w:r>
              <w:rPr>
                <w:rFonts w:ascii="Arial" w:cs="Arial" w:eastAsia="Arial" w:hAnsi="Arial"/>
                <w:b w:val="false"/>
                <w:bCs w:val="false"/>
                <w:i w:val="false"/>
                <w:iCs w:val="false"/>
                <w:color w:val="6B7280"/>
                <w:sz w:val="18"/>
                <w:szCs w:val="18"/>
              </w:rPr>
              <w:t xml:space="preserve">7Ps — People &amp; Promotion</w:t>
            </w:r>
          </w:p>
        </w:tc>
        <w:tc>
          <w:tcPr>
            <w:tcW w:type="dxa" w:w="4560"/>
            <w:tcBorders>
              <w:top w:val="single" w:color="E5E7EB" w:sz="1"/>
              <w:left w:val="single" w:color="E5E7EB" w:sz="1"/>
              <w:bottom w:val="single" w:color="E5E7EB" w:sz="1"/>
              <w:right w:val="single" w:color="E5E7EB" w:sz="1"/>
            </w:tcBorders>
            <w:shd w:fill="FFFFFF" w:val="clear"/>
            <w:tcMar>
              <w:top w:type="dxa" w:w="120"/>
              <w:left w:type="dxa" w:w="160"/>
              <w:bottom w:type="dxa" w:w="120"/>
              <w:right w:type="dxa" w:w="160"/>
            </w:tcMar>
          </w:tcPr>
          <w:p>
            <w:pPr>
              <w:spacing w:after="0" w:before="0"/>
              <w:jc w:val="left"/>
            </w:pPr>
            <w:r>
              <w:rPr>
                <w:rFonts w:ascii="Arial" w:cs="Arial" w:eastAsia="Arial" w:hAnsi="Arial"/>
                <w:b w:val="false"/>
                <w:bCs w:val="false"/>
                <w:i w:val="false"/>
                <w:iCs w:val="false"/>
                <w:color w:val="1E1B4B"/>
                <w:sz w:val="18"/>
                <w:szCs w:val="18"/>
              </w:rPr>
              <w:t xml:space="preserve">3 audiences, 1 experience, 0 prioritised ICP</w:t>
            </w:r>
          </w:p>
        </w:tc>
      </w:tr>
      <w:tr>
        <w:tc>
          <w:tcPr>
            <w:tcW w:type="dxa" w:w="600"/>
            <w:tcBorders>
              <w:top w:val="single" w:color="E5E7EB" w:sz="1"/>
              <w:left w:val="single" w:color="E5E7EB" w:sz="1"/>
              <w:bottom w:val="single" w:color="E5E7EB" w:sz="1"/>
              <w:right w:val="single" w:color="E5E7EB" w:sz="1"/>
            </w:tcBorders>
            <w:shd w:fill="F9FAFB" w:val="clear"/>
            <w:tcMar>
              <w:top w:type="dxa" w:w="120"/>
              <w:left w:type="dxa" w:w="160"/>
              <w:bottom w:type="dxa" w:w="120"/>
              <w:right w:type="dxa" w:w="160"/>
            </w:tcMar>
          </w:tcPr>
          <w:p>
            <w:pPr>
              <w:spacing w:after="0" w:before="0"/>
              <w:jc w:val="center"/>
            </w:pPr>
            <w:r>
              <w:rPr>
                <w:rFonts w:ascii="Arial" w:cs="Arial" w:eastAsia="Arial" w:hAnsi="Arial"/>
                <w:b/>
                <w:bCs/>
                <w:i w:val="false"/>
                <w:iCs w:val="false"/>
                <w:color w:val="7C3AED"/>
                <w:sz w:val="22"/>
                <w:szCs w:val="22"/>
              </w:rPr>
              <w:t xml:space="preserve">04</w:t>
            </w:r>
          </w:p>
        </w:tc>
        <w:tc>
          <w:tcPr>
            <w:tcW w:type="dxa" w:w="2000"/>
            <w:tcBorders>
              <w:top w:val="single" w:color="E5E7EB" w:sz="1"/>
              <w:left w:val="single" w:color="E5E7EB" w:sz="1"/>
              <w:bottom w:val="single" w:color="E5E7EB" w:sz="1"/>
              <w:right w:val="single" w:color="E5E7EB" w:sz="1"/>
            </w:tcBorders>
            <w:shd w:fill="F9FAFB" w:val="clear"/>
            <w:tcMar>
              <w:top w:type="dxa" w:w="120"/>
              <w:left w:type="dxa" w:w="160"/>
              <w:bottom w:type="dxa" w:w="120"/>
              <w:right w:type="dxa" w:w="160"/>
            </w:tcMar>
          </w:tcPr>
          <w:p>
            <w:pPr>
              <w:spacing w:after="0" w:before="0"/>
              <w:jc w:val="left"/>
            </w:pPr>
            <w:r>
              <w:rPr>
                <w:rFonts w:ascii="Arial" w:cs="Arial" w:eastAsia="Arial" w:hAnsi="Arial"/>
                <w:b/>
                <w:bCs/>
                <w:i w:val="false"/>
                <w:iCs w:val="false"/>
                <w:color w:val="1E1B4B"/>
                <w:sz w:val="19"/>
                <w:szCs w:val="19"/>
              </w:rPr>
              <w:t xml:space="preserve">Competitor Analysis</w:t>
            </w:r>
          </w:p>
        </w:tc>
        <w:tc>
          <w:tcPr>
            <w:tcW w:type="dxa" w:w="2200"/>
            <w:tcBorders>
              <w:top w:val="single" w:color="E5E7EB" w:sz="1"/>
              <w:left w:val="single" w:color="E5E7EB" w:sz="1"/>
              <w:bottom w:val="single" w:color="E5E7EB" w:sz="1"/>
              <w:right w:val="single" w:color="E5E7EB" w:sz="1"/>
            </w:tcBorders>
            <w:shd w:fill="F9FAFB" w:val="clear"/>
            <w:tcMar>
              <w:top w:type="dxa" w:w="120"/>
              <w:left w:type="dxa" w:w="160"/>
              <w:bottom w:type="dxa" w:w="120"/>
              <w:right w:type="dxa" w:w="160"/>
            </w:tcMar>
          </w:tcPr>
          <w:p>
            <w:pPr>
              <w:spacing w:after="0" w:before="0"/>
              <w:jc w:val="left"/>
            </w:pPr>
            <w:r>
              <w:rPr>
                <w:rFonts w:ascii="Arial" w:cs="Arial" w:eastAsia="Arial" w:hAnsi="Arial"/>
                <w:b w:val="false"/>
                <w:bCs w:val="false"/>
                <w:i w:val="false"/>
                <w:iCs w:val="false"/>
                <w:color w:val="6B7280"/>
                <w:sz w:val="18"/>
                <w:szCs w:val="18"/>
              </w:rPr>
              <w:t xml:space="preserve">Porter's Five Forces</w:t>
            </w:r>
          </w:p>
        </w:tc>
        <w:tc>
          <w:tcPr>
            <w:tcW w:type="dxa" w:w="4560"/>
            <w:tcBorders>
              <w:top w:val="single" w:color="E5E7EB" w:sz="1"/>
              <w:left w:val="single" w:color="E5E7EB" w:sz="1"/>
              <w:bottom w:val="single" w:color="E5E7EB" w:sz="1"/>
              <w:right w:val="single" w:color="E5E7EB" w:sz="1"/>
            </w:tcBorders>
            <w:shd w:fill="F9FAFB" w:val="clear"/>
            <w:tcMar>
              <w:top w:type="dxa" w:w="120"/>
              <w:left w:type="dxa" w:w="160"/>
              <w:bottom w:type="dxa" w:w="120"/>
              <w:right w:type="dxa" w:w="160"/>
            </w:tcMar>
          </w:tcPr>
          <w:p>
            <w:pPr>
              <w:spacing w:after="0" w:before="0"/>
              <w:jc w:val="left"/>
            </w:pPr>
            <w:r>
              <w:rPr>
                <w:rFonts w:ascii="Arial" w:cs="Arial" w:eastAsia="Arial" w:hAnsi="Arial"/>
                <w:b w:val="false"/>
                <w:bCs w:val="false"/>
                <w:i w:val="false"/>
                <w:iCs w:val="false"/>
                <w:color w:val="1E1B4B"/>
                <w:sz w:val="18"/>
                <w:szCs w:val="18"/>
              </w:rPr>
              <w:t xml:space="preserve">WhatsApp+UPI is the real competitor — and it's free</w:t>
            </w:r>
          </w:p>
        </w:tc>
      </w:tr>
      <w:tr>
        <w:tc>
          <w:tcPr>
            <w:tcW w:type="dxa" w:w="600"/>
            <w:tcBorders>
              <w:top w:val="single" w:color="E5E7EB" w:sz="1"/>
              <w:left w:val="single" w:color="E5E7EB" w:sz="1"/>
              <w:bottom w:val="single" w:color="E5E7EB" w:sz="1"/>
              <w:right w:val="single" w:color="E5E7EB" w:sz="1"/>
            </w:tcBorders>
            <w:shd w:fill="FFFFFF" w:val="clear"/>
            <w:tcMar>
              <w:top w:type="dxa" w:w="120"/>
              <w:left w:type="dxa" w:w="160"/>
              <w:bottom w:type="dxa" w:w="120"/>
              <w:right w:type="dxa" w:w="160"/>
            </w:tcMar>
          </w:tcPr>
          <w:p>
            <w:pPr>
              <w:spacing w:after="0" w:before="0"/>
              <w:jc w:val="center"/>
            </w:pPr>
            <w:r>
              <w:rPr>
                <w:rFonts w:ascii="Arial" w:cs="Arial" w:eastAsia="Arial" w:hAnsi="Arial"/>
                <w:b/>
                <w:bCs/>
                <w:i w:val="false"/>
                <w:iCs w:val="false"/>
                <w:color w:val="7C3AED"/>
                <w:sz w:val="22"/>
                <w:szCs w:val="22"/>
              </w:rPr>
              <w:t xml:space="preserve">05</w:t>
            </w:r>
          </w:p>
        </w:tc>
        <w:tc>
          <w:tcPr>
            <w:tcW w:type="dxa" w:w="2000"/>
            <w:tcBorders>
              <w:top w:val="single" w:color="E5E7EB" w:sz="1"/>
              <w:left w:val="single" w:color="E5E7EB" w:sz="1"/>
              <w:bottom w:val="single" w:color="E5E7EB" w:sz="1"/>
              <w:right w:val="single" w:color="E5E7EB" w:sz="1"/>
            </w:tcBorders>
            <w:shd w:fill="FFFFFF" w:val="clear"/>
            <w:tcMar>
              <w:top w:type="dxa" w:w="120"/>
              <w:left w:type="dxa" w:w="160"/>
              <w:bottom w:type="dxa" w:w="120"/>
              <w:right w:type="dxa" w:w="160"/>
            </w:tcMar>
          </w:tcPr>
          <w:p>
            <w:pPr>
              <w:spacing w:after="0" w:before="0"/>
              <w:jc w:val="left"/>
            </w:pPr>
            <w:r>
              <w:rPr>
                <w:rFonts w:ascii="Arial" w:cs="Arial" w:eastAsia="Arial" w:hAnsi="Arial"/>
                <w:b/>
                <w:bCs/>
                <w:i w:val="false"/>
                <w:iCs w:val="false"/>
                <w:color w:val="1E1B4B"/>
                <w:sz w:val="19"/>
                <w:szCs w:val="19"/>
              </w:rPr>
              <w:t xml:space="preserve">Potential Collaborations</w:t>
            </w:r>
          </w:p>
        </w:tc>
        <w:tc>
          <w:tcPr>
            <w:tcW w:type="dxa" w:w="2200"/>
            <w:tcBorders>
              <w:top w:val="single" w:color="E5E7EB" w:sz="1"/>
              <w:left w:val="single" w:color="E5E7EB" w:sz="1"/>
              <w:bottom w:val="single" w:color="E5E7EB" w:sz="1"/>
              <w:right w:val="single" w:color="E5E7EB" w:sz="1"/>
            </w:tcBorders>
            <w:shd w:fill="FFFFFF" w:val="clear"/>
            <w:tcMar>
              <w:top w:type="dxa" w:w="120"/>
              <w:left w:type="dxa" w:w="160"/>
              <w:bottom w:type="dxa" w:w="120"/>
              <w:right w:type="dxa" w:w="160"/>
            </w:tcMar>
          </w:tcPr>
          <w:p>
            <w:pPr>
              <w:spacing w:after="0" w:before="0"/>
              <w:jc w:val="left"/>
            </w:pPr>
            <w:r>
              <w:rPr>
                <w:rFonts w:ascii="Arial" w:cs="Arial" w:eastAsia="Arial" w:hAnsi="Arial"/>
                <w:b w:val="false"/>
                <w:bCs w:val="false"/>
                <w:i w:val="false"/>
                <w:iCs w:val="false"/>
                <w:color w:val="6B7280"/>
                <w:sz w:val="18"/>
                <w:szCs w:val="18"/>
              </w:rPr>
              <w:t xml:space="preserve">SWOT — Opportunities</w:t>
            </w:r>
          </w:p>
        </w:tc>
        <w:tc>
          <w:tcPr>
            <w:tcW w:type="dxa" w:w="4560"/>
            <w:tcBorders>
              <w:top w:val="single" w:color="E5E7EB" w:sz="1"/>
              <w:left w:val="single" w:color="E5E7EB" w:sz="1"/>
              <w:bottom w:val="single" w:color="E5E7EB" w:sz="1"/>
              <w:right w:val="single" w:color="E5E7EB" w:sz="1"/>
            </w:tcBorders>
            <w:shd w:fill="FFFFFF" w:val="clear"/>
            <w:tcMar>
              <w:top w:type="dxa" w:w="120"/>
              <w:left w:type="dxa" w:w="160"/>
              <w:bottom w:type="dxa" w:w="120"/>
              <w:right w:type="dxa" w:w="160"/>
            </w:tcMar>
          </w:tcPr>
          <w:p>
            <w:pPr>
              <w:spacing w:after="0" w:before="0"/>
              <w:jc w:val="left"/>
            </w:pPr>
            <w:r>
              <w:rPr>
                <w:rFonts w:ascii="Arial" w:cs="Arial" w:eastAsia="Arial" w:hAnsi="Arial"/>
                <w:b w:val="false"/>
                <w:bCs w:val="false"/>
                <w:i w:val="false"/>
                <w:iCs w:val="false"/>
                <w:color w:val="1E1B4B"/>
                <w:sz w:val="18"/>
                <w:szCs w:val="18"/>
              </w:rPr>
              <w:t xml:space="preserve">Colleges, corporates &amp; UPI partnerships sit untapped</w:t>
            </w:r>
          </w:p>
        </w:tc>
      </w:tr>
    </w:tbl>
    <w:p>
      <w:pPr>
        <w:spacing w:after="200" w:before="0"/>
        <w:jc w:val="left"/>
      </w:pPr>
      <w:r>
        <w:rPr>
          <w:rFonts w:ascii="Arial" w:cs="Arial" w:eastAsia="Arial" w:hAnsi="Arial"/>
          <w:b w:val="false"/>
          <w:bCs w:val="false"/>
          <w:i w:val="false"/>
          <w:iCs w:val="false"/>
          <w:color w:val="1E1B4B"/>
          <w:sz w:val="20"/>
          <w:szCs w:val="20"/>
        </w:rPr>
        <w:t xml:space="preserve"/>
      </w:r>
    </w:p>
    <w:p>
      <w:pPr>
        <w:pageBreakBefore/>
        <w:pBdr>
          <w:bottom w:val="single" w:color="7C3AED" w:sz="10" w:space="4"/>
        </w:pBdr>
        <w:spacing w:after="80" w:before="0"/>
        <w:jc w:val="left"/>
      </w:pPr>
      <w:r>
        <w:rPr>
          <w:rFonts w:ascii="Arial" w:cs="Arial" w:eastAsia="Arial" w:hAnsi="Arial"/>
          <w:b/>
          <w:bCs/>
          <w:i w:val="false"/>
          <w:iCs w:val="false"/>
          <w:color w:val="1E1B4B"/>
          <w:sz w:val="36"/>
          <w:szCs w:val="36"/>
        </w:rPr>
        <w:t xml:space="preserve">Business &amp; Product Overview</w:t>
      </w:r>
    </w:p>
    <w:p>
      <w:pPr>
        <w:spacing w:after="120" w:before="0"/>
        <w:jc w:val="left"/>
      </w:pPr>
      <w:r>
        <w:rPr>
          <w:rFonts w:ascii="Arial" w:cs="Arial" w:eastAsia="Arial" w:hAnsi="Arial"/>
          <w:b w:val="false"/>
          <w:bCs w:val="false"/>
          <w:i w:val="false"/>
          <w:iCs w:val="false"/>
          <w:color w:val="1E1B4B"/>
          <w:sz w:val="20"/>
          <w:szCs w:val="20"/>
        </w:rPr>
        <w:t xml:space="preserve"/>
      </w:r>
    </w:p>
    <w:p>
      <w:pPr>
        <w:spacing w:after="80" w:before="0"/>
        <w:jc w:val="left"/>
      </w:pPr>
      <w:r>
        <w:rPr>
          <w:rFonts w:ascii="Arial" w:cs="Arial" w:eastAsia="Arial" w:hAnsi="Arial"/>
          <w:b/>
          <w:bCs/>
          <w:i w:val="false"/>
          <w:iCs w:val="false"/>
          <w:color w:val="5B21B6"/>
          <w:sz w:val="26"/>
          <w:szCs w:val="26"/>
        </w:rPr>
        <w:t xml:space="preserve">What Subspace Does</w:t>
      </w:r>
    </w:p>
    <w:p>
      <w:pPr>
        <w:spacing w:after="120" w:before="0"/>
        <w:jc w:val="left"/>
      </w:pPr>
      <w:r>
        <w:rPr>
          <w:rFonts w:ascii="Arial" w:cs="Arial" w:eastAsia="Arial" w:hAnsi="Arial"/>
          <w:b w:val="false"/>
          <w:bCs w:val="false"/>
          <w:i w:val="false"/>
          <w:iCs w:val="false"/>
          <w:color w:val="1E1B4B"/>
          <w:sz w:val="20"/>
          <w:szCs w:val="20"/>
        </w:rPr>
        <w:t xml:space="preserve">Subspace operates as a three-sided marketplace connecting buyers, group owners, and vendors — built around saving money on digital subscriptions and purchases.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7C3AED" w:sz="2"/>
              <w:left w:val="single" w:color="7C3AED" w:sz="2"/>
              <w:bottom w:val="single" w:color="7C3AED" w:sz="2"/>
              <w:right w:val="single" w:color="7C3AED" w:sz="2"/>
            </w:tcBorders>
            <w:shd w:fill="F5F3FF" w:val="clear"/>
            <w:tcMar>
              <w:top w:type="dxa" w:w="160"/>
              <w:left w:type="dxa" w:w="160"/>
              <w:bottom w:type="dxa" w:w="160"/>
              <w:right w:type="dxa" w:w="160"/>
            </w:tcMar>
          </w:tcPr>
          <w:p>
            <w:pPr>
              <w:spacing w:after="0" w:before="0"/>
              <w:jc w:val="center"/>
            </w:pPr>
            <w:r>
              <w:rPr>
                <w:rFonts w:ascii="Arial" w:cs="Arial" w:eastAsia="Arial" w:hAnsi="Arial"/>
                <w:b w:val="false"/>
                <w:bCs w:val="false"/>
                <w:i w:val="false"/>
                <w:iCs w:val="false"/>
                <w:color w:val="1E1B4B"/>
                <w:sz w:val="28"/>
                <w:szCs w:val="28"/>
              </w:rPr>
              <w:t xml:space="preserve">🎬</w:t>
            </w:r>
          </w:p>
          <w:p>
            <w:pPr>
              <w:spacing w:after="60" w:before="0"/>
              <w:jc w:val="center"/>
            </w:pPr>
            <w:r>
              <w:rPr>
                <w:rFonts w:ascii="Arial" w:cs="Arial" w:eastAsia="Arial" w:hAnsi="Arial"/>
                <w:b/>
                <w:bCs/>
                <w:i w:val="false"/>
                <w:iCs w:val="false"/>
                <w:color w:val="5B21B6"/>
                <w:sz w:val="19"/>
                <w:szCs w:val="19"/>
              </w:rPr>
              <w:t xml:space="preserve">Shared Subscriptions</w:t>
            </w:r>
          </w:p>
          <w:p>
            <w:pPr>
              <w:spacing w:after="0" w:before="0"/>
              <w:jc w:val="center"/>
            </w:pPr>
            <w:r>
              <w:rPr>
                <w:rFonts w:ascii="Arial" w:cs="Arial" w:eastAsia="Arial" w:hAnsi="Arial"/>
                <w:b w:val="false"/>
                <w:bCs w:val="false"/>
                <w:i w:val="false"/>
                <w:iCs w:val="false"/>
                <w:color w:val="6B7280"/>
                <w:sz w:val="17"/>
                <w:szCs w:val="17"/>
              </w:rPr>
              <w:t xml:space="preserve">Join groups to split cost of Netflix, JioHotstar, Spotify etc.</w:t>
            </w:r>
          </w:p>
        </w:tc>
        <w:tc>
          <w:tcPr>
            <w:tcW w:type="dxa" w:w="2340"/>
            <w:tcBorders>
              <w:top w:val="single" w:color="7C3AED" w:sz="2"/>
              <w:left w:val="single" w:color="7C3AED" w:sz="2"/>
              <w:bottom w:val="single" w:color="7C3AED" w:sz="2"/>
              <w:right w:val="single" w:color="7C3AED" w:sz="2"/>
            </w:tcBorders>
            <w:shd w:fill="F5F3FF" w:val="clear"/>
            <w:tcMar>
              <w:top w:type="dxa" w:w="160"/>
              <w:left w:type="dxa" w:w="160"/>
              <w:bottom w:type="dxa" w:w="160"/>
              <w:right w:type="dxa" w:w="160"/>
            </w:tcMar>
          </w:tcPr>
          <w:p>
            <w:pPr>
              <w:spacing w:after="0" w:before="0"/>
              <w:jc w:val="center"/>
            </w:pPr>
            <w:r>
              <w:rPr>
                <w:rFonts w:ascii="Arial" w:cs="Arial" w:eastAsia="Arial" w:hAnsi="Arial"/>
                <w:b w:val="false"/>
                <w:bCs w:val="false"/>
                <w:i w:val="false"/>
                <w:iCs w:val="false"/>
                <w:color w:val="1E1B4B"/>
                <w:sz w:val="28"/>
                <w:szCs w:val="28"/>
              </w:rPr>
              <w:t xml:space="preserve">🎁</w:t>
            </w:r>
          </w:p>
          <w:p>
            <w:pPr>
              <w:spacing w:after="60" w:before="0"/>
              <w:jc w:val="center"/>
            </w:pPr>
            <w:r>
              <w:rPr>
                <w:rFonts w:ascii="Arial" w:cs="Arial" w:eastAsia="Arial" w:hAnsi="Arial"/>
                <w:b/>
                <w:bCs/>
                <w:i w:val="false"/>
                <w:iCs w:val="false"/>
                <w:color w:val="5B21B6"/>
                <w:sz w:val="19"/>
                <w:szCs w:val="19"/>
              </w:rPr>
              <w:t xml:space="preserve">Gift Card Marketplace</w:t>
            </w:r>
          </w:p>
          <w:p>
            <w:pPr>
              <w:spacing w:after="0" w:before="0"/>
              <w:jc w:val="center"/>
            </w:pPr>
            <w:r>
              <w:rPr>
                <w:rFonts w:ascii="Arial" w:cs="Arial" w:eastAsia="Arial" w:hAnsi="Arial"/>
                <w:b w:val="false"/>
                <w:bCs w:val="false"/>
                <w:i w:val="false"/>
                <w:iCs w:val="false"/>
                <w:color w:val="6B7280"/>
                <w:sz w:val="17"/>
                <w:szCs w:val="17"/>
              </w:rPr>
              <w:t xml:space="preserve">Discounted gift cards from 80+ brands — Food, Travel, Shopping</w:t>
            </w:r>
          </w:p>
        </w:tc>
        <w:tc>
          <w:tcPr>
            <w:tcW w:type="dxa" w:w="2340"/>
            <w:tcBorders>
              <w:top w:val="single" w:color="7C3AED" w:sz="2"/>
              <w:left w:val="single" w:color="7C3AED" w:sz="2"/>
              <w:bottom w:val="single" w:color="7C3AED" w:sz="2"/>
              <w:right w:val="single" w:color="7C3AED" w:sz="2"/>
            </w:tcBorders>
            <w:shd w:fill="F5F3FF" w:val="clear"/>
            <w:tcMar>
              <w:top w:type="dxa" w:w="160"/>
              <w:left w:type="dxa" w:w="160"/>
              <w:bottom w:type="dxa" w:w="160"/>
              <w:right w:type="dxa" w:w="160"/>
            </w:tcMar>
          </w:tcPr>
          <w:p>
            <w:pPr>
              <w:spacing w:after="0" w:before="0"/>
              <w:jc w:val="center"/>
            </w:pPr>
            <w:r>
              <w:rPr>
                <w:rFonts w:ascii="Arial" w:cs="Arial" w:eastAsia="Arial" w:hAnsi="Arial"/>
                <w:b w:val="false"/>
                <w:bCs w:val="false"/>
                <w:i w:val="false"/>
                <w:iCs w:val="false"/>
                <w:color w:val="1E1B4B"/>
                <w:sz w:val="28"/>
                <w:szCs w:val="28"/>
              </w:rPr>
              <w:t xml:space="preserve">📦</w:t>
            </w:r>
          </w:p>
          <w:p>
            <w:pPr>
              <w:spacing w:after="60" w:before="0"/>
              <w:jc w:val="center"/>
            </w:pPr>
            <w:r>
              <w:rPr>
                <w:rFonts w:ascii="Arial" w:cs="Arial" w:eastAsia="Arial" w:hAnsi="Arial"/>
                <w:b/>
                <w:bCs/>
                <w:i w:val="false"/>
                <w:iCs w:val="false"/>
                <w:color w:val="5B21B6"/>
                <w:sz w:val="19"/>
                <w:szCs w:val="19"/>
              </w:rPr>
              <w:t xml:space="preserve">Subspace Minutes</w:t>
            </w:r>
          </w:p>
          <w:p>
            <w:pPr>
              <w:spacing w:after="0" w:before="0"/>
              <w:jc w:val="center"/>
            </w:pPr>
            <w:r>
              <w:rPr>
                <w:rFonts w:ascii="Arial" w:cs="Arial" w:eastAsia="Arial" w:hAnsi="Arial"/>
                <w:b w:val="false"/>
                <w:bCs w:val="false"/>
                <w:i w:val="false"/>
                <w:iCs w:val="false"/>
                <w:color w:val="6B7280"/>
                <w:sz w:val="17"/>
                <w:szCs w:val="17"/>
              </w:rPr>
              <w:t xml:space="preserve">Rental marketplace for gadgets, gear, gaming equipment</w:t>
            </w:r>
          </w:p>
        </w:tc>
        <w:tc>
          <w:tcPr>
            <w:tcW w:type="dxa" w:w="2340"/>
            <w:tcBorders>
              <w:top w:val="single" w:color="7C3AED" w:sz="2"/>
              <w:left w:val="single" w:color="7C3AED" w:sz="2"/>
              <w:bottom w:val="single" w:color="7C3AED" w:sz="2"/>
              <w:right w:val="single" w:color="7C3AED" w:sz="2"/>
            </w:tcBorders>
            <w:shd w:fill="F5F3FF" w:val="clear"/>
            <w:tcMar>
              <w:top w:type="dxa" w:w="160"/>
              <w:left w:type="dxa" w:w="160"/>
              <w:bottom w:type="dxa" w:w="160"/>
              <w:right w:type="dxa" w:w="160"/>
            </w:tcMar>
          </w:tcPr>
          <w:p>
            <w:pPr>
              <w:spacing w:after="0" w:before="0"/>
              <w:jc w:val="center"/>
            </w:pPr>
            <w:r>
              <w:rPr>
                <w:rFonts w:ascii="Arial" w:cs="Arial" w:eastAsia="Arial" w:hAnsi="Arial"/>
                <w:b w:val="false"/>
                <w:bCs w:val="false"/>
                <w:i w:val="false"/>
                <w:iCs w:val="false"/>
                <w:color w:val="1E1B4B"/>
                <w:sz w:val="28"/>
                <w:szCs w:val="28"/>
              </w:rPr>
              <w:t xml:space="preserve">🏪</w:t>
            </w:r>
          </w:p>
          <w:p>
            <w:pPr>
              <w:spacing w:after="60" w:before="0"/>
              <w:jc w:val="center"/>
            </w:pPr>
            <w:r>
              <w:rPr>
                <w:rFonts w:ascii="Arial" w:cs="Arial" w:eastAsia="Arial" w:hAnsi="Arial"/>
                <w:b/>
                <w:bCs/>
                <w:i w:val="false"/>
                <w:iCs w:val="false"/>
                <w:color w:val="5B21B6"/>
                <w:sz w:val="19"/>
                <w:szCs w:val="19"/>
              </w:rPr>
              <w:t xml:space="preserve">Vendor Marketplace</w:t>
            </w:r>
          </w:p>
          <w:p>
            <w:pPr>
              <w:spacing w:after="0" w:before="0"/>
              <w:jc w:val="center"/>
            </w:pPr>
            <w:r>
              <w:rPr>
                <w:rFonts w:ascii="Arial" w:cs="Arial" w:eastAsia="Arial" w:hAnsi="Arial"/>
                <w:b w:val="false"/>
                <w:bCs w:val="false"/>
                <w:i w:val="false"/>
                <w:iCs w:val="false"/>
                <w:color w:val="6B7280"/>
                <w:sz w:val="17"/>
                <w:szCs w:val="17"/>
              </w:rPr>
              <w:t xml:space="preserve">List digital products — Subspace adds 15% margin on top</w:t>
            </w:r>
          </w:p>
        </w:tc>
      </w:tr>
    </w:tbl>
    <w:p>
      <w:pPr>
        <w:spacing w:after="160" w:before="0"/>
        <w:jc w:val="left"/>
      </w:pPr>
      <w:r>
        <w:rPr>
          <w:rFonts w:ascii="Arial" w:cs="Arial" w:eastAsia="Arial" w:hAnsi="Arial"/>
          <w:b w:val="false"/>
          <w:bCs w:val="false"/>
          <w:i w:val="false"/>
          <w:iCs w:val="false"/>
          <w:color w:val="1E1B4B"/>
          <w:sz w:val="20"/>
          <w:szCs w:val="20"/>
        </w:rPr>
        <w:t xml:space="preserve"/>
      </w:r>
    </w:p>
    <w:p>
      <w:pPr>
        <w:spacing w:after="80" w:before="0"/>
        <w:jc w:val="left"/>
      </w:pPr>
      <w:r>
        <w:rPr>
          <w:rFonts w:ascii="Arial" w:cs="Arial" w:eastAsia="Arial" w:hAnsi="Arial"/>
          <w:b/>
          <w:bCs/>
          <w:i w:val="false"/>
          <w:iCs w:val="false"/>
          <w:color w:val="5B21B6"/>
          <w:sz w:val="26"/>
          <w:szCs w:val="26"/>
        </w:rPr>
        <w:t xml:space="preserve">Revenue Streams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80"/>
        <w:gridCol w:w="3680"/>
      </w:tblGrid>
      <w:tr>
        <w:tc>
          <w:tcPr>
            <w:tcW w:type="dxa" w:w="2200"/>
            <w:tcBorders>
              <w:top w:val="none" w:color="FFFFFF" w:sz="0"/>
              <w:left w:val="none" w:color="FFFFFF" w:sz="0"/>
              <w:bottom w:val="none" w:color="FFFFFF" w:sz="0"/>
              <w:right w:val="none" w:color="FFFFFF" w:sz="0"/>
            </w:tcBorders>
            <w:shd w:fill="7C3AED" w:val="clear"/>
            <w:tcMar>
              <w:top w:type="dxa" w:w="120"/>
              <w:left w:type="dxa" w:w="160"/>
              <w:bottom w:type="dxa" w:w="120"/>
              <w:right w:type="dxa" w:w="160"/>
            </w:tcMar>
          </w:tcPr>
          <w:p>
            <w:pPr>
              <w:spacing w:after="0" w:before="0"/>
              <w:jc w:val="left"/>
            </w:pPr>
            <w:r>
              <w:rPr>
                <w:rFonts w:ascii="Arial" w:cs="Arial" w:eastAsia="Arial" w:hAnsi="Arial"/>
                <w:b/>
                <w:bCs/>
                <w:i w:val="false"/>
                <w:iCs w:val="false"/>
                <w:color w:val="FFFFFF"/>
                <w:sz w:val="16"/>
                <w:szCs w:val="16"/>
              </w:rPr>
              <w:t xml:space="preserve">STREAM</w:t>
            </w:r>
          </w:p>
        </w:tc>
        <w:tc>
          <w:tcPr>
            <w:tcW w:type="dxa" w:w="3480"/>
            <w:tcBorders>
              <w:top w:val="none" w:color="FFFFFF" w:sz="0"/>
              <w:left w:val="none" w:color="FFFFFF" w:sz="0"/>
              <w:bottom w:val="none" w:color="FFFFFF" w:sz="0"/>
              <w:right w:val="none" w:color="FFFFFF" w:sz="0"/>
            </w:tcBorders>
            <w:shd w:fill="7C3AED" w:val="clear"/>
            <w:tcMar>
              <w:top w:type="dxa" w:w="120"/>
              <w:left w:type="dxa" w:w="160"/>
              <w:bottom w:type="dxa" w:w="120"/>
              <w:right w:type="dxa" w:w="160"/>
            </w:tcMar>
          </w:tcPr>
          <w:p>
            <w:pPr>
              <w:spacing w:after="0" w:before="0"/>
              <w:jc w:val="left"/>
            </w:pPr>
            <w:r>
              <w:rPr>
                <w:rFonts w:ascii="Arial" w:cs="Arial" w:eastAsia="Arial" w:hAnsi="Arial"/>
                <w:b/>
                <w:bCs/>
                <w:i w:val="false"/>
                <w:iCs w:val="false"/>
                <w:color w:val="FFFFFF"/>
                <w:sz w:val="16"/>
                <w:szCs w:val="16"/>
              </w:rPr>
              <w:t xml:space="preserve">HOW IT WORKS</w:t>
            </w:r>
          </w:p>
        </w:tc>
        <w:tc>
          <w:tcPr>
            <w:tcW w:type="dxa" w:w="3680"/>
            <w:tcBorders>
              <w:top w:val="none" w:color="FFFFFF" w:sz="0"/>
              <w:left w:val="none" w:color="FFFFFF" w:sz="0"/>
              <w:bottom w:val="none" w:color="FFFFFF" w:sz="0"/>
              <w:right w:val="none" w:color="FFFFFF" w:sz="0"/>
            </w:tcBorders>
            <w:shd w:fill="7C3AED" w:val="clear"/>
            <w:tcMar>
              <w:top w:type="dxa" w:w="120"/>
              <w:left w:type="dxa" w:w="160"/>
              <w:bottom w:type="dxa" w:w="120"/>
              <w:right w:type="dxa" w:w="160"/>
            </w:tcMar>
          </w:tcPr>
          <w:p>
            <w:pPr>
              <w:spacing w:after="0" w:before="0"/>
              <w:jc w:val="left"/>
            </w:pPr>
            <w:r>
              <w:rPr>
                <w:rFonts w:ascii="Arial" w:cs="Arial" w:eastAsia="Arial" w:hAnsi="Arial"/>
                <w:b/>
                <w:bCs/>
                <w:i w:val="false"/>
                <w:iCs w:val="false"/>
                <w:color w:val="FFFFFF"/>
                <w:sz w:val="16"/>
                <w:szCs w:val="16"/>
              </w:rPr>
              <w:t xml:space="preserve">EXAMPLE</w:t>
            </w:r>
          </w:p>
        </w:tc>
      </w:tr>
      <w:tr>
        <w:tc>
          <w:tcPr>
            <w:tcW w:type="dxa" w:w="2200"/>
            <w:tcBorders>
              <w:top w:val="single" w:color="E5E7EB" w:sz="1"/>
              <w:left w:val="single" w:color="E5E7EB" w:sz="1"/>
              <w:bottom w:val="single" w:color="E5E7EB" w:sz="1"/>
              <w:right w:val="single" w:color="E5E7EB" w:sz="1"/>
            </w:tcBorders>
            <w:shd w:fill="FFFFFF" w:val="clear"/>
            <w:tcMar>
              <w:top w:type="dxa" w:w="120"/>
              <w:left w:type="dxa" w:w="160"/>
              <w:bottom w:type="dxa" w:w="120"/>
              <w:right w:type="dxa" w:w="160"/>
            </w:tcMar>
          </w:tcPr>
          <w:p>
            <w:pPr>
              <w:spacing w:after="0" w:before="0"/>
              <w:jc w:val="left"/>
            </w:pPr>
            <w:r>
              <w:rPr>
                <w:rFonts w:ascii="Arial" w:cs="Arial" w:eastAsia="Arial" w:hAnsi="Arial"/>
                <w:b/>
                <w:bCs/>
                <w:i w:val="false"/>
                <w:iCs w:val="false"/>
                <w:color w:val="5B21B6"/>
                <w:sz w:val="19"/>
                <w:szCs w:val="19"/>
              </w:rPr>
              <w:t xml:space="preserve">Gift Card Arbitrage</w:t>
            </w:r>
          </w:p>
        </w:tc>
        <w:tc>
          <w:tcPr>
            <w:tcW w:type="dxa" w:w="3480"/>
            <w:tcBorders>
              <w:top w:val="single" w:color="E5E7EB" w:sz="1"/>
              <w:left w:val="single" w:color="E5E7EB" w:sz="1"/>
              <w:bottom w:val="single" w:color="E5E7EB" w:sz="1"/>
              <w:right w:val="single" w:color="E5E7EB" w:sz="1"/>
            </w:tcBorders>
            <w:shd w:fill="FFFFFF" w:val="clear"/>
            <w:tcMar>
              <w:top w:type="dxa" w:w="120"/>
              <w:left w:type="dxa" w:w="160"/>
              <w:bottom w:type="dxa" w:w="120"/>
              <w:right w:type="dxa" w:w="160"/>
            </w:tcMar>
          </w:tcPr>
          <w:p>
            <w:pPr>
              <w:spacing w:after="0" w:before="0"/>
              <w:jc w:val="left"/>
            </w:pPr>
            <w:r>
              <w:rPr>
                <w:rFonts w:ascii="Arial" w:cs="Arial" w:eastAsia="Arial" w:hAnsi="Arial"/>
                <w:b w:val="false"/>
                <w:bCs w:val="false"/>
                <w:i w:val="false"/>
                <w:iCs w:val="false"/>
                <w:color w:val="1E1B4B"/>
                <w:sz w:val="18"/>
                <w:szCs w:val="18"/>
              </w:rPr>
              <w:t xml:space="preserve">Buy in bulk at wholesale, sell at discounted retail — margin is profit</w:t>
            </w:r>
          </w:p>
        </w:tc>
        <w:tc>
          <w:tcPr>
            <w:tcW w:type="dxa" w:w="3680"/>
            <w:tcBorders>
              <w:top w:val="single" w:color="E5E7EB" w:sz="1"/>
              <w:left w:val="single" w:color="E5E7EB" w:sz="1"/>
              <w:bottom w:val="single" w:color="E5E7EB" w:sz="1"/>
              <w:right w:val="single" w:color="E5E7EB" w:sz="1"/>
            </w:tcBorders>
            <w:shd w:fill="FFFFFF" w:val="clear"/>
            <w:tcMar>
              <w:top w:type="dxa" w:w="120"/>
              <w:left w:type="dxa" w:w="160"/>
              <w:bottom w:type="dxa" w:w="120"/>
              <w:right w:type="dxa" w:w="160"/>
            </w:tcMar>
          </w:tcPr>
          <w:p>
            <w:pPr>
              <w:spacing w:after="0" w:before="0"/>
              <w:jc w:val="left"/>
            </w:pPr>
            <w:r>
              <w:rPr>
                <w:rFonts w:ascii="Arial" w:cs="Arial" w:eastAsia="Arial" w:hAnsi="Arial"/>
                <w:b w:val="false"/>
                <w:bCs w:val="false"/>
                <w:i w:val="false"/>
                <w:iCs w:val="false"/>
                <w:color w:val="6B7280"/>
                <w:sz w:val="18"/>
                <w:szCs w:val="18"/>
              </w:rPr>
              <w:t xml:space="preserve">Amazon Fresh ₹250 card sold at ₹246.25</w:t>
            </w:r>
          </w:p>
        </w:tc>
      </w:tr>
      <w:tr>
        <w:tc>
          <w:tcPr>
            <w:tcW w:type="dxa" w:w="2200"/>
            <w:tcBorders>
              <w:top w:val="single" w:color="E5E7EB" w:sz="1"/>
              <w:left w:val="single" w:color="E5E7EB" w:sz="1"/>
              <w:bottom w:val="single" w:color="E5E7EB" w:sz="1"/>
              <w:right w:val="single" w:color="E5E7EB" w:sz="1"/>
            </w:tcBorders>
            <w:shd w:fill="F9FAFB" w:val="clear"/>
            <w:tcMar>
              <w:top w:type="dxa" w:w="120"/>
              <w:left w:type="dxa" w:w="160"/>
              <w:bottom w:type="dxa" w:w="120"/>
              <w:right w:type="dxa" w:w="160"/>
            </w:tcMar>
          </w:tcPr>
          <w:p>
            <w:pPr>
              <w:spacing w:after="0" w:before="0"/>
              <w:jc w:val="left"/>
            </w:pPr>
            <w:r>
              <w:rPr>
                <w:rFonts w:ascii="Arial" w:cs="Arial" w:eastAsia="Arial" w:hAnsi="Arial"/>
                <w:b/>
                <w:bCs/>
                <w:i w:val="false"/>
                <w:iCs w:val="false"/>
                <w:color w:val="5B21B6"/>
                <w:sz w:val="19"/>
                <w:szCs w:val="19"/>
              </w:rPr>
              <w:t xml:space="preserve">Group Buy Commission</w:t>
            </w:r>
          </w:p>
        </w:tc>
        <w:tc>
          <w:tcPr>
            <w:tcW w:type="dxa" w:w="3480"/>
            <w:tcBorders>
              <w:top w:val="single" w:color="E5E7EB" w:sz="1"/>
              <w:left w:val="single" w:color="E5E7EB" w:sz="1"/>
              <w:bottom w:val="single" w:color="E5E7EB" w:sz="1"/>
              <w:right w:val="single" w:color="E5E7EB" w:sz="1"/>
            </w:tcBorders>
            <w:shd w:fill="F9FAFB" w:val="clear"/>
            <w:tcMar>
              <w:top w:type="dxa" w:w="120"/>
              <w:left w:type="dxa" w:w="160"/>
              <w:bottom w:type="dxa" w:w="120"/>
              <w:right w:type="dxa" w:w="160"/>
            </w:tcMar>
          </w:tcPr>
          <w:p>
            <w:pPr>
              <w:spacing w:after="0" w:before="0"/>
              <w:jc w:val="left"/>
            </w:pPr>
            <w:r>
              <w:rPr>
                <w:rFonts w:ascii="Arial" w:cs="Arial" w:eastAsia="Arial" w:hAnsi="Arial"/>
                <w:b w:val="false"/>
                <w:bCs w:val="false"/>
                <w:i w:val="false"/>
                <w:iCs w:val="false"/>
                <w:color w:val="1E1B4B"/>
                <w:sz w:val="18"/>
                <w:szCs w:val="18"/>
              </w:rPr>
              <w:t xml:space="preserve">Small % added on top of subscription price at checkout</w:t>
            </w:r>
          </w:p>
        </w:tc>
        <w:tc>
          <w:tcPr>
            <w:tcW w:type="dxa" w:w="3680"/>
            <w:tcBorders>
              <w:top w:val="single" w:color="E5E7EB" w:sz="1"/>
              <w:left w:val="single" w:color="E5E7EB" w:sz="1"/>
              <w:bottom w:val="single" w:color="E5E7EB" w:sz="1"/>
              <w:right w:val="single" w:color="E5E7EB" w:sz="1"/>
            </w:tcBorders>
            <w:shd w:fill="F9FAFB" w:val="clear"/>
            <w:tcMar>
              <w:top w:type="dxa" w:w="120"/>
              <w:left w:type="dxa" w:w="160"/>
              <w:bottom w:type="dxa" w:w="120"/>
              <w:right w:type="dxa" w:w="160"/>
            </w:tcMar>
          </w:tcPr>
          <w:p>
            <w:pPr>
              <w:spacing w:after="0" w:before="0"/>
              <w:jc w:val="left"/>
            </w:pPr>
            <w:r>
              <w:rPr>
                <w:rFonts w:ascii="Arial" w:cs="Arial" w:eastAsia="Arial" w:hAnsi="Arial"/>
                <w:b w:val="false"/>
                <w:bCs w:val="false"/>
                <w:i w:val="false"/>
                <w:iCs w:val="false"/>
                <w:color w:val="6B7280"/>
                <w:sz w:val="18"/>
                <w:szCs w:val="18"/>
              </w:rPr>
              <w:t xml:space="preserve">₹99 plan charged at ₹103.95 (~5%)</w:t>
            </w:r>
          </w:p>
        </w:tc>
      </w:tr>
      <w:tr>
        <w:tc>
          <w:tcPr>
            <w:tcW w:type="dxa" w:w="2200"/>
            <w:tcBorders>
              <w:top w:val="single" w:color="E5E7EB" w:sz="1"/>
              <w:left w:val="single" w:color="E5E7EB" w:sz="1"/>
              <w:bottom w:val="single" w:color="E5E7EB" w:sz="1"/>
              <w:right w:val="single" w:color="E5E7EB" w:sz="1"/>
            </w:tcBorders>
            <w:shd w:fill="FFFFFF" w:val="clear"/>
            <w:tcMar>
              <w:top w:type="dxa" w:w="120"/>
              <w:left w:type="dxa" w:w="160"/>
              <w:bottom w:type="dxa" w:w="120"/>
              <w:right w:type="dxa" w:w="160"/>
            </w:tcMar>
          </w:tcPr>
          <w:p>
            <w:pPr>
              <w:spacing w:after="0" w:before="0"/>
              <w:jc w:val="left"/>
            </w:pPr>
            <w:r>
              <w:rPr>
                <w:rFonts w:ascii="Arial" w:cs="Arial" w:eastAsia="Arial" w:hAnsi="Arial"/>
                <w:b/>
                <w:bCs/>
                <w:i w:val="false"/>
                <w:iCs w:val="false"/>
                <w:color w:val="5B21B6"/>
                <w:sz w:val="19"/>
                <w:szCs w:val="19"/>
              </w:rPr>
              <w:t xml:space="preserve">Vendor Marketplace Fee</w:t>
            </w:r>
          </w:p>
        </w:tc>
        <w:tc>
          <w:tcPr>
            <w:tcW w:type="dxa" w:w="3480"/>
            <w:tcBorders>
              <w:top w:val="single" w:color="E5E7EB" w:sz="1"/>
              <w:left w:val="single" w:color="E5E7EB" w:sz="1"/>
              <w:bottom w:val="single" w:color="E5E7EB" w:sz="1"/>
              <w:right w:val="single" w:color="E5E7EB" w:sz="1"/>
            </w:tcBorders>
            <w:shd w:fill="FFFFFF" w:val="clear"/>
            <w:tcMar>
              <w:top w:type="dxa" w:w="120"/>
              <w:left w:type="dxa" w:w="160"/>
              <w:bottom w:type="dxa" w:w="120"/>
              <w:right w:type="dxa" w:w="160"/>
            </w:tcMar>
          </w:tcPr>
          <w:p>
            <w:pPr>
              <w:spacing w:after="0" w:before="0"/>
              <w:jc w:val="left"/>
            </w:pPr>
            <w:r>
              <w:rPr>
                <w:rFonts w:ascii="Arial" w:cs="Arial" w:eastAsia="Arial" w:hAnsi="Arial"/>
                <w:b w:val="false"/>
                <w:bCs w:val="false"/>
                <w:i w:val="false"/>
                <w:iCs w:val="false"/>
                <w:color w:val="1E1B4B"/>
                <w:sz w:val="18"/>
                <w:szCs w:val="18"/>
              </w:rPr>
              <w:t xml:space="preserve">15% added on top of seller price — paid by buyer, not seller</w:t>
            </w:r>
          </w:p>
        </w:tc>
        <w:tc>
          <w:tcPr>
            <w:tcW w:type="dxa" w:w="3680"/>
            <w:tcBorders>
              <w:top w:val="single" w:color="E5E7EB" w:sz="1"/>
              <w:left w:val="single" w:color="E5E7EB" w:sz="1"/>
              <w:bottom w:val="single" w:color="E5E7EB" w:sz="1"/>
              <w:right w:val="single" w:color="E5E7EB" w:sz="1"/>
            </w:tcBorders>
            <w:shd w:fill="FFFFFF" w:val="clear"/>
            <w:tcMar>
              <w:top w:type="dxa" w:w="120"/>
              <w:left w:type="dxa" w:w="160"/>
              <w:bottom w:type="dxa" w:w="120"/>
              <w:right w:type="dxa" w:w="160"/>
            </w:tcMar>
          </w:tcPr>
          <w:p>
            <w:pPr>
              <w:spacing w:after="0" w:before="0"/>
              <w:jc w:val="left"/>
            </w:pPr>
            <w:r>
              <w:rPr>
                <w:rFonts w:ascii="Arial" w:cs="Arial" w:eastAsia="Arial" w:hAnsi="Arial"/>
                <w:b w:val="false"/>
                <w:bCs w:val="false"/>
                <w:i w:val="false"/>
                <w:iCs w:val="false"/>
                <w:color w:val="6B7280"/>
                <w:sz w:val="18"/>
                <w:szCs w:val="18"/>
              </w:rPr>
              <w:t xml:space="preserve">Seller lists at ₹10,000 → buyer pays ₹11,500</w:t>
            </w:r>
          </w:p>
        </w:tc>
      </w:tr>
      <w:tr>
        <w:tc>
          <w:tcPr>
            <w:tcW w:type="dxa" w:w="2200"/>
            <w:tcBorders>
              <w:top w:val="single" w:color="E5E7EB" w:sz="1"/>
              <w:left w:val="single" w:color="E5E7EB" w:sz="1"/>
              <w:bottom w:val="single" w:color="E5E7EB" w:sz="1"/>
              <w:right w:val="single" w:color="E5E7EB" w:sz="1"/>
            </w:tcBorders>
            <w:shd w:fill="F9FAFB" w:val="clear"/>
            <w:tcMar>
              <w:top w:type="dxa" w:w="120"/>
              <w:left w:type="dxa" w:w="160"/>
              <w:bottom w:type="dxa" w:w="120"/>
              <w:right w:type="dxa" w:w="160"/>
            </w:tcMar>
          </w:tcPr>
          <w:p>
            <w:pPr>
              <w:spacing w:after="0" w:before="0"/>
              <w:jc w:val="left"/>
            </w:pPr>
            <w:r>
              <w:rPr>
                <w:rFonts w:ascii="Arial" w:cs="Arial" w:eastAsia="Arial" w:hAnsi="Arial"/>
                <w:b/>
                <w:bCs/>
                <w:i w:val="false"/>
                <w:iCs w:val="false"/>
                <w:color w:val="5B21B6"/>
                <w:sz w:val="19"/>
                <w:szCs w:val="19"/>
              </w:rPr>
              <w:t xml:space="preserve">Vendor Visibility Auction</w:t>
            </w:r>
          </w:p>
        </w:tc>
        <w:tc>
          <w:tcPr>
            <w:tcW w:type="dxa" w:w="3480"/>
            <w:tcBorders>
              <w:top w:val="single" w:color="E5E7EB" w:sz="1"/>
              <w:left w:val="single" w:color="E5E7EB" w:sz="1"/>
              <w:bottom w:val="single" w:color="E5E7EB" w:sz="1"/>
              <w:right w:val="single" w:color="E5E7EB" w:sz="1"/>
            </w:tcBorders>
            <w:shd w:fill="F9FAFB" w:val="clear"/>
            <w:tcMar>
              <w:top w:type="dxa" w:w="120"/>
              <w:left w:type="dxa" w:w="160"/>
              <w:bottom w:type="dxa" w:w="120"/>
              <w:right w:type="dxa" w:w="160"/>
            </w:tcMar>
          </w:tcPr>
          <w:p>
            <w:pPr>
              <w:spacing w:after="0" w:before="0"/>
              <w:jc w:val="left"/>
            </w:pPr>
            <w:r>
              <w:rPr>
                <w:rFonts w:ascii="Arial" w:cs="Arial" w:eastAsia="Arial" w:hAnsi="Arial"/>
                <w:b w:val="false"/>
                <w:bCs w:val="false"/>
                <w:i w:val="false"/>
                <w:iCs w:val="false"/>
                <w:color w:val="1E1B4B"/>
                <w:sz w:val="18"/>
                <w:szCs w:val="18"/>
              </w:rPr>
              <w:t xml:space="preserve">Sellers bid real money for Top 6 featured spots — 7 days visibility</w:t>
            </w:r>
          </w:p>
        </w:tc>
        <w:tc>
          <w:tcPr>
            <w:tcW w:type="dxa" w:w="3680"/>
            <w:tcBorders>
              <w:top w:val="single" w:color="E5E7EB" w:sz="1"/>
              <w:left w:val="single" w:color="E5E7EB" w:sz="1"/>
              <w:bottom w:val="single" w:color="E5E7EB" w:sz="1"/>
              <w:right w:val="single" w:color="E5E7EB" w:sz="1"/>
            </w:tcBorders>
            <w:shd w:fill="F9FAFB" w:val="clear"/>
            <w:tcMar>
              <w:top w:type="dxa" w:w="120"/>
              <w:left w:type="dxa" w:w="160"/>
              <w:bottom w:type="dxa" w:w="120"/>
              <w:right w:type="dxa" w:w="160"/>
            </w:tcMar>
          </w:tcPr>
          <w:p>
            <w:pPr>
              <w:spacing w:after="0" w:before="0"/>
              <w:jc w:val="left"/>
            </w:pPr>
            <w:r>
              <w:rPr>
                <w:rFonts w:ascii="Arial" w:cs="Arial" w:eastAsia="Arial" w:hAnsi="Arial"/>
                <w:b w:val="false"/>
                <w:bCs w:val="false"/>
                <w:i w:val="false"/>
                <w:iCs w:val="false"/>
                <w:color w:val="6B7280"/>
                <w:sz w:val="18"/>
                <w:szCs w:val="18"/>
              </w:rPr>
              <w:t xml:space="preserve">Top bid: ₹4,659 in recent auction round</w:t>
            </w:r>
          </w:p>
        </w:tc>
      </w:tr>
    </w:tbl>
    <w:p>
      <w:pPr>
        <w:spacing w:after="200" w:before="0"/>
        <w:jc w:val="left"/>
      </w:pPr>
      <w:r>
        <w:rPr>
          <w:rFonts w:ascii="Arial" w:cs="Arial" w:eastAsia="Arial" w:hAnsi="Arial"/>
          <w:b w:val="false"/>
          <w:bCs w:val="false"/>
          <w:i w:val="false"/>
          <w:iCs w:val="false"/>
          <w:color w:val="1E1B4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7C3AED" w:val="clear"/>
            <w:tcMar>
              <w:top w:type="dxa" w:w="200"/>
              <w:left w:type="dxa" w:w="160"/>
              <w:bottom w:type="dxa" w:w="200"/>
              <w:right w:type="dxa" w:w="160"/>
            </w:tcMar>
          </w:tcPr>
          <w:p>
            <w:pPr>
              <w:spacing w:after="0" w:before="0"/>
              <w:jc w:val="center"/>
            </w:pPr>
            <w:r>
              <w:rPr>
                <w:rFonts w:ascii="Arial" w:cs="Arial" w:eastAsia="Arial" w:hAnsi="Arial"/>
                <w:b/>
                <w:bCs/>
                <w:i w:val="false"/>
                <w:iCs w:val="false"/>
                <w:color w:val="FFFFFF"/>
                <w:sz w:val="48"/>
                <w:szCs w:val="48"/>
              </w:rPr>
              <w:t xml:space="preserve">01</w:t>
            </w:r>
          </w:p>
        </w:tc>
        <w:tc>
          <w:tcPr>
            <w:tcW w:type="dxa" w:w="8560"/>
            <w:tcBorders>
              <w:top w:val="none" w:color="FFFFFF" w:sz="0"/>
              <w:left w:val="none" w:color="FFFFFF" w:sz="0"/>
              <w:bottom w:val="none" w:color="FFFFFF" w:sz="0"/>
              <w:right w:val="none" w:color="FFFFFF" w:sz="0"/>
            </w:tcBorders>
            <w:shd w:fill="5B21B6" w:val="clear"/>
            <w:tcMar>
              <w:top w:type="dxa" w:w="160"/>
              <w:left w:type="dxa" w:w="160"/>
              <w:bottom w:type="dxa" w:w="160"/>
              <w:right w:type="dxa" w:w="160"/>
            </w:tcMar>
          </w:tcPr>
          <w:p>
            <w:pPr>
              <w:spacing w:after="0" w:before="80"/>
              <w:jc w:val="left"/>
            </w:pPr>
            <w:r>
              <w:rPr>
                <w:rFonts w:ascii="Arial" w:cs="Arial" w:eastAsia="Arial" w:hAnsi="Arial"/>
                <w:b/>
                <w:bCs/>
                <w:i w:val="false"/>
                <w:iCs w:val="false"/>
                <w:color w:val="FFFFFF"/>
                <w:sz w:val="32"/>
                <w:szCs w:val="32"/>
              </w:rPr>
              <w:t xml:space="preserve">UX</w:t>
            </w:r>
          </w:p>
          <w:p>
            <w:pPr>
              <w:spacing w:after="0" w:before="0"/>
              <w:jc w:val="left"/>
            </w:pPr>
            <w:r>
              <w:rPr>
                <w:rFonts w:ascii="Arial" w:cs="Arial" w:eastAsia="Arial" w:hAnsi="Arial"/>
                <w:b w:val="false"/>
                <w:bCs w:val="false"/>
                <w:i w:val="false"/>
                <w:iCs w:val="false"/>
                <w:color w:val="D8B4FE"/>
                <w:sz w:val="18"/>
                <w:szCs w:val="18"/>
              </w:rPr>
              <w:t xml:space="preserve">Framework: 7Ps — Product &amp; Process</w:t>
            </w:r>
          </w:p>
        </w:tc>
      </w:tr>
    </w:tbl>
    <w:p>
      <w:pPr>
        <w:spacing w:after="160" w:before="0"/>
        <w:jc w:val="left"/>
      </w:pPr>
      <w:r>
        <w:rPr>
          <w:rFonts w:ascii="Arial" w:cs="Arial" w:eastAsia="Arial" w:hAnsi="Arial"/>
          <w:b w:val="false"/>
          <w:bCs w:val="false"/>
          <w:i w:val="false"/>
          <w:iCs w:val="false"/>
          <w:color w:val="1E1B4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920"/>
      </w:tblGrid>
      <w:tr>
        <w:tc>
          <w:tcPr>
            <w:tcW w:type="dxa" w:w="440"/>
            <w:tcBorders>
              <w:top w:val="none" w:color="FFFFFF" w:sz="0"/>
              <w:left w:val="none" w:color="FFFFFF" w:sz="0"/>
              <w:bottom w:val="none" w:color="FFFFFF" w:sz="0"/>
              <w:right w:val="none" w:color="FFFFFF" w:sz="0"/>
            </w:tcBorders>
            <w:shd w:fill="7C3AED" w:val="clear"/>
            <w:tcMar>
              <w:top w:type="dxa" w:w="160"/>
              <w:left w:type="dxa" w:w="160"/>
              <w:bottom w:type="dxa" w:w="160"/>
              <w:right w:type="dxa" w:w="160"/>
            </w:tcMar>
          </w:tcPr>
          <w:p>
            <w:pPr>
              <w:spacing w:after="0" w:before="0"/>
              <w:jc w:val="center"/>
            </w:pPr>
            <w:r>
              <w:rPr>
                <w:rFonts w:ascii="Arial" w:cs="Arial" w:eastAsia="Arial" w:hAnsi="Arial"/>
                <w:b/>
                <w:bCs/>
                <w:i w:val="false"/>
                <w:iCs w:val="false"/>
                <w:color w:val="FFFFFF"/>
                <w:sz w:val="28"/>
                <w:szCs w:val="28"/>
              </w:rPr>
              <w:t xml:space="preserve">F1</w:t>
            </w:r>
          </w:p>
        </w:tc>
        <w:tc>
          <w:tcPr>
            <w:tcW w:type="dxa" w:w="8920"/>
            <w:tcBorders>
              <w:top w:val="single" w:color="E5E7EB" w:sz="2"/>
              <w:left w:val="none" w:color="FFFFFF" w:sz="0"/>
              <w:bottom w:val="single" w:color="E5E7EB" w:sz="2"/>
              <w:right w:val="single" w:color="E5E7EB" w:sz="2"/>
            </w:tcBorders>
            <w:tcMar>
              <w:top w:type="dxa" w:w="120"/>
              <w:left w:type="dxa" w:w="160"/>
              <w:bottom w:type="dxa" w:w="120"/>
              <w:right w:type="dxa" w:w="160"/>
            </w:tcMar>
          </w:tcPr>
          <w:p>
            <w:pPr>
              <w:spacing w:after="80" w:before="0"/>
              <w:jc w:val="left"/>
            </w:pPr>
            <w:r>
              <w:rPr>
                <w:rFonts w:ascii="Arial" w:cs="Arial" w:eastAsia="Arial" w:hAnsi="Arial"/>
                <w:b/>
                <w:bCs/>
                <w:i w:val="false"/>
                <w:iCs w:val="false"/>
                <w:color w:val="1E1B4B"/>
                <w:sz w:val="22"/>
                <w:szCs w:val="22"/>
              </w:rPr>
              <w:t xml:space="preserve">No First-Time User Onboarding Flow</w:t>
            </w:r>
          </w:p>
          <w:p>
            <w:pPr>
              <w:spacing w:after="80" w:before="0"/>
              <w:jc w:val="left"/>
            </w:pPr>
            <w:r>
              <w:rPr>
                <w:rFonts w:ascii="Arial" w:cs="Arial" w:eastAsia="Arial" w:hAnsi="Arial"/>
                <w:b w:val="false"/>
                <w:bCs w:val="false"/>
                <w:i w:val="false"/>
                <w:iCs w:val="false"/>
                <w:color w:val="1E1B4B"/>
                <w:sz w:val="19"/>
                <w:szCs w:val="19"/>
              </w:rPr>
              <w:t xml:space="preserve">Like most apps, Subspace lands new users directly on the product (Explore page). This is standard practice. The problem is what happens next — or rather, what doesn't. There is no first-run onboarding experience: no welcome screen, no tooltip walkthrough, no 'here's what to do first' prompt, no value proposition moment. A brand new user who has never heard of Subspace sees a marketplace full of brands and deals with no context of what Subspace actually does, why it's better than sharing via WhatsApp, or where to start. The tab labelled 'Home' adds confusion — it shows personal subscriptions (a Dashboard by function), while the real product homepage is under 'Explore'.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7C3AED" w:sz="4"/>
                    <w:left w:val="dashed" w:color="7C3AED" w:sz="4"/>
                    <w:bottom w:val="dashed" w:color="7C3AED" w:sz="4"/>
                    <w:right w:val="dashed" w:color="7C3AED" w:sz="4"/>
                  </w:tcBorders>
                  <w:shd w:fill="F5F3FF" w:val="clear"/>
                  <w:tcMar>
                    <w:top w:type="dxa" w:w="120"/>
                    <w:left w:type="dxa" w:w="160"/>
                    <w:bottom w:type="dxa" w:w="120"/>
                    <w:right w:type="dxa" w:w="160"/>
                  </w:tcMar>
                </w:tcPr>
                <w:p>
                  <w:pPr>
                    <w:spacing w:after="0" w:before="60"/>
                    <w:jc w:val="center"/>
                  </w:pPr>
                  <w:r>
                    <w:rPr>
                      <w:rFonts w:ascii="Arial" w:cs="Arial" w:eastAsia="Arial" w:hAnsi="Arial"/>
                      <w:b/>
                      <w:bCs/>
                      <w:i w:val="false"/>
                      <w:iCs w:val="false"/>
                      <w:color w:val="7C3AED"/>
                      <w:sz w:val="16"/>
                      <w:szCs w:val="16"/>
                    </w:rPr>
                    <w:t xml:space="preserve">📸  INSERT SCREENSHOT</w:t>
                  </w:r>
                </w:p>
                <w:p>
                  <w:pPr>
                    <w:spacing w:after="60" w:before="0"/>
                    <w:jc w:val="center"/>
                  </w:pPr>
                  <w:r>
                    <w:rPr>
                      <w:rFonts w:ascii="Arial" w:cs="Arial" w:eastAsia="Arial" w:hAnsi="Arial"/>
                      <w:b w:val="false"/>
                      <w:bCs w:val="false"/>
                      <w:i w:val="false"/>
                      <w:iCs w:val="false"/>
                      <w:color w:val="6B7280"/>
                      <w:sz w:val="15"/>
                      <w:szCs w:val="15"/>
                    </w:rPr>
                    <w:t xml:space="preserve">Home tab — 'No Active Subscriptions' empty state with no guidance</w:t>
                  </w:r>
                </w:p>
              </w:tc>
            </w:tr>
          </w:tbl>
          <w:p/>
        </w:tc>
      </w:tr>
    </w:tbl>
    <w:p>
      <w:pPr>
        <w:spacing w:after="100" w:before="0"/>
        <w:jc w:val="left"/>
      </w:pPr>
      <w:r>
        <w:rPr>
          <w:rFonts w:ascii="Arial" w:cs="Arial" w:eastAsia="Arial" w:hAnsi="Arial"/>
          <w:b w:val="false"/>
          <w:bCs w:val="false"/>
          <w:i w:val="false"/>
          <w:iCs w:val="false"/>
          <w:color w:val="1E1B4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920"/>
      </w:tblGrid>
      <w:tr>
        <w:tc>
          <w:tcPr>
            <w:tcW w:type="dxa" w:w="440"/>
            <w:tcBorders>
              <w:top w:val="none" w:color="FFFFFF" w:sz="0"/>
              <w:left w:val="none" w:color="FFFFFF" w:sz="0"/>
              <w:bottom w:val="none" w:color="FFFFFF" w:sz="0"/>
              <w:right w:val="none" w:color="FFFFFF" w:sz="0"/>
            </w:tcBorders>
            <w:shd w:fill="7C3AED" w:val="clear"/>
            <w:tcMar>
              <w:top w:type="dxa" w:w="160"/>
              <w:left w:type="dxa" w:w="160"/>
              <w:bottom w:type="dxa" w:w="160"/>
              <w:right w:type="dxa" w:w="160"/>
            </w:tcMar>
          </w:tcPr>
          <w:p>
            <w:pPr>
              <w:spacing w:after="0" w:before="0"/>
              <w:jc w:val="center"/>
            </w:pPr>
            <w:r>
              <w:rPr>
                <w:rFonts w:ascii="Arial" w:cs="Arial" w:eastAsia="Arial" w:hAnsi="Arial"/>
                <w:b/>
                <w:bCs/>
                <w:i w:val="false"/>
                <w:iCs w:val="false"/>
                <w:color w:val="FFFFFF"/>
                <w:sz w:val="28"/>
                <w:szCs w:val="28"/>
              </w:rPr>
              <w:t xml:space="preserve">F2</w:t>
            </w:r>
          </w:p>
        </w:tc>
        <w:tc>
          <w:tcPr>
            <w:tcW w:type="dxa" w:w="8920"/>
            <w:tcBorders>
              <w:top w:val="single" w:color="E5E7EB" w:sz="2"/>
              <w:left w:val="none" w:color="FFFFFF" w:sz="0"/>
              <w:bottom w:val="single" w:color="E5E7EB" w:sz="2"/>
              <w:right w:val="single" w:color="E5E7EB" w:sz="2"/>
            </w:tcBorders>
            <w:tcMar>
              <w:top w:type="dxa" w:w="120"/>
              <w:left w:type="dxa" w:w="160"/>
              <w:bottom w:type="dxa" w:w="120"/>
              <w:right w:type="dxa" w:w="160"/>
            </w:tcMar>
          </w:tcPr>
          <w:p>
            <w:pPr>
              <w:spacing w:after="80" w:before="0"/>
              <w:jc w:val="left"/>
            </w:pPr>
            <w:r>
              <w:rPr>
                <w:rFonts w:ascii="Arial" w:cs="Arial" w:eastAsia="Arial" w:hAnsi="Arial"/>
                <w:b/>
                <w:bCs/>
                <w:i w:val="false"/>
                <w:iCs w:val="false"/>
                <w:color w:val="1E1B4B"/>
                <w:sz w:val="22"/>
                <w:szCs w:val="22"/>
              </w:rPr>
              <w:t xml:space="preserve">Checkout Screen Shows Wrong Dates &amp; Empty Groups</w:t>
            </w:r>
          </w:p>
          <w:p>
            <w:pPr>
              <w:spacing w:after="80" w:before="0"/>
              <w:jc w:val="left"/>
            </w:pPr>
            <w:r>
              <w:rPr>
                <w:rFonts w:ascii="Arial" w:cs="Arial" w:eastAsia="Arial" w:hAnsi="Arial"/>
                <w:b w:val="false"/>
                <w:bCs w:val="false"/>
                <w:i w:val="false"/>
                <w:iCs w:val="false"/>
                <w:color w:val="1E1B4B"/>
                <w:sz w:val="19"/>
                <w:szCs w:val="19"/>
              </w:rPr>
              <w:t xml:space="preserve">On the Netflix Standard Plan checkout, three different groups show wildly different 'Next payment will be charged on' dates — Jun 28 2026, Mar 03 2027, and Jun 21 2028 — on a ₹250/month plan. All three groups show 0/2 members. The date shown is the group owner's subscription renewal cycle, not the buyer's billing date — but the copy says 'will be charged on' which every user reads as their own charge date. There is no pro-rata explanation, no estimated group fill time, no 'what happens if the group stays empty' 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7C3AED" w:sz="4"/>
                    <w:left w:val="dashed" w:color="7C3AED" w:sz="4"/>
                    <w:bottom w:val="dashed" w:color="7C3AED" w:sz="4"/>
                    <w:right w:val="dashed" w:color="7C3AED" w:sz="4"/>
                  </w:tcBorders>
                  <w:shd w:fill="F5F3FF" w:val="clear"/>
                  <w:tcMar>
                    <w:top w:type="dxa" w:w="120"/>
                    <w:left w:type="dxa" w:w="160"/>
                    <w:bottom w:type="dxa" w:w="120"/>
                    <w:right w:type="dxa" w:w="160"/>
                  </w:tcMar>
                </w:tcPr>
                <w:p>
                  <w:pPr>
                    <w:spacing w:after="0" w:before="60"/>
                    <w:jc w:val="center"/>
                  </w:pPr>
                  <w:r>
                    <w:rPr>
                      <w:rFonts w:ascii="Arial" w:cs="Arial" w:eastAsia="Arial" w:hAnsi="Arial"/>
                      <w:b/>
                      <w:bCs/>
                      <w:i w:val="false"/>
                      <w:iCs w:val="false"/>
                      <w:color w:val="7C3AED"/>
                      <w:sz w:val="16"/>
                      <w:szCs w:val="16"/>
                    </w:rPr>
                    <w:t xml:space="preserve">📸  INSERT SCREENSHOT</w:t>
                  </w:r>
                </w:p>
                <w:p>
                  <w:pPr>
                    <w:spacing w:after="60" w:before="0"/>
                    <w:jc w:val="center"/>
                  </w:pPr>
                  <w:r>
                    <w:rPr>
                      <w:rFonts w:ascii="Arial" w:cs="Arial" w:eastAsia="Arial" w:hAnsi="Arial"/>
                      <w:b w:val="false"/>
                      <w:bCs w:val="false"/>
                      <w:i w:val="false"/>
                      <w:iCs w:val="false"/>
                      <w:color w:val="6B7280"/>
                      <w:sz w:val="15"/>
                      <w:szCs w:val="15"/>
                    </w:rPr>
                    <w:t xml:space="preserve">Netflix Standard Plan checkout — Jun 21 2028 date, 0/2 members</w:t>
                  </w:r>
                </w:p>
              </w:tc>
            </w:tr>
          </w:tbl>
          <w:p/>
        </w:tc>
      </w:tr>
    </w:tbl>
    <w:p>
      <w:pPr>
        <w:spacing w:after="100" w:before="0"/>
        <w:jc w:val="left"/>
      </w:pPr>
      <w:r>
        <w:rPr>
          <w:rFonts w:ascii="Arial" w:cs="Arial" w:eastAsia="Arial" w:hAnsi="Arial"/>
          <w:b w:val="false"/>
          <w:bCs w:val="false"/>
          <w:i w:val="false"/>
          <w:iCs w:val="false"/>
          <w:color w:val="1E1B4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920"/>
      </w:tblGrid>
      <w:tr>
        <w:tc>
          <w:tcPr>
            <w:tcW w:type="dxa" w:w="440"/>
            <w:tcBorders>
              <w:top w:val="none" w:color="FFFFFF" w:sz="0"/>
              <w:left w:val="none" w:color="FFFFFF" w:sz="0"/>
              <w:bottom w:val="none" w:color="FFFFFF" w:sz="0"/>
              <w:right w:val="none" w:color="FFFFFF" w:sz="0"/>
            </w:tcBorders>
            <w:shd w:fill="7C3AED" w:val="clear"/>
            <w:tcMar>
              <w:top w:type="dxa" w:w="160"/>
              <w:left w:type="dxa" w:w="160"/>
              <w:bottom w:type="dxa" w:w="160"/>
              <w:right w:type="dxa" w:w="160"/>
            </w:tcMar>
          </w:tcPr>
          <w:p>
            <w:pPr>
              <w:spacing w:after="0" w:before="0"/>
              <w:jc w:val="center"/>
            </w:pPr>
            <w:r>
              <w:rPr>
                <w:rFonts w:ascii="Arial" w:cs="Arial" w:eastAsia="Arial" w:hAnsi="Arial"/>
                <w:b/>
                <w:bCs/>
                <w:i w:val="false"/>
                <w:iCs w:val="false"/>
                <w:color w:val="FFFFFF"/>
                <w:sz w:val="28"/>
                <w:szCs w:val="28"/>
              </w:rPr>
              <w:t xml:space="preserve">F3</w:t>
            </w:r>
          </w:p>
        </w:tc>
        <w:tc>
          <w:tcPr>
            <w:tcW w:type="dxa" w:w="8920"/>
            <w:tcBorders>
              <w:top w:val="single" w:color="E5E7EB" w:sz="2"/>
              <w:left w:val="none" w:color="FFFFFF" w:sz="0"/>
              <w:bottom w:val="single" w:color="E5E7EB" w:sz="2"/>
              <w:right w:val="single" w:color="E5E7EB" w:sz="2"/>
            </w:tcBorders>
            <w:tcMar>
              <w:top w:type="dxa" w:w="120"/>
              <w:left w:type="dxa" w:w="160"/>
              <w:bottom w:type="dxa" w:w="120"/>
              <w:right w:type="dxa" w:w="160"/>
            </w:tcMar>
          </w:tcPr>
          <w:p>
            <w:pPr>
              <w:spacing w:after="80" w:before="0"/>
              <w:jc w:val="left"/>
            </w:pPr>
            <w:r>
              <w:rPr>
                <w:rFonts w:ascii="Arial" w:cs="Arial" w:eastAsia="Arial" w:hAnsi="Arial"/>
                <w:b/>
                <w:bCs/>
                <w:i w:val="false"/>
                <w:iCs w:val="false"/>
                <w:color w:val="1E1B4B"/>
                <w:sz w:val="22"/>
                <w:szCs w:val="22"/>
              </w:rPr>
              <w:t xml:space="preserve">Gift Card Pages: Broken HTML, Buried Purchase Options</w:t>
            </w:r>
          </w:p>
          <w:p>
            <w:pPr>
              <w:spacing w:after="80" w:before="0"/>
              <w:jc w:val="left"/>
            </w:pPr>
            <w:r>
              <w:rPr>
                <w:rFonts w:ascii="Arial" w:cs="Arial" w:eastAsia="Arial" w:hAnsi="Arial"/>
                <w:b w:val="false"/>
                <w:bCs w:val="false"/>
                <w:i w:val="false"/>
                <w:iCs w:val="false"/>
                <w:color w:val="1E1B4B"/>
                <w:sz w:val="19"/>
                <w:szCs w:val="19"/>
              </w:rPr>
              <w:t xml:space="preserve">The Amazon Fresh gift card page renders raw HTML tags from the brand's app store description as plain text — &lt;b&gt;Online Shopping Store&lt;/b&gt;, &lt;i&gt;Electronics&lt;/i&gt; — visible to users. The actual purchase UI (denominations, FlexiPay, Add to Cart) is buried below this wall of text requiring significant scrolling. Competitor Woohoo (by Pine Labs) shows the same information in a single clean window: product image, validity, where usable, available discount codes, denomination selector, one CTA. Zero scrolling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7C3AED" w:sz="4"/>
                    <w:left w:val="dashed" w:color="7C3AED" w:sz="4"/>
                    <w:bottom w:val="dashed" w:color="7C3AED" w:sz="4"/>
                    <w:right w:val="dashed" w:color="7C3AED" w:sz="4"/>
                  </w:tcBorders>
                  <w:shd w:fill="F5F3FF" w:val="clear"/>
                  <w:tcMar>
                    <w:top w:type="dxa" w:w="120"/>
                    <w:left w:type="dxa" w:w="160"/>
                    <w:bottom w:type="dxa" w:w="120"/>
                    <w:right w:type="dxa" w:w="160"/>
                  </w:tcMar>
                </w:tcPr>
                <w:p>
                  <w:pPr>
                    <w:spacing w:after="0" w:before="60"/>
                    <w:jc w:val="center"/>
                  </w:pPr>
                  <w:r>
                    <w:rPr>
                      <w:rFonts w:ascii="Arial" w:cs="Arial" w:eastAsia="Arial" w:hAnsi="Arial"/>
                      <w:b/>
                      <w:bCs/>
                      <w:i w:val="false"/>
                      <w:iCs w:val="false"/>
                      <w:color w:val="7C3AED"/>
                      <w:sz w:val="16"/>
                      <w:szCs w:val="16"/>
                    </w:rPr>
                    <w:t xml:space="preserve">📸  INSERT SCREENSHOT</w:t>
                  </w:r>
                </w:p>
                <w:p>
                  <w:pPr>
                    <w:spacing w:after="60" w:before="0"/>
                    <w:jc w:val="center"/>
                  </w:pPr>
                  <w:r>
                    <w:rPr>
                      <w:rFonts w:ascii="Arial" w:cs="Arial" w:eastAsia="Arial" w:hAnsi="Arial"/>
                      <w:b w:val="false"/>
                      <w:bCs w:val="false"/>
                      <w:i w:val="false"/>
                      <w:iCs w:val="false"/>
                      <w:color w:val="6B7280"/>
                      <w:sz w:val="15"/>
                      <w:szCs w:val="15"/>
                    </w:rPr>
                    <w:t xml:space="preserve">Amazon Fresh gift card page — raw HTML tags visible, purchase options below fold</w:t>
                  </w:r>
                </w:p>
              </w:tc>
            </w:tr>
          </w:tbl>
          <w:p>
            <w:pPr>
              <w:spacing w:after="80" w:before="0"/>
              <w:jc w:val="left"/>
            </w:pPr>
            <w:r>
              <w:rPr>
                <w:rFonts w:ascii="Arial" w:cs="Arial" w:eastAsia="Arial" w:hAnsi="Arial"/>
                <w:b w:val="false"/>
                <w:bCs w:val="false"/>
                <w:i w:val="false"/>
                <w:iCs w:val="false"/>
                <w:color w:val="1E1B4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7C3AED" w:sz="4"/>
                    <w:left w:val="dashed" w:color="7C3AED" w:sz="4"/>
                    <w:bottom w:val="dashed" w:color="7C3AED" w:sz="4"/>
                    <w:right w:val="dashed" w:color="7C3AED" w:sz="4"/>
                  </w:tcBorders>
                  <w:shd w:fill="F5F3FF" w:val="clear"/>
                  <w:tcMar>
                    <w:top w:type="dxa" w:w="120"/>
                    <w:left w:type="dxa" w:w="160"/>
                    <w:bottom w:type="dxa" w:w="120"/>
                    <w:right w:type="dxa" w:w="160"/>
                  </w:tcMar>
                </w:tcPr>
                <w:p>
                  <w:pPr>
                    <w:spacing w:after="0" w:before="60"/>
                    <w:jc w:val="center"/>
                  </w:pPr>
                  <w:r>
                    <w:rPr>
                      <w:rFonts w:ascii="Arial" w:cs="Arial" w:eastAsia="Arial" w:hAnsi="Arial"/>
                      <w:b/>
                      <w:bCs/>
                      <w:i w:val="false"/>
                      <w:iCs w:val="false"/>
                      <w:color w:val="7C3AED"/>
                      <w:sz w:val="16"/>
                      <w:szCs w:val="16"/>
                    </w:rPr>
                    <w:t xml:space="preserve">📸  INSERT SCREENSHOT</w:t>
                  </w:r>
                </w:p>
                <w:p>
                  <w:pPr>
                    <w:spacing w:after="60" w:before="0"/>
                    <w:jc w:val="center"/>
                  </w:pPr>
                  <w:r>
                    <w:rPr>
                      <w:rFonts w:ascii="Arial" w:cs="Arial" w:eastAsia="Arial" w:hAnsi="Arial"/>
                      <w:b w:val="false"/>
                      <w:bCs w:val="false"/>
                      <w:i w:val="false"/>
                      <w:iCs w:val="false"/>
                      <w:color w:val="6B7280"/>
                      <w:sz w:val="15"/>
                      <w:szCs w:val="15"/>
                    </w:rPr>
                    <w:t xml:space="preserve">Woohoo competitor — clean single-window gift card layout (for comparison)</w:t>
                  </w:r>
                </w:p>
              </w:tc>
            </w:tr>
          </w:tbl>
          <w:p/>
        </w:tc>
      </w:tr>
    </w:tbl>
    <w:p>
      <w:pPr>
        <w:spacing w:after="100" w:before="0"/>
        <w:jc w:val="left"/>
      </w:pPr>
      <w:r>
        <w:rPr>
          <w:rFonts w:ascii="Arial" w:cs="Arial" w:eastAsia="Arial" w:hAnsi="Arial"/>
          <w:b w:val="false"/>
          <w:bCs w:val="false"/>
          <w:i w:val="false"/>
          <w:iCs w:val="false"/>
          <w:color w:val="1E1B4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920"/>
      </w:tblGrid>
      <w:tr>
        <w:tc>
          <w:tcPr>
            <w:tcW w:type="dxa" w:w="440"/>
            <w:tcBorders>
              <w:top w:val="none" w:color="FFFFFF" w:sz="0"/>
              <w:left w:val="none" w:color="FFFFFF" w:sz="0"/>
              <w:bottom w:val="none" w:color="FFFFFF" w:sz="0"/>
              <w:right w:val="none" w:color="FFFFFF" w:sz="0"/>
            </w:tcBorders>
            <w:shd w:fill="7C3AED" w:val="clear"/>
            <w:tcMar>
              <w:top w:type="dxa" w:w="160"/>
              <w:left w:type="dxa" w:w="160"/>
              <w:bottom w:type="dxa" w:w="160"/>
              <w:right w:type="dxa" w:w="160"/>
            </w:tcMar>
          </w:tcPr>
          <w:p>
            <w:pPr>
              <w:spacing w:after="0" w:before="0"/>
              <w:jc w:val="center"/>
            </w:pPr>
            <w:r>
              <w:rPr>
                <w:rFonts w:ascii="Arial" w:cs="Arial" w:eastAsia="Arial" w:hAnsi="Arial"/>
                <w:b/>
                <w:bCs/>
                <w:i w:val="false"/>
                <w:iCs w:val="false"/>
                <w:color w:val="FFFFFF"/>
                <w:sz w:val="28"/>
                <w:szCs w:val="28"/>
              </w:rPr>
              <w:t xml:space="preserve">F4</w:t>
            </w:r>
          </w:p>
        </w:tc>
        <w:tc>
          <w:tcPr>
            <w:tcW w:type="dxa" w:w="8920"/>
            <w:tcBorders>
              <w:top w:val="single" w:color="E5E7EB" w:sz="2"/>
              <w:left w:val="none" w:color="FFFFFF" w:sz="0"/>
              <w:bottom w:val="single" w:color="E5E7EB" w:sz="2"/>
              <w:right w:val="single" w:color="E5E7EB" w:sz="2"/>
            </w:tcBorders>
            <w:tcMar>
              <w:top w:type="dxa" w:w="120"/>
              <w:left w:type="dxa" w:w="160"/>
              <w:bottom w:type="dxa" w:w="120"/>
              <w:right w:type="dxa" w:w="160"/>
            </w:tcMar>
          </w:tcPr>
          <w:p>
            <w:pPr>
              <w:spacing w:after="80" w:before="0"/>
              <w:jc w:val="left"/>
            </w:pPr>
            <w:r>
              <w:rPr>
                <w:rFonts w:ascii="Arial" w:cs="Arial" w:eastAsia="Arial" w:hAnsi="Arial"/>
                <w:b/>
                <w:bCs/>
                <w:i w:val="false"/>
                <w:iCs w:val="false"/>
                <w:color w:val="1E1B4B"/>
                <w:sz w:val="22"/>
                <w:szCs w:val="22"/>
              </w:rPr>
              <w:t xml:space="preserve">'Active' Toggle ON but Status Shows 'NOT LIVE'</w:t>
            </w:r>
          </w:p>
          <w:p>
            <w:pPr>
              <w:spacing w:after="80" w:before="0"/>
              <w:jc w:val="left"/>
            </w:pPr>
            <w:r>
              <w:rPr>
                <w:rFonts w:ascii="Arial" w:cs="Arial" w:eastAsia="Arial" w:hAnsi="Arial"/>
                <w:b w:val="false"/>
                <w:bCs w:val="false"/>
                <w:i w:val="false"/>
                <w:iCs w:val="false"/>
                <w:color w:val="1E1B4B"/>
                <w:sz w:val="19"/>
                <w:szCs w:val="19"/>
              </w:rPr>
              <w:t xml:space="preserve">On the Vendor Dashboard, a Flipkart ₹10,000 Gift Card shows the Active toggle switched green (ON) but displays a 'NOT LIVE' badge below it. Two contradictory signals on one card with no explanation of the difference between Active and Live. A vendor has no confidence their listing is visible to buyers.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7C3AED" w:sz="4"/>
                    <w:left w:val="dashed" w:color="7C3AED" w:sz="4"/>
                    <w:bottom w:val="dashed" w:color="7C3AED" w:sz="4"/>
                    <w:right w:val="dashed" w:color="7C3AED" w:sz="4"/>
                  </w:tcBorders>
                  <w:shd w:fill="F5F3FF" w:val="clear"/>
                  <w:tcMar>
                    <w:top w:type="dxa" w:w="120"/>
                    <w:left w:type="dxa" w:w="160"/>
                    <w:bottom w:type="dxa" w:w="120"/>
                    <w:right w:type="dxa" w:w="160"/>
                  </w:tcMar>
                </w:tcPr>
                <w:p>
                  <w:pPr>
                    <w:spacing w:after="0" w:before="60"/>
                    <w:jc w:val="center"/>
                  </w:pPr>
                  <w:r>
                    <w:rPr>
                      <w:rFonts w:ascii="Arial" w:cs="Arial" w:eastAsia="Arial" w:hAnsi="Arial"/>
                      <w:b/>
                      <w:bCs/>
                      <w:i w:val="false"/>
                      <w:iCs w:val="false"/>
                      <w:color w:val="7C3AED"/>
                      <w:sz w:val="16"/>
                      <w:szCs w:val="16"/>
                    </w:rPr>
                    <w:t xml:space="preserve">📸  INSERT SCREENSHOT</w:t>
                  </w:r>
                </w:p>
                <w:p>
                  <w:pPr>
                    <w:spacing w:after="60" w:before="0"/>
                    <w:jc w:val="center"/>
                  </w:pPr>
                  <w:r>
                    <w:rPr>
                      <w:rFonts w:ascii="Arial" w:cs="Arial" w:eastAsia="Arial" w:hAnsi="Arial"/>
                      <w:b w:val="false"/>
                      <w:bCs w:val="false"/>
                      <w:i w:val="false"/>
                      <w:iCs w:val="false"/>
                      <w:color w:val="6B7280"/>
                      <w:sz w:val="15"/>
                      <w:szCs w:val="15"/>
                    </w:rPr>
                    <w:t xml:space="preserve">Vendor Dashboard — Active toggle ON but NOT LIVE badge</w:t>
                  </w:r>
                </w:p>
              </w:tc>
            </w:tr>
          </w:tbl>
          <w:p/>
        </w:tc>
      </w:tr>
    </w:tbl>
    <w:p>
      <w:pPr>
        <w:spacing w:after="100" w:before="0"/>
        <w:jc w:val="left"/>
      </w:pPr>
      <w:r>
        <w:rPr>
          <w:rFonts w:ascii="Arial" w:cs="Arial" w:eastAsia="Arial" w:hAnsi="Arial"/>
          <w:b w:val="false"/>
          <w:bCs w:val="false"/>
          <w:i w:val="false"/>
          <w:iCs w:val="false"/>
          <w:color w:val="1E1B4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920"/>
      </w:tblGrid>
      <w:tr>
        <w:tc>
          <w:tcPr>
            <w:tcW w:type="dxa" w:w="440"/>
            <w:tcBorders>
              <w:top w:val="none" w:color="FFFFFF" w:sz="0"/>
              <w:left w:val="none" w:color="FFFFFF" w:sz="0"/>
              <w:bottom w:val="none" w:color="FFFFFF" w:sz="0"/>
              <w:right w:val="none" w:color="FFFFFF" w:sz="0"/>
            </w:tcBorders>
            <w:shd w:fill="7C3AED" w:val="clear"/>
            <w:tcMar>
              <w:top w:type="dxa" w:w="160"/>
              <w:left w:type="dxa" w:w="160"/>
              <w:bottom w:type="dxa" w:w="160"/>
              <w:right w:type="dxa" w:w="160"/>
            </w:tcMar>
          </w:tcPr>
          <w:p>
            <w:pPr>
              <w:spacing w:after="0" w:before="0"/>
              <w:jc w:val="center"/>
            </w:pPr>
            <w:r>
              <w:rPr>
                <w:rFonts w:ascii="Arial" w:cs="Arial" w:eastAsia="Arial" w:hAnsi="Arial"/>
                <w:b/>
                <w:bCs/>
                <w:i w:val="false"/>
                <w:iCs w:val="false"/>
                <w:color w:val="FFFFFF"/>
                <w:sz w:val="28"/>
                <w:szCs w:val="28"/>
              </w:rPr>
              <w:t xml:space="preserve">F5</w:t>
            </w:r>
          </w:p>
        </w:tc>
        <w:tc>
          <w:tcPr>
            <w:tcW w:type="dxa" w:w="8920"/>
            <w:tcBorders>
              <w:top w:val="single" w:color="E5E7EB" w:sz="2"/>
              <w:left w:val="none" w:color="FFFFFF" w:sz="0"/>
              <w:bottom w:val="single" w:color="E5E7EB" w:sz="2"/>
              <w:right w:val="single" w:color="E5E7EB" w:sz="2"/>
            </w:tcBorders>
            <w:tcMar>
              <w:top w:type="dxa" w:w="120"/>
              <w:left w:type="dxa" w:w="160"/>
              <w:bottom w:type="dxa" w:w="120"/>
              <w:right w:type="dxa" w:w="160"/>
            </w:tcMar>
          </w:tcPr>
          <w:p>
            <w:pPr>
              <w:spacing w:after="80" w:before="0"/>
              <w:jc w:val="left"/>
            </w:pPr>
            <w:r>
              <w:rPr>
                <w:rFonts w:ascii="Arial" w:cs="Arial" w:eastAsia="Arial" w:hAnsi="Arial"/>
                <w:b/>
                <w:bCs/>
                <w:i w:val="false"/>
                <w:iCs w:val="false"/>
                <w:color w:val="1E1B4B"/>
                <w:sz w:val="22"/>
                <w:szCs w:val="22"/>
              </w:rPr>
              <w:t xml:space="preserve">Money Saved: Powerful Feature Hidden 3 Clicks Deep</w:t>
            </w:r>
          </w:p>
          <w:p>
            <w:pPr>
              <w:spacing w:after="80" w:before="0"/>
              <w:jc w:val="left"/>
            </w:pPr>
            <w:r>
              <w:rPr>
                <w:rFonts w:ascii="Arial" w:cs="Arial" w:eastAsia="Arial" w:hAnsi="Arial"/>
                <w:b w:val="false"/>
                <w:bCs w:val="false"/>
                <w:i w:val="false"/>
                <w:iCs w:val="false"/>
                <w:color w:val="1E1B4B"/>
                <w:sz w:val="19"/>
                <w:szCs w:val="19"/>
              </w:rPr>
              <w:t xml:space="preserve">Subspace has a well-designed Money Saved section with four categories — Sharing Savings, Sharing Earnings, Purchase Savings, Paid via Subspace — that directly proves their core value prop. It is accessible only via: avatar → sidebar → Money Saved. For new users, all four show ₹0. No projected savings, no benchmark, no motivation to take first action. The most powerful retention hook in the product is invisible.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7C3AED" w:sz="4"/>
                    <w:left w:val="dashed" w:color="7C3AED" w:sz="4"/>
                    <w:bottom w:val="dashed" w:color="7C3AED" w:sz="4"/>
                    <w:right w:val="dashed" w:color="7C3AED" w:sz="4"/>
                  </w:tcBorders>
                  <w:shd w:fill="F5F3FF" w:val="clear"/>
                  <w:tcMar>
                    <w:top w:type="dxa" w:w="120"/>
                    <w:left w:type="dxa" w:w="160"/>
                    <w:bottom w:type="dxa" w:w="120"/>
                    <w:right w:type="dxa" w:w="160"/>
                  </w:tcMar>
                </w:tcPr>
                <w:p>
                  <w:pPr>
                    <w:spacing w:after="0" w:before="60"/>
                    <w:jc w:val="center"/>
                  </w:pPr>
                  <w:r>
                    <w:rPr>
                      <w:rFonts w:ascii="Arial" w:cs="Arial" w:eastAsia="Arial" w:hAnsi="Arial"/>
                      <w:b/>
                      <w:bCs/>
                      <w:i w:val="false"/>
                      <w:iCs w:val="false"/>
                      <w:color w:val="7C3AED"/>
                      <w:sz w:val="16"/>
                      <w:szCs w:val="16"/>
                    </w:rPr>
                    <w:t xml:space="preserve">📸  INSERT SCREENSHOT</w:t>
                  </w:r>
                </w:p>
                <w:p>
                  <w:pPr>
                    <w:spacing w:after="60" w:before="0"/>
                    <w:jc w:val="center"/>
                  </w:pPr>
                  <w:r>
                    <w:rPr>
                      <w:rFonts w:ascii="Arial" w:cs="Arial" w:eastAsia="Arial" w:hAnsi="Arial"/>
                      <w:b w:val="false"/>
                      <w:bCs w:val="false"/>
                      <w:i w:val="false"/>
                      <w:iCs w:val="false"/>
                      <w:color w:val="6B7280"/>
                      <w:sz w:val="15"/>
                      <w:szCs w:val="15"/>
                    </w:rPr>
                    <w:t xml:space="preserve">Money Saved page — all four categories at ₹0</w:t>
                  </w:r>
                </w:p>
              </w:tc>
            </w:tr>
          </w:tbl>
          <w:p/>
        </w:tc>
      </w:tr>
    </w:tbl>
    <w:p>
      <w:pPr>
        <w:spacing w:after="120" w:before="0"/>
        <w:jc w:val="left"/>
      </w:pPr>
      <w:r>
        <w:rPr>
          <w:rFonts w:ascii="Arial" w:cs="Arial" w:eastAsia="Arial" w:hAnsi="Arial"/>
          <w:b w:val="false"/>
          <w:bCs w:val="false"/>
          <w:i w:val="false"/>
          <w:iCs w:val="false"/>
          <w:color w:val="1E1B4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single" w:color="1E40AF" w:sz="16"/>
              <w:bottom w:val="none" w:color="FFFFFF" w:sz="0"/>
              <w:right w:val="none" w:color="FFFFFF" w:sz="0"/>
            </w:tcBorders>
            <w:shd w:fill="DBEAFE" w:val="clear"/>
            <w:tcMar>
              <w:top w:type="dxa" w:w="120"/>
              <w:left w:type="dxa" w:w="160"/>
              <w:bottom w:type="dxa" w:w="120"/>
              <w:right w:type="dxa" w:w="160"/>
            </w:tcMar>
          </w:tcPr>
          <w:p>
            <w:pPr>
              <w:spacing w:after="0" w:before="0"/>
              <w:jc w:val="center"/>
            </w:pPr>
            <w:r>
              <w:rPr>
                <w:rFonts w:ascii="Arial" w:cs="Arial" w:eastAsia="Arial" w:hAnsi="Arial"/>
                <w:b/>
                <w:bCs/>
                <w:i w:val="false"/>
                <w:iCs w:val="false"/>
                <w:color w:val="1E40AF"/>
                <w:sz w:val="18"/>
                <w:szCs w:val="18"/>
              </w:rPr>
              <w:t xml:space="preserve">👁 OBSERVED</w:t>
            </w:r>
          </w:p>
        </w:tc>
        <w:tc>
          <w:tcPr>
            <w:tcW w:type="dxa" w:w="8160"/>
            <w:tcBorders>
              <w:top w:val="single" w:color="1E40AF" w:sz="4"/>
              <w:left w:val="none" w:color="FFFFFF" w:sz="0"/>
              <w:bottom w:val="single" w:color="1E40AF" w:sz="4"/>
              <w:right w:val="single" w:color="1E40AF" w:sz="4"/>
            </w:tcBorders>
            <w:shd w:fill="DBEAFE" w:val="clear"/>
            <w:tcMar>
              <w:top w:type="dxa" w:w="120"/>
              <w:left w:type="dxa" w:w="160"/>
              <w:bottom w:type="dxa" w:w="120"/>
              <w:right w:type="dxa" w:w="160"/>
            </w:tcMar>
          </w:tcPr>
          <w:p>
            <w:pPr>
              <w:pStyle w:val="ListParagraph"/>
              <w:numPr>
                <w:ilvl w:val="0"/>
                <w:numId w:val="2"/>
              </w:numPr>
              <w:spacing w:after="60" w:before="60"/>
              <w:jc w:val="left"/>
            </w:pPr>
            <w:r>
              <w:rPr>
                <w:rFonts w:ascii="Arial" w:cs="Arial" w:eastAsia="Arial" w:hAnsi="Arial"/>
                <w:b w:val="false"/>
                <w:bCs w:val="false"/>
                <w:i w:val="false"/>
                <w:iCs w:val="false"/>
                <w:color w:val="1E1B4B"/>
                <w:sz w:val="20"/>
                <w:szCs w:val="20"/>
              </w:rPr>
              <w:t xml:space="preserve">New users land on Explore (correct) but receive zero onboarding — no first-run flow, no value prop, no 'start here' guidance</w:t>
            </w:r>
          </w:p>
          <w:p>
            <w:pPr>
              <w:pStyle w:val="ListParagraph"/>
              <w:numPr>
                <w:ilvl w:val="0"/>
                <w:numId w:val="2"/>
              </w:numPr>
              <w:spacing w:after="60" w:before="60"/>
              <w:jc w:val="left"/>
            </w:pPr>
            <w:r>
              <w:rPr>
                <w:rFonts w:ascii="Arial" w:cs="Arial" w:eastAsia="Arial" w:hAnsi="Arial"/>
                <w:b w:val="false"/>
                <w:bCs w:val="false"/>
                <w:i w:val="false"/>
                <w:iCs w:val="false"/>
                <w:color w:val="1E1B4B"/>
                <w:sz w:val="20"/>
                <w:szCs w:val="20"/>
              </w:rPr>
              <w:t xml:space="preserve">Checkout shows group renewal dates as personal billing dates — with incorrect year values (2027, 2028) on monthly plans</w:t>
            </w:r>
          </w:p>
          <w:p>
            <w:pPr>
              <w:pStyle w:val="ListParagraph"/>
              <w:numPr>
                <w:ilvl w:val="0"/>
                <w:numId w:val="2"/>
              </w:numPr>
              <w:spacing w:after="60" w:before="60"/>
              <w:jc w:val="left"/>
            </w:pPr>
            <w:r>
              <w:rPr>
                <w:rFonts w:ascii="Arial" w:cs="Arial" w:eastAsia="Arial" w:hAnsi="Arial"/>
                <w:b w:val="false"/>
                <w:bCs w:val="false"/>
                <w:i w:val="false"/>
                <w:iCs w:val="false"/>
                <w:color w:val="1E1B4B"/>
                <w:sz w:val="20"/>
                <w:szCs w:val="20"/>
              </w:rPr>
              <w:t xml:space="preserve">Gift card pages render broken HTML and bury the purchase UI below a wall of text</w:t>
            </w:r>
          </w:p>
          <w:p>
            <w:pPr>
              <w:pStyle w:val="ListParagraph"/>
              <w:numPr>
                <w:ilvl w:val="0"/>
                <w:numId w:val="2"/>
              </w:numPr>
              <w:spacing w:after="60" w:before="60"/>
              <w:jc w:val="left"/>
            </w:pPr>
            <w:r>
              <w:rPr>
                <w:rFonts w:ascii="Arial" w:cs="Arial" w:eastAsia="Arial" w:hAnsi="Arial"/>
                <w:b w:val="false"/>
                <w:bCs w:val="false"/>
                <w:i w:val="false"/>
                <w:iCs w:val="false"/>
                <w:color w:val="1E1B4B"/>
                <w:sz w:val="20"/>
                <w:szCs w:val="20"/>
              </w:rPr>
              <w:t xml:space="preserve">'Active' and 'NOT LIVE' are shown simultaneously on vendor listings with no explanation</w:t>
            </w:r>
          </w:p>
          <w:p>
            <w:pPr>
              <w:pStyle w:val="ListParagraph"/>
              <w:numPr>
                <w:ilvl w:val="0"/>
                <w:numId w:val="2"/>
              </w:numPr>
              <w:spacing w:after="60" w:before="60"/>
              <w:jc w:val="left"/>
            </w:pPr>
            <w:r>
              <w:rPr>
                <w:rFonts w:ascii="Arial" w:cs="Arial" w:eastAsia="Arial" w:hAnsi="Arial"/>
                <w:b w:val="false"/>
                <w:bCs w:val="false"/>
                <w:i w:val="false"/>
                <w:iCs w:val="false"/>
                <w:color w:val="1E1B4B"/>
                <w:sz w:val="20"/>
                <w:szCs w:val="20"/>
              </w:rPr>
              <w:t xml:space="preserve">Money Saved — the clearest proof of value — is hidden in the sidebar and shows ₹0 to new users</w:t>
            </w:r>
          </w:p>
        </w:tc>
      </w:tr>
    </w:tbl>
    <w:p>
      <w:pPr>
        <w:spacing w:after="80" w:before="0"/>
        <w:jc w:val="left"/>
      </w:pPr>
      <w:r>
        <w:rPr>
          <w:rFonts w:ascii="Arial" w:cs="Arial" w:eastAsia="Arial" w:hAnsi="Arial"/>
          <w:b w:val="false"/>
          <w:bCs w:val="false"/>
          <w:i w:val="false"/>
          <w:iCs w:val="false"/>
          <w:color w:val="1E1B4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single" w:color="92400E" w:sz="16"/>
              <w:bottom w:val="none" w:color="FFFFFF" w:sz="0"/>
              <w:right w:val="none" w:color="FFFFFF" w:sz="0"/>
            </w:tcBorders>
            <w:shd w:fill="FEF3C7" w:val="clear"/>
            <w:tcMar>
              <w:top w:type="dxa" w:w="120"/>
              <w:left w:type="dxa" w:w="160"/>
              <w:bottom w:type="dxa" w:w="120"/>
              <w:right w:type="dxa" w:w="160"/>
            </w:tcMar>
          </w:tcPr>
          <w:p>
            <w:pPr>
              <w:spacing w:after="0" w:before="0"/>
              <w:jc w:val="center"/>
            </w:pPr>
            <w:r>
              <w:rPr>
                <w:rFonts w:ascii="Arial" w:cs="Arial" w:eastAsia="Arial" w:hAnsi="Arial"/>
                <w:b/>
                <w:bCs/>
                <w:i w:val="false"/>
                <w:iCs w:val="false"/>
                <w:color w:val="92400E"/>
                <w:sz w:val="18"/>
                <w:szCs w:val="18"/>
              </w:rPr>
              <w:t xml:space="preserve">⚠ PROBLEM</w:t>
            </w:r>
          </w:p>
        </w:tc>
        <w:tc>
          <w:tcPr>
            <w:tcW w:type="dxa" w:w="8160"/>
            <w:tcBorders>
              <w:top w:val="single" w:color="92400E" w:sz="4"/>
              <w:left w:val="none" w:color="FFFFFF" w:sz="0"/>
              <w:bottom w:val="single" w:color="92400E" w:sz="4"/>
              <w:right w:val="single" w:color="92400E" w:sz="4"/>
            </w:tcBorders>
            <w:shd w:fill="FEF3C7" w:val="clear"/>
            <w:tcMar>
              <w:top w:type="dxa" w:w="120"/>
              <w:left w:type="dxa" w:w="160"/>
              <w:bottom w:type="dxa" w:w="120"/>
              <w:right w:type="dxa" w:w="160"/>
            </w:tcMar>
          </w:tcPr>
          <w:p>
            <w:pPr>
              <w:pStyle w:val="ListParagraph"/>
              <w:numPr>
                <w:ilvl w:val="0"/>
                <w:numId w:val="2"/>
              </w:numPr>
              <w:spacing w:after="60" w:before="60"/>
              <w:jc w:val="left"/>
            </w:pPr>
            <w:r>
              <w:rPr>
                <w:rFonts w:ascii="Arial" w:cs="Arial" w:eastAsia="Arial" w:hAnsi="Arial"/>
                <w:b w:val="false"/>
                <w:bCs w:val="false"/>
                <w:i w:val="false"/>
                <w:iCs w:val="false"/>
                <w:color w:val="1E1B4B"/>
                <w:sz w:val="20"/>
                <w:szCs w:val="20"/>
              </w:rPr>
              <w:t xml:space="preserve">Without onboarding, new users don't understand Subspace's advantage over WhatsApp+UPI — the free alternative that does the same thing informally</w:t>
            </w:r>
          </w:p>
          <w:p>
            <w:pPr>
              <w:pStyle w:val="ListParagraph"/>
              <w:numPr>
                <w:ilvl w:val="0"/>
                <w:numId w:val="2"/>
              </w:numPr>
              <w:spacing w:after="60" w:before="60"/>
              <w:jc w:val="left"/>
            </w:pPr>
            <w:r>
              <w:rPr>
                <w:rFonts w:ascii="Arial" w:cs="Arial" w:eastAsia="Arial" w:hAnsi="Arial"/>
                <w:b w:val="false"/>
                <w:bCs w:val="false"/>
                <w:i w:val="false"/>
                <w:iCs w:val="false"/>
                <w:color w:val="1E1B4B"/>
                <w:sz w:val="20"/>
                <w:szCs w:val="20"/>
              </w:rPr>
              <w:t xml:space="preserve">A 2028 date on a monthly subscription checkout causes immediate abandonment — users assume a system error or an unwanted 2-year lock-in</w:t>
            </w:r>
          </w:p>
          <w:p>
            <w:pPr>
              <w:pStyle w:val="ListParagraph"/>
              <w:numPr>
                <w:ilvl w:val="0"/>
                <w:numId w:val="2"/>
              </w:numPr>
              <w:spacing w:after="60" w:before="60"/>
              <w:jc w:val="left"/>
            </w:pPr>
            <w:r>
              <w:rPr>
                <w:rFonts w:ascii="Arial" w:cs="Arial" w:eastAsia="Arial" w:hAnsi="Arial"/>
                <w:b w:val="false"/>
                <w:bCs w:val="false"/>
                <w:i w:val="false"/>
                <w:iCs w:val="false"/>
                <w:color w:val="1E1B4B"/>
                <w:sz w:val="20"/>
                <w:szCs w:val="20"/>
              </w:rPr>
              <w:t xml:space="preserve">Broken HTML signals poor engineering quality and buries conversion at the worst moment</w:t>
            </w:r>
          </w:p>
          <w:p>
            <w:pPr>
              <w:pStyle w:val="ListParagraph"/>
              <w:numPr>
                <w:ilvl w:val="0"/>
                <w:numId w:val="2"/>
              </w:numPr>
              <w:spacing w:after="60" w:before="60"/>
              <w:jc w:val="left"/>
            </w:pPr>
            <w:r>
              <w:rPr>
                <w:rFonts w:ascii="Arial" w:cs="Arial" w:eastAsia="Arial" w:hAnsi="Arial"/>
                <w:b w:val="false"/>
                <w:bCs w:val="false"/>
                <w:i w:val="false"/>
                <w:iCs w:val="false"/>
                <w:color w:val="1E1B4B"/>
                <w:sz w:val="20"/>
                <w:szCs w:val="20"/>
              </w:rPr>
              <w:t xml:space="preserve">Vendor dashboard confusion means sellers don't trust that their products are live — reducing supply side quality</w:t>
            </w:r>
          </w:p>
          <w:p>
            <w:pPr>
              <w:pStyle w:val="ListParagraph"/>
              <w:numPr>
                <w:ilvl w:val="0"/>
                <w:numId w:val="2"/>
              </w:numPr>
              <w:spacing w:after="60" w:before="60"/>
              <w:jc w:val="left"/>
            </w:pPr>
            <w:r>
              <w:rPr>
                <w:rFonts w:ascii="Arial" w:cs="Arial" w:eastAsia="Arial" w:hAnsi="Arial"/>
                <w:b w:val="false"/>
                <w:bCs w:val="false"/>
                <w:i w:val="false"/>
                <w:iCs w:val="false"/>
                <w:color w:val="1E1B4B"/>
                <w:sz w:val="20"/>
                <w:szCs w:val="20"/>
              </w:rPr>
              <w:t xml:space="preserve">₹0 savings on first visit makes the platform's core promise feel empty before it even starts</w:t>
            </w:r>
          </w:p>
        </w:tc>
      </w:tr>
    </w:tbl>
    <w:p>
      <w:pPr>
        <w:spacing w:after="80" w:before="0"/>
        <w:jc w:val="left"/>
      </w:pPr>
      <w:r>
        <w:rPr>
          <w:rFonts w:ascii="Arial" w:cs="Arial" w:eastAsia="Arial" w:hAnsi="Arial"/>
          <w:b w:val="false"/>
          <w:bCs w:val="false"/>
          <w:i w:val="false"/>
          <w:iCs w:val="false"/>
          <w:color w:val="1E1B4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single" w:color="065F46" w:sz="16"/>
              <w:bottom w:val="none" w:color="FFFFFF" w:sz="0"/>
              <w:right w:val="none" w:color="FFFFFF" w:sz="0"/>
            </w:tcBorders>
            <w:shd w:fill="D1FAE5" w:val="clear"/>
            <w:tcMar>
              <w:top w:type="dxa" w:w="120"/>
              <w:left w:type="dxa" w:w="160"/>
              <w:bottom w:type="dxa" w:w="120"/>
              <w:right w:type="dxa" w:w="160"/>
            </w:tcMar>
          </w:tcPr>
          <w:p>
            <w:pPr>
              <w:spacing w:after="0" w:before="0"/>
              <w:jc w:val="center"/>
            </w:pPr>
            <w:r>
              <w:rPr>
                <w:rFonts w:ascii="Arial" w:cs="Arial" w:eastAsia="Arial" w:hAnsi="Arial"/>
                <w:b/>
                <w:bCs/>
                <w:i w:val="false"/>
                <w:iCs w:val="false"/>
                <w:color w:val="065F46"/>
                <w:sz w:val="18"/>
                <w:szCs w:val="18"/>
              </w:rPr>
              <w:t xml:space="preserve">🚀 SHIP THIS</w:t>
            </w:r>
          </w:p>
        </w:tc>
        <w:tc>
          <w:tcPr>
            <w:tcW w:type="dxa" w:w="8160"/>
            <w:tcBorders>
              <w:top w:val="single" w:color="065F46" w:sz="4"/>
              <w:left w:val="none" w:color="FFFFFF" w:sz="0"/>
              <w:bottom w:val="single" w:color="065F46" w:sz="4"/>
              <w:right w:val="single" w:color="065F46" w:sz="4"/>
            </w:tcBorders>
            <w:shd w:fill="D1FAE5" w:val="clear"/>
            <w:tcMar>
              <w:top w:type="dxa" w:w="120"/>
              <w:left w:type="dxa" w:w="160"/>
              <w:bottom w:type="dxa" w:w="120"/>
              <w:right w:type="dxa" w:w="160"/>
            </w:tcMar>
          </w:tcPr>
          <w:p>
            <w:pPr>
              <w:pStyle w:val="ListParagraph"/>
              <w:numPr>
                <w:ilvl w:val="0"/>
                <w:numId w:val="2"/>
              </w:numPr>
              <w:spacing w:after="60" w:before="60"/>
              <w:jc w:val="left"/>
            </w:pPr>
            <w:r>
              <w:rPr>
                <w:rFonts w:ascii="Arial" w:cs="Arial" w:eastAsia="Arial" w:hAnsi="Arial"/>
                <w:b/>
                <w:bCs/>
                <w:i w:val="false"/>
                <w:iCs w:val="false"/>
                <w:color w:val="7C3AED"/>
                <w:sz w:val="20"/>
                <w:szCs w:val="20"/>
              </w:rPr>
              <w:t xml:space="preserve">Onboarding: </w:t>
            </w:r>
            <w:r>
              <w:rPr>
                <w:rFonts w:ascii="Arial" w:cs="Arial" w:eastAsia="Arial" w:hAnsi="Arial"/>
                <w:b w:val="false"/>
                <w:bCs w:val="false"/>
                <w:i w:val="false"/>
                <w:iCs w:val="false"/>
                <w:color w:val="1E1B4B"/>
                <w:sz w:val="20"/>
                <w:szCs w:val="20"/>
              </w:rPr>
              <w:t xml:space="preserve">Add a one-time first-run overlay for new users — 3 screens max: 'What is Subspace', 'Pick what you want to save on', 'Here's your first recommended group'. Skip-able, never shown again.</w:t>
            </w:r>
          </w:p>
          <w:p>
            <w:pPr>
              <w:pStyle w:val="ListParagraph"/>
              <w:numPr>
                <w:ilvl w:val="0"/>
                <w:numId w:val="2"/>
              </w:numPr>
              <w:spacing w:after="60" w:before="60"/>
              <w:jc w:val="left"/>
            </w:pPr>
            <w:r>
              <w:rPr>
                <w:rFonts w:ascii="Arial" w:cs="Arial" w:eastAsia="Arial" w:hAnsi="Arial"/>
                <w:b/>
                <w:bCs/>
                <w:i w:val="false"/>
                <w:iCs w:val="false"/>
                <w:color w:val="7C3AED"/>
                <w:sz w:val="20"/>
                <w:szCs w:val="20"/>
              </w:rPr>
              <w:t xml:space="preserve">Tab rename: </w:t>
            </w:r>
            <w:r>
              <w:rPr>
                <w:rFonts w:ascii="Arial" w:cs="Arial" w:eastAsia="Arial" w:hAnsi="Arial"/>
                <w:b w:val="false"/>
                <w:bCs w:val="false"/>
                <w:i w:val="false"/>
                <w:iCs w:val="false"/>
                <w:color w:val="1E1B4B"/>
                <w:sz w:val="20"/>
                <w:szCs w:val="20"/>
              </w:rPr>
              <w:t xml:space="preserve">'Home' → 'Dashboard'. This alone fixes the navigation confusion.</w:t>
            </w:r>
          </w:p>
          <w:p>
            <w:pPr>
              <w:pStyle w:val="ListParagraph"/>
              <w:numPr>
                <w:ilvl w:val="0"/>
                <w:numId w:val="2"/>
              </w:numPr>
              <w:spacing w:after="60" w:before="60"/>
              <w:jc w:val="left"/>
            </w:pPr>
            <w:r>
              <w:rPr>
                <w:rFonts w:ascii="Arial" w:cs="Arial" w:eastAsia="Arial" w:hAnsi="Arial"/>
                <w:b/>
                <w:bCs/>
                <w:i w:val="false"/>
                <w:iCs w:val="false"/>
                <w:color w:val="7C3AED"/>
                <w:sz w:val="20"/>
                <w:szCs w:val="20"/>
              </w:rPr>
              <w:t xml:space="preserve">Checkout copy: </w:t>
            </w:r>
            <w:r>
              <w:rPr>
                <w:rFonts w:ascii="Arial" w:cs="Arial" w:eastAsia="Arial" w:hAnsi="Arial"/>
                <w:b w:val="false"/>
                <w:bCs w:val="false"/>
                <w:i w:val="false"/>
                <w:iCs w:val="false"/>
                <w:color w:val="1E1B4B"/>
                <w:sz w:val="20"/>
                <w:szCs w:val="20"/>
              </w:rPr>
              <w:t xml:space="preserve">Change 'Next payment will be charged on' to 'This group's subscription renews on'. Fix the date calculation bug — monthly plans must show next month's date.</w:t>
            </w:r>
          </w:p>
          <w:p>
            <w:pPr>
              <w:pStyle w:val="ListParagraph"/>
              <w:numPr>
                <w:ilvl w:val="0"/>
                <w:numId w:val="2"/>
              </w:numPr>
              <w:spacing w:after="60" w:before="60"/>
              <w:jc w:val="left"/>
            </w:pPr>
            <w:r>
              <w:rPr>
                <w:rFonts w:ascii="Arial" w:cs="Arial" w:eastAsia="Arial" w:hAnsi="Arial"/>
                <w:b/>
                <w:bCs/>
                <w:i w:val="false"/>
                <w:iCs w:val="false"/>
                <w:color w:val="7C3AED"/>
                <w:sz w:val="20"/>
                <w:szCs w:val="20"/>
              </w:rPr>
              <w:t xml:space="preserve">Gift cards: </w:t>
            </w:r>
            <w:r>
              <w:rPr>
                <w:rFonts w:ascii="Arial" w:cs="Arial" w:eastAsia="Arial" w:hAnsi="Arial"/>
                <w:b w:val="false"/>
                <w:bCs w:val="false"/>
                <w:i w:val="false"/>
                <w:iCs w:val="false"/>
                <w:color w:val="1E1B4B"/>
                <w:sz w:val="20"/>
                <w:szCs w:val="20"/>
              </w:rPr>
              <w:t xml:space="preserve">Replace brand description walls with structured cards — image, validity, discount, denomination selector, one CTA. Model exactly on Woohoo.</w:t>
            </w:r>
          </w:p>
          <w:p>
            <w:pPr>
              <w:pStyle w:val="ListParagraph"/>
              <w:numPr>
                <w:ilvl w:val="0"/>
                <w:numId w:val="2"/>
              </w:numPr>
              <w:spacing w:after="60" w:before="60"/>
              <w:jc w:val="left"/>
            </w:pPr>
            <w:r>
              <w:rPr>
                <w:rFonts w:ascii="Arial" w:cs="Arial" w:eastAsia="Arial" w:hAnsi="Arial"/>
                <w:b/>
                <w:bCs/>
                <w:i w:val="false"/>
                <w:iCs w:val="false"/>
                <w:color w:val="7C3AED"/>
                <w:sz w:val="20"/>
                <w:szCs w:val="20"/>
              </w:rPr>
              <w:t xml:space="preserve">Vendor states: </w:t>
            </w:r>
            <w:r>
              <w:rPr>
                <w:rFonts w:ascii="Arial" w:cs="Arial" w:eastAsia="Arial" w:hAnsi="Arial"/>
                <w:b w:val="false"/>
                <w:bCs w:val="false"/>
                <w:i w:val="false"/>
                <w:iCs w:val="false"/>
                <w:color w:val="1E1B4B"/>
                <w:sz w:val="20"/>
                <w:szCs w:val="20"/>
              </w:rPr>
              <w:t xml:space="preserve">Define Active vs Live with a one-line tooltip. If pending moderation, say so.</w:t>
            </w:r>
          </w:p>
          <w:p>
            <w:pPr>
              <w:pStyle w:val="ListParagraph"/>
              <w:numPr>
                <w:ilvl w:val="0"/>
                <w:numId w:val="2"/>
              </w:numPr>
              <w:spacing w:after="60" w:before="60"/>
              <w:jc w:val="left"/>
            </w:pPr>
            <w:r>
              <w:rPr>
                <w:rFonts w:ascii="Arial" w:cs="Arial" w:eastAsia="Arial" w:hAnsi="Arial"/>
                <w:b/>
                <w:bCs/>
                <w:i w:val="false"/>
                <w:iCs w:val="false"/>
                <w:color w:val="7C3AED"/>
                <w:sz w:val="20"/>
                <w:szCs w:val="20"/>
              </w:rPr>
              <w:t xml:space="preserve">Money Saved: </w:t>
            </w:r>
            <w:r>
              <w:rPr>
                <w:rFonts w:ascii="Arial" w:cs="Arial" w:eastAsia="Arial" w:hAnsi="Arial"/>
                <w:b w:val="false"/>
                <w:bCs w:val="false"/>
                <w:i w:val="false"/>
                <w:iCs w:val="false"/>
                <w:color w:val="1E1B4B"/>
                <w:sz w:val="20"/>
                <w:szCs w:val="20"/>
              </w:rPr>
              <w:t xml:space="preserve">Surface as a hero widget on the Dashboard. Show projected savings for ₹0 users: 'Join Netflix Standard with 1 other and save ₹249/month.'</w:t>
            </w:r>
          </w:p>
        </w:tc>
      </w:tr>
    </w:tbl>
    <w:p>
      <w:pPr>
        <w:spacing w:after="200" w:before="0"/>
        <w:jc w:val="left"/>
      </w:pPr>
      <w:r>
        <w:rPr>
          <w:rFonts w:ascii="Arial" w:cs="Arial" w:eastAsia="Arial" w:hAnsi="Arial"/>
          <w:b w:val="false"/>
          <w:bCs w:val="false"/>
          <w:i w:val="false"/>
          <w:iCs w:val="false"/>
          <w:color w:val="1E1B4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7C3AED" w:val="clear"/>
            <w:tcMar>
              <w:top w:type="dxa" w:w="200"/>
              <w:left w:type="dxa" w:w="160"/>
              <w:bottom w:type="dxa" w:w="200"/>
              <w:right w:type="dxa" w:w="160"/>
            </w:tcMar>
          </w:tcPr>
          <w:p>
            <w:pPr>
              <w:spacing w:after="0" w:before="0"/>
              <w:jc w:val="center"/>
            </w:pPr>
            <w:r>
              <w:rPr>
                <w:rFonts w:ascii="Arial" w:cs="Arial" w:eastAsia="Arial" w:hAnsi="Arial"/>
                <w:b/>
                <w:bCs/>
                <w:i w:val="false"/>
                <w:iCs w:val="false"/>
                <w:color w:val="FFFFFF"/>
                <w:sz w:val="48"/>
                <w:szCs w:val="48"/>
              </w:rPr>
              <w:t xml:space="preserve">02</w:t>
            </w:r>
          </w:p>
        </w:tc>
        <w:tc>
          <w:tcPr>
            <w:tcW w:type="dxa" w:w="8560"/>
            <w:tcBorders>
              <w:top w:val="none" w:color="FFFFFF" w:sz="0"/>
              <w:left w:val="none" w:color="FFFFFF" w:sz="0"/>
              <w:bottom w:val="none" w:color="FFFFFF" w:sz="0"/>
              <w:right w:val="none" w:color="FFFFFF" w:sz="0"/>
            </w:tcBorders>
            <w:shd w:fill="5B21B6" w:val="clear"/>
            <w:tcMar>
              <w:top w:type="dxa" w:w="160"/>
              <w:left w:type="dxa" w:w="160"/>
              <w:bottom w:type="dxa" w:w="160"/>
              <w:right w:type="dxa" w:w="160"/>
            </w:tcMar>
          </w:tcPr>
          <w:p>
            <w:pPr>
              <w:spacing w:after="0" w:before="80"/>
              <w:jc w:val="left"/>
            </w:pPr>
            <w:r>
              <w:rPr>
                <w:rFonts w:ascii="Arial" w:cs="Arial" w:eastAsia="Arial" w:hAnsi="Arial"/>
                <w:b/>
                <w:bCs/>
                <w:i w:val="false"/>
                <w:iCs w:val="false"/>
                <w:color w:val="FFFFFF"/>
                <w:sz w:val="32"/>
                <w:szCs w:val="32"/>
              </w:rPr>
              <w:t xml:space="preserve">Features / Services</w:t>
            </w:r>
          </w:p>
          <w:p>
            <w:pPr>
              <w:spacing w:after="0" w:before="0"/>
              <w:jc w:val="left"/>
            </w:pPr>
            <w:r>
              <w:rPr>
                <w:rFonts w:ascii="Arial" w:cs="Arial" w:eastAsia="Arial" w:hAnsi="Arial"/>
                <w:b w:val="false"/>
                <w:bCs w:val="false"/>
                <w:i w:val="false"/>
                <w:iCs w:val="false"/>
                <w:color w:val="D8B4FE"/>
                <w:sz w:val="18"/>
                <w:szCs w:val="18"/>
              </w:rPr>
              <w:t xml:space="preserve">Framework: SWOT — Weaknesses</w:t>
            </w:r>
          </w:p>
        </w:tc>
      </w:tr>
    </w:tbl>
    <w:p>
      <w:pPr>
        <w:spacing w:after="160" w:before="0"/>
        <w:jc w:val="left"/>
      </w:pPr>
      <w:r>
        <w:rPr>
          <w:rFonts w:ascii="Arial" w:cs="Arial" w:eastAsia="Arial" w:hAnsi="Arial"/>
          <w:b w:val="false"/>
          <w:bCs w:val="false"/>
          <w:i w:val="false"/>
          <w:iCs w:val="false"/>
          <w:color w:val="1E1B4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920"/>
      </w:tblGrid>
      <w:tr>
        <w:tc>
          <w:tcPr>
            <w:tcW w:type="dxa" w:w="440"/>
            <w:tcBorders>
              <w:top w:val="none" w:color="FFFFFF" w:sz="0"/>
              <w:left w:val="none" w:color="FFFFFF" w:sz="0"/>
              <w:bottom w:val="none" w:color="FFFFFF" w:sz="0"/>
              <w:right w:val="none" w:color="FFFFFF" w:sz="0"/>
            </w:tcBorders>
            <w:shd w:fill="7C3AED" w:val="clear"/>
            <w:tcMar>
              <w:top w:type="dxa" w:w="160"/>
              <w:left w:type="dxa" w:w="160"/>
              <w:bottom w:type="dxa" w:w="160"/>
              <w:right w:type="dxa" w:w="160"/>
            </w:tcMar>
          </w:tcPr>
          <w:p>
            <w:pPr>
              <w:spacing w:after="0" w:before="0"/>
              <w:jc w:val="center"/>
            </w:pPr>
            <w:r>
              <w:rPr>
                <w:rFonts w:ascii="Arial" w:cs="Arial" w:eastAsia="Arial" w:hAnsi="Arial"/>
                <w:b/>
                <w:bCs/>
                <w:i w:val="false"/>
                <w:iCs w:val="false"/>
                <w:color w:val="FFFFFF"/>
                <w:sz w:val="28"/>
                <w:szCs w:val="28"/>
              </w:rPr>
              <w:t xml:space="preserve">F1</w:t>
            </w:r>
          </w:p>
        </w:tc>
        <w:tc>
          <w:tcPr>
            <w:tcW w:type="dxa" w:w="8920"/>
            <w:tcBorders>
              <w:top w:val="single" w:color="E5E7EB" w:sz="2"/>
              <w:left w:val="none" w:color="FFFFFF" w:sz="0"/>
              <w:bottom w:val="single" w:color="E5E7EB" w:sz="2"/>
              <w:right w:val="single" w:color="E5E7EB" w:sz="2"/>
            </w:tcBorders>
            <w:tcMar>
              <w:top w:type="dxa" w:w="120"/>
              <w:left w:type="dxa" w:w="160"/>
              <w:bottom w:type="dxa" w:w="120"/>
              <w:right w:type="dxa" w:w="160"/>
            </w:tcMar>
          </w:tcPr>
          <w:p>
            <w:pPr>
              <w:spacing w:after="80" w:before="0"/>
              <w:jc w:val="left"/>
            </w:pPr>
            <w:r>
              <w:rPr>
                <w:rFonts w:ascii="Arial" w:cs="Arial" w:eastAsia="Arial" w:hAnsi="Arial"/>
                <w:b/>
                <w:bCs/>
                <w:i w:val="false"/>
                <w:iCs w:val="false"/>
                <w:color w:val="1E1B4B"/>
                <w:sz w:val="22"/>
                <w:szCs w:val="22"/>
              </w:rPr>
              <w:t xml:space="preserve">Subscription Catalog Has Only 8 Options</w:t>
            </w:r>
          </w:p>
          <w:p>
            <w:pPr>
              <w:spacing w:after="80" w:before="0"/>
              <w:jc w:val="left"/>
            </w:pPr>
            <w:r>
              <w:rPr>
                <w:rFonts w:ascii="Arial" w:cs="Arial" w:eastAsia="Arial" w:hAnsi="Arial"/>
                <w:b w:val="false"/>
                <w:bCs w:val="false"/>
                <w:i w:val="false"/>
                <w:iCs w:val="false"/>
                <w:color w:val="1E1B4B"/>
                <w:sz w:val="19"/>
                <w:szCs w:val="19"/>
              </w:rPr>
              <w:t xml:space="preserve">The 'Add Subscription' catalog — meant for users to track all their recurring payments — lists only 8 options: Netflix, Prime Video, JioHotstar, YouTube Premium, Zee5, Claude by Anthropic, Spotify, Crunchyroll. Swiggy One, Zomato Gold, Myntra Insider, gym memberships, insurance premiums, CRED, PhonePe Switch, newspaper subscriptions — none of these are trackable. A subscription manager that covers 8 services is not a subscription manager for the average Indian 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7C3AED" w:sz="4"/>
                    <w:left w:val="dashed" w:color="7C3AED" w:sz="4"/>
                    <w:bottom w:val="dashed" w:color="7C3AED" w:sz="4"/>
                    <w:right w:val="dashed" w:color="7C3AED" w:sz="4"/>
                  </w:tcBorders>
                  <w:shd w:fill="F5F3FF" w:val="clear"/>
                  <w:tcMar>
                    <w:top w:type="dxa" w:w="120"/>
                    <w:left w:type="dxa" w:w="160"/>
                    <w:bottom w:type="dxa" w:w="120"/>
                    <w:right w:type="dxa" w:w="160"/>
                  </w:tcMar>
                </w:tcPr>
                <w:p>
                  <w:pPr>
                    <w:spacing w:after="0" w:before="60"/>
                    <w:jc w:val="center"/>
                  </w:pPr>
                  <w:r>
                    <w:rPr>
                      <w:rFonts w:ascii="Arial" w:cs="Arial" w:eastAsia="Arial" w:hAnsi="Arial"/>
                      <w:b/>
                      <w:bCs/>
                      <w:i w:val="false"/>
                      <w:iCs w:val="false"/>
                      <w:color w:val="7C3AED"/>
                      <w:sz w:val="16"/>
                      <w:szCs w:val="16"/>
                    </w:rPr>
                    <w:t xml:space="preserve">📸  INSERT SCREENSHOT</w:t>
                  </w:r>
                </w:p>
                <w:p>
                  <w:pPr>
                    <w:spacing w:after="60" w:before="0"/>
                    <w:jc w:val="center"/>
                  </w:pPr>
                  <w:r>
                    <w:rPr>
                      <w:rFonts w:ascii="Arial" w:cs="Arial" w:eastAsia="Arial" w:hAnsi="Arial"/>
                      <w:b w:val="false"/>
                      <w:bCs w:val="false"/>
                      <w:i w:val="false"/>
                      <w:iCs w:val="false"/>
                      <w:color w:val="6B7280"/>
                      <w:sz w:val="15"/>
                      <w:szCs w:val="15"/>
                    </w:rPr>
                    <w:t xml:space="preserve">Add Subscription modal — only 8 options visible</w:t>
                  </w:r>
                </w:p>
              </w:tc>
            </w:tr>
          </w:tbl>
          <w:p/>
        </w:tc>
      </w:tr>
    </w:tbl>
    <w:p>
      <w:pPr>
        <w:spacing w:after="100" w:before="0"/>
        <w:jc w:val="left"/>
      </w:pPr>
      <w:r>
        <w:rPr>
          <w:rFonts w:ascii="Arial" w:cs="Arial" w:eastAsia="Arial" w:hAnsi="Arial"/>
          <w:b w:val="false"/>
          <w:bCs w:val="false"/>
          <w:i w:val="false"/>
          <w:iCs w:val="false"/>
          <w:color w:val="1E1B4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920"/>
      </w:tblGrid>
      <w:tr>
        <w:tc>
          <w:tcPr>
            <w:tcW w:type="dxa" w:w="440"/>
            <w:tcBorders>
              <w:top w:val="none" w:color="FFFFFF" w:sz="0"/>
              <w:left w:val="none" w:color="FFFFFF" w:sz="0"/>
              <w:bottom w:val="none" w:color="FFFFFF" w:sz="0"/>
              <w:right w:val="none" w:color="FFFFFF" w:sz="0"/>
            </w:tcBorders>
            <w:shd w:fill="7C3AED" w:val="clear"/>
            <w:tcMar>
              <w:top w:type="dxa" w:w="160"/>
              <w:left w:type="dxa" w:w="160"/>
              <w:bottom w:type="dxa" w:w="160"/>
              <w:right w:type="dxa" w:w="160"/>
            </w:tcMar>
          </w:tcPr>
          <w:p>
            <w:pPr>
              <w:spacing w:after="0" w:before="0"/>
              <w:jc w:val="center"/>
            </w:pPr>
            <w:r>
              <w:rPr>
                <w:rFonts w:ascii="Arial" w:cs="Arial" w:eastAsia="Arial" w:hAnsi="Arial"/>
                <w:b/>
                <w:bCs/>
                <w:i w:val="false"/>
                <w:iCs w:val="false"/>
                <w:color w:val="FFFFFF"/>
                <w:sz w:val="28"/>
                <w:szCs w:val="28"/>
              </w:rPr>
              <w:t xml:space="preserve">F2</w:t>
            </w:r>
          </w:p>
        </w:tc>
        <w:tc>
          <w:tcPr>
            <w:tcW w:type="dxa" w:w="8920"/>
            <w:tcBorders>
              <w:top w:val="single" w:color="E5E7EB" w:sz="2"/>
              <w:left w:val="none" w:color="FFFFFF" w:sz="0"/>
              <w:bottom w:val="single" w:color="E5E7EB" w:sz="2"/>
              <w:right w:val="single" w:color="E5E7EB" w:sz="2"/>
            </w:tcBorders>
            <w:tcMar>
              <w:top w:type="dxa" w:w="120"/>
              <w:left w:type="dxa" w:w="160"/>
              <w:bottom w:type="dxa" w:w="120"/>
              <w:right w:type="dxa" w:w="160"/>
            </w:tcMar>
          </w:tcPr>
          <w:p>
            <w:pPr>
              <w:spacing w:after="80" w:before="0"/>
              <w:jc w:val="left"/>
            </w:pPr>
            <w:r>
              <w:rPr>
                <w:rFonts w:ascii="Arial" w:cs="Arial" w:eastAsia="Arial" w:hAnsi="Arial"/>
                <w:b/>
                <w:bCs/>
                <w:i w:val="false"/>
                <w:iCs w:val="false"/>
                <w:color w:val="1E1B4B"/>
                <w:sz w:val="22"/>
                <w:szCs w:val="22"/>
              </w:rPr>
              <w:t xml:space="preserve">Negotiate API: Marketed Heavily, Absent from Product</w:t>
            </w:r>
          </w:p>
          <w:p>
            <w:pPr>
              <w:spacing w:after="60" w:before="0"/>
              <w:jc w:val="left"/>
            </w:pPr>
            <w:r>
              <w:rPr>
                <w:rFonts w:ascii="Arial" w:cs="Arial" w:eastAsia="Arial" w:hAnsi="Arial"/>
                <w:b w:val="false"/>
                <w:bCs w:val="false"/>
                <w:i w:val="false"/>
                <w:iCs w:val="false"/>
                <w:color w:val="1E1B4B"/>
                <w:sz w:val="19"/>
                <w:szCs w:val="19"/>
              </w:rPr>
              <w:t xml:space="preserve">Subspace's own positioning describes the Negotiate API as a core moat: 'automated price negotiation = hard to replicate.' It is listed on their website, included in investor materials, and cited as a key differentiator. Inside the actual app, this feature does not exist — no button, no flow, no entry point, no mention. Promising a feature that users cannot find erodes trust faster than not having it at all.</w:t>
            </w:r>
          </w:p>
        </w:tc>
      </w:tr>
    </w:tbl>
    <w:p>
      <w:pPr>
        <w:spacing w:after="100" w:before="0"/>
        <w:jc w:val="left"/>
      </w:pPr>
      <w:r>
        <w:rPr>
          <w:rFonts w:ascii="Arial" w:cs="Arial" w:eastAsia="Arial" w:hAnsi="Arial"/>
          <w:b w:val="false"/>
          <w:bCs w:val="false"/>
          <w:i w:val="false"/>
          <w:iCs w:val="false"/>
          <w:color w:val="1E1B4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920"/>
      </w:tblGrid>
      <w:tr>
        <w:tc>
          <w:tcPr>
            <w:tcW w:type="dxa" w:w="440"/>
            <w:tcBorders>
              <w:top w:val="none" w:color="FFFFFF" w:sz="0"/>
              <w:left w:val="none" w:color="FFFFFF" w:sz="0"/>
              <w:bottom w:val="none" w:color="FFFFFF" w:sz="0"/>
              <w:right w:val="none" w:color="FFFFFF" w:sz="0"/>
            </w:tcBorders>
            <w:shd w:fill="7C3AED" w:val="clear"/>
            <w:tcMar>
              <w:top w:type="dxa" w:w="160"/>
              <w:left w:type="dxa" w:w="160"/>
              <w:bottom w:type="dxa" w:w="160"/>
              <w:right w:type="dxa" w:w="160"/>
            </w:tcMar>
          </w:tcPr>
          <w:p>
            <w:pPr>
              <w:spacing w:after="0" w:before="0"/>
              <w:jc w:val="center"/>
            </w:pPr>
            <w:r>
              <w:rPr>
                <w:rFonts w:ascii="Arial" w:cs="Arial" w:eastAsia="Arial" w:hAnsi="Arial"/>
                <w:b/>
                <w:bCs/>
                <w:i w:val="false"/>
                <w:iCs w:val="false"/>
                <w:color w:val="FFFFFF"/>
                <w:sz w:val="28"/>
                <w:szCs w:val="28"/>
              </w:rPr>
              <w:t xml:space="preserve">F3</w:t>
            </w:r>
          </w:p>
        </w:tc>
        <w:tc>
          <w:tcPr>
            <w:tcW w:type="dxa" w:w="8920"/>
            <w:tcBorders>
              <w:top w:val="single" w:color="E5E7EB" w:sz="2"/>
              <w:left w:val="none" w:color="FFFFFF" w:sz="0"/>
              <w:bottom w:val="single" w:color="E5E7EB" w:sz="2"/>
              <w:right w:val="single" w:color="E5E7EB" w:sz="2"/>
            </w:tcBorders>
            <w:tcMar>
              <w:top w:type="dxa" w:w="120"/>
              <w:left w:type="dxa" w:w="160"/>
              <w:bottom w:type="dxa" w:w="120"/>
              <w:right w:type="dxa" w:w="160"/>
            </w:tcMar>
          </w:tcPr>
          <w:p>
            <w:pPr>
              <w:spacing w:after="80" w:before="0"/>
              <w:jc w:val="left"/>
            </w:pPr>
            <w:r>
              <w:rPr>
                <w:rFonts w:ascii="Arial" w:cs="Arial" w:eastAsia="Arial" w:hAnsi="Arial"/>
                <w:b/>
                <w:bCs/>
                <w:i w:val="false"/>
                <w:iCs w:val="false"/>
                <w:color w:val="1E1B4B"/>
                <w:sz w:val="22"/>
                <w:szCs w:val="22"/>
              </w:rPr>
              <w:t xml:space="preserve">Bill Payments: Dead Feature in Primary Navigation</w:t>
            </w:r>
          </w:p>
          <w:p>
            <w:pPr>
              <w:spacing w:after="80" w:before="0"/>
              <w:jc w:val="left"/>
            </w:pPr>
            <w:r>
              <w:rPr>
                <w:rFonts w:ascii="Arial" w:cs="Arial" w:eastAsia="Arial" w:hAnsi="Arial"/>
                <w:b w:val="false"/>
                <w:bCs w:val="false"/>
                <w:i w:val="false"/>
                <w:iCs w:val="false"/>
                <w:color w:val="1E1B4B"/>
                <w:sz w:val="19"/>
                <w:szCs w:val="19"/>
              </w:rPr>
              <w:t xml:space="preserve">The 'Bill Payments' section in primary navigation shows two tabs — Recharges and Home Bills — both completely empty. No providers, no search results, nothing. A dead feature in the main navigation signals an unfinished product to every user who clicks it, undermining confidence in the rest of the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7C3AED" w:sz="4"/>
                    <w:left w:val="dashed" w:color="7C3AED" w:sz="4"/>
                    <w:bottom w:val="dashed" w:color="7C3AED" w:sz="4"/>
                    <w:right w:val="dashed" w:color="7C3AED" w:sz="4"/>
                  </w:tcBorders>
                  <w:shd w:fill="F5F3FF" w:val="clear"/>
                  <w:tcMar>
                    <w:top w:type="dxa" w:w="120"/>
                    <w:left w:type="dxa" w:w="160"/>
                    <w:bottom w:type="dxa" w:w="120"/>
                    <w:right w:type="dxa" w:w="160"/>
                  </w:tcMar>
                </w:tcPr>
                <w:p>
                  <w:pPr>
                    <w:spacing w:after="0" w:before="60"/>
                    <w:jc w:val="center"/>
                  </w:pPr>
                  <w:r>
                    <w:rPr>
                      <w:rFonts w:ascii="Arial" w:cs="Arial" w:eastAsia="Arial" w:hAnsi="Arial"/>
                      <w:b/>
                      <w:bCs/>
                      <w:i w:val="false"/>
                      <w:iCs w:val="false"/>
                      <w:color w:val="7C3AED"/>
                      <w:sz w:val="16"/>
                      <w:szCs w:val="16"/>
                    </w:rPr>
                    <w:t xml:space="preserve">📸  INSERT SCREENSHOT</w:t>
                  </w:r>
                </w:p>
                <w:p>
                  <w:pPr>
                    <w:spacing w:after="60" w:before="0"/>
                    <w:jc w:val="center"/>
                  </w:pPr>
                  <w:r>
                    <w:rPr>
                      <w:rFonts w:ascii="Arial" w:cs="Arial" w:eastAsia="Arial" w:hAnsi="Arial"/>
                      <w:b w:val="false"/>
                      <w:bCs w:val="false"/>
                      <w:i w:val="false"/>
                      <w:iCs w:val="false"/>
                      <w:color w:val="6B7280"/>
                      <w:sz w:val="15"/>
                      <w:szCs w:val="15"/>
                    </w:rPr>
                    <w:t xml:space="preserve">Bill Payments page — completely empty, Recharges and Home Bills tabs show nothing</w:t>
                  </w:r>
                </w:p>
              </w:tc>
            </w:tr>
          </w:tbl>
          <w:p/>
        </w:tc>
      </w:tr>
    </w:tbl>
    <w:p>
      <w:pPr>
        <w:spacing w:after="100" w:before="0"/>
        <w:jc w:val="left"/>
      </w:pPr>
      <w:r>
        <w:rPr>
          <w:rFonts w:ascii="Arial" w:cs="Arial" w:eastAsia="Arial" w:hAnsi="Arial"/>
          <w:b w:val="false"/>
          <w:bCs w:val="false"/>
          <w:i w:val="false"/>
          <w:iCs w:val="false"/>
          <w:color w:val="1E1B4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920"/>
      </w:tblGrid>
      <w:tr>
        <w:tc>
          <w:tcPr>
            <w:tcW w:type="dxa" w:w="440"/>
            <w:tcBorders>
              <w:top w:val="none" w:color="FFFFFF" w:sz="0"/>
              <w:left w:val="none" w:color="FFFFFF" w:sz="0"/>
              <w:bottom w:val="none" w:color="FFFFFF" w:sz="0"/>
              <w:right w:val="none" w:color="FFFFFF" w:sz="0"/>
            </w:tcBorders>
            <w:shd w:fill="7C3AED" w:val="clear"/>
            <w:tcMar>
              <w:top w:type="dxa" w:w="160"/>
              <w:left w:type="dxa" w:w="160"/>
              <w:bottom w:type="dxa" w:w="160"/>
              <w:right w:type="dxa" w:w="160"/>
            </w:tcMar>
          </w:tcPr>
          <w:p>
            <w:pPr>
              <w:spacing w:after="0" w:before="0"/>
              <w:jc w:val="center"/>
            </w:pPr>
            <w:r>
              <w:rPr>
                <w:rFonts w:ascii="Arial" w:cs="Arial" w:eastAsia="Arial" w:hAnsi="Arial"/>
                <w:b/>
                <w:bCs/>
                <w:i w:val="false"/>
                <w:iCs w:val="false"/>
                <w:color w:val="FFFFFF"/>
                <w:sz w:val="28"/>
                <w:szCs w:val="28"/>
              </w:rPr>
              <w:t xml:space="preserve">F4</w:t>
            </w:r>
          </w:p>
        </w:tc>
        <w:tc>
          <w:tcPr>
            <w:tcW w:type="dxa" w:w="8920"/>
            <w:tcBorders>
              <w:top w:val="single" w:color="E5E7EB" w:sz="2"/>
              <w:left w:val="none" w:color="FFFFFF" w:sz="0"/>
              <w:bottom w:val="single" w:color="E5E7EB" w:sz="2"/>
              <w:right w:val="single" w:color="E5E7EB" w:sz="2"/>
            </w:tcBorders>
            <w:tcMar>
              <w:top w:type="dxa" w:w="120"/>
              <w:left w:type="dxa" w:w="160"/>
              <w:bottom w:type="dxa" w:w="120"/>
              <w:right w:type="dxa" w:w="160"/>
            </w:tcMar>
          </w:tcPr>
          <w:p>
            <w:pPr>
              <w:spacing w:after="80" w:before="0"/>
              <w:jc w:val="left"/>
            </w:pPr>
            <w:r>
              <w:rPr>
                <w:rFonts w:ascii="Arial" w:cs="Arial" w:eastAsia="Arial" w:hAnsi="Arial"/>
                <w:b/>
                <w:bCs/>
                <w:i w:val="false"/>
                <w:iCs w:val="false"/>
                <w:color w:val="1E1B4B"/>
                <w:sz w:val="22"/>
                <w:szCs w:val="22"/>
              </w:rPr>
              <w:t xml:space="preserve">Money Saved Exists but Does No Work for Conversion</w:t>
            </w:r>
          </w:p>
          <w:p>
            <w:pPr>
              <w:spacing w:after="60" w:before="0"/>
              <w:jc w:val="left"/>
            </w:pPr>
            <w:r>
              <w:rPr>
                <w:rFonts w:ascii="Arial" w:cs="Arial" w:eastAsia="Arial" w:hAnsi="Arial"/>
                <w:b w:val="false"/>
                <w:bCs w:val="false"/>
                <w:i w:val="false"/>
                <w:iCs w:val="false"/>
                <w:color w:val="1E1B4B"/>
                <w:sz w:val="19"/>
                <w:szCs w:val="19"/>
              </w:rPr>
              <w:t xml:space="preserve">The Money Saved section (Sharing Savings, Sharing Earnings, Purchase Savings, Paid via Subspace) is thoughtfully designed. But it shows ₹0 for new users with no projected savings, no comparison benchmark, and no 'here's what you could earn' hook. A savings platform that never shows you your savings is not keeping its promise.</w:t>
            </w:r>
          </w:p>
        </w:tc>
      </w:tr>
    </w:tbl>
    <w:p>
      <w:pPr>
        <w:spacing w:after="120" w:before="0"/>
        <w:jc w:val="left"/>
      </w:pPr>
      <w:r>
        <w:rPr>
          <w:rFonts w:ascii="Arial" w:cs="Arial" w:eastAsia="Arial" w:hAnsi="Arial"/>
          <w:b w:val="false"/>
          <w:bCs w:val="false"/>
          <w:i w:val="false"/>
          <w:iCs w:val="false"/>
          <w:color w:val="1E1B4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single" w:color="1E40AF" w:sz="16"/>
              <w:bottom w:val="none" w:color="FFFFFF" w:sz="0"/>
              <w:right w:val="none" w:color="FFFFFF" w:sz="0"/>
            </w:tcBorders>
            <w:shd w:fill="DBEAFE" w:val="clear"/>
            <w:tcMar>
              <w:top w:type="dxa" w:w="120"/>
              <w:left w:type="dxa" w:w="160"/>
              <w:bottom w:type="dxa" w:w="120"/>
              <w:right w:type="dxa" w:w="160"/>
            </w:tcMar>
          </w:tcPr>
          <w:p>
            <w:pPr>
              <w:spacing w:after="0" w:before="0"/>
              <w:jc w:val="center"/>
            </w:pPr>
            <w:r>
              <w:rPr>
                <w:rFonts w:ascii="Arial" w:cs="Arial" w:eastAsia="Arial" w:hAnsi="Arial"/>
                <w:b/>
                <w:bCs/>
                <w:i w:val="false"/>
                <w:iCs w:val="false"/>
                <w:color w:val="1E40AF"/>
                <w:sz w:val="18"/>
                <w:szCs w:val="18"/>
              </w:rPr>
              <w:t xml:space="preserve">👁 OBSERVED</w:t>
            </w:r>
          </w:p>
        </w:tc>
        <w:tc>
          <w:tcPr>
            <w:tcW w:type="dxa" w:w="8160"/>
            <w:tcBorders>
              <w:top w:val="single" w:color="1E40AF" w:sz="4"/>
              <w:left w:val="none" w:color="FFFFFF" w:sz="0"/>
              <w:bottom w:val="single" w:color="1E40AF" w:sz="4"/>
              <w:right w:val="single" w:color="1E40AF" w:sz="4"/>
            </w:tcBorders>
            <w:shd w:fill="DBEAFE" w:val="clear"/>
            <w:tcMar>
              <w:top w:type="dxa" w:w="120"/>
              <w:left w:type="dxa" w:w="160"/>
              <w:bottom w:type="dxa" w:w="120"/>
              <w:right w:type="dxa" w:w="160"/>
            </w:tcMar>
          </w:tcPr>
          <w:p>
            <w:pPr>
              <w:pStyle w:val="ListParagraph"/>
              <w:numPr>
                <w:ilvl w:val="0"/>
                <w:numId w:val="2"/>
              </w:numPr>
              <w:spacing w:after="60" w:before="60"/>
              <w:jc w:val="left"/>
            </w:pPr>
            <w:r>
              <w:rPr>
                <w:rFonts w:ascii="Arial" w:cs="Arial" w:eastAsia="Arial" w:hAnsi="Arial"/>
                <w:b w:val="false"/>
                <w:bCs w:val="false"/>
                <w:i w:val="false"/>
                <w:iCs w:val="false"/>
                <w:color w:val="1E1B4B"/>
                <w:sz w:val="20"/>
                <w:szCs w:val="20"/>
              </w:rPr>
              <w:t xml:space="preserve">Manual subscription tracking limited to 8 services — most Indian subscriptions are untraceable</w:t>
            </w:r>
          </w:p>
          <w:p>
            <w:pPr>
              <w:pStyle w:val="ListParagraph"/>
              <w:numPr>
                <w:ilvl w:val="0"/>
                <w:numId w:val="2"/>
              </w:numPr>
              <w:spacing w:after="60" w:before="60"/>
              <w:jc w:val="left"/>
            </w:pPr>
            <w:r>
              <w:rPr>
                <w:rFonts w:ascii="Arial" w:cs="Arial" w:eastAsia="Arial" w:hAnsi="Arial"/>
                <w:b w:val="false"/>
                <w:bCs w:val="false"/>
                <w:i w:val="false"/>
                <w:iCs w:val="false"/>
                <w:color w:val="1E1B4B"/>
                <w:sz w:val="20"/>
                <w:szCs w:val="20"/>
              </w:rPr>
              <w:t xml:space="preserve">Negotiate API featured in marketing does not exist anywhere inside the app</w:t>
            </w:r>
          </w:p>
          <w:p>
            <w:pPr>
              <w:pStyle w:val="ListParagraph"/>
              <w:numPr>
                <w:ilvl w:val="0"/>
                <w:numId w:val="2"/>
              </w:numPr>
              <w:spacing w:after="60" w:before="60"/>
              <w:jc w:val="left"/>
            </w:pPr>
            <w:r>
              <w:rPr>
                <w:rFonts w:ascii="Arial" w:cs="Arial" w:eastAsia="Arial" w:hAnsi="Arial"/>
                <w:b w:val="false"/>
                <w:bCs w:val="false"/>
                <w:i w:val="false"/>
                <w:iCs w:val="false"/>
                <w:color w:val="1E1B4B"/>
                <w:sz w:val="20"/>
                <w:szCs w:val="20"/>
              </w:rPr>
              <w:t xml:space="preserve">Bill Payments accessible from primary nav shows zero content — appears broken to users</w:t>
            </w:r>
          </w:p>
          <w:p>
            <w:pPr>
              <w:pStyle w:val="ListParagraph"/>
              <w:numPr>
                <w:ilvl w:val="0"/>
                <w:numId w:val="2"/>
              </w:numPr>
              <w:spacing w:after="60" w:before="60"/>
              <w:jc w:val="left"/>
            </w:pPr>
            <w:r>
              <w:rPr>
                <w:rFonts w:ascii="Arial" w:cs="Arial" w:eastAsia="Arial" w:hAnsi="Arial"/>
                <w:b w:val="false"/>
                <w:bCs w:val="false"/>
                <w:i w:val="false"/>
                <w:iCs w:val="false"/>
                <w:color w:val="1E1B4B"/>
                <w:sz w:val="20"/>
                <w:szCs w:val="20"/>
              </w:rPr>
              <w:t xml:space="preserve">Money Saved shows ₹0 with no projected savings — no motivation for first-time users</w:t>
            </w:r>
          </w:p>
        </w:tc>
      </w:tr>
    </w:tbl>
    <w:p>
      <w:pPr>
        <w:spacing w:after="80" w:before="0"/>
        <w:jc w:val="left"/>
      </w:pPr>
      <w:r>
        <w:rPr>
          <w:rFonts w:ascii="Arial" w:cs="Arial" w:eastAsia="Arial" w:hAnsi="Arial"/>
          <w:b w:val="false"/>
          <w:bCs w:val="false"/>
          <w:i w:val="false"/>
          <w:iCs w:val="false"/>
          <w:color w:val="1E1B4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single" w:color="92400E" w:sz="16"/>
              <w:bottom w:val="none" w:color="FFFFFF" w:sz="0"/>
              <w:right w:val="none" w:color="FFFFFF" w:sz="0"/>
            </w:tcBorders>
            <w:shd w:fill="FEF3C7" w:val="clear"/>
            <w:tcMar>
              <w:top w:type="dxa" w:w="120"/>
              <w:left w:type="dxa" w:w="160"/>
              <w:bottom w:type="dxa" w:w="120"/>
              <w:right w:type="dxa" w:w="160"/>
            </w:tcMar>
          </w:tcPr>
          <w:p>
            <w:pPr>
              <w:spacing w:after="0" w:before="0"/>
              <w:jc w:val="center"/>
            </w:pPr>
            <w:r>
              <w:rPr>
                <w:rFonts w:ascii="Arial" w:cs="Arial" w:eastAsia="Arial" w:hAnsi="Arial"/>
                <w:b/>
                <w:bCs/>
                <w:i w:val="false"/>
                <w:iCs w:val="false"/>
                <w:color w:val="92400E"/>
                <w:sz w:val="18"/>
                <w:szCs w:val="18"/>
              </w:rPr>
              <w:t xml:space="preserve">⚠ PROBLEM</w:t>
            </w:r>
          </w:p>
        </w:tc>
        <w:tc>
          <w:tcPr>
            <w:tcW w:type="dxa" w:w="8160"/>
            <w:tcBorders>
              <w:top w:val="single" w:color="92400E" w:sz="4"/>
              <w:left w:val="none" w:color="FFFFFF" w:sz="0"/>
              <w:bottom w:val="single" w:color="92400E" w:sz="4"/>
              <w:right w:val="single" w:color="92400E" w:sz="4"/>
            </w:tcBorders>
            <w:shd w:fill="FEF3C7" w:val="clear"/>
            <w:tcMar>
              <w:top w:type="dxa" w:w="120"/>
              <w:left w:type="dxa" w:w="160"/>
              <w:bottom w:type="dxa" w:w="120"/>
              <w:right w:type="dxa" w:w="160"/>
            </w:tcMar>
          </w:tcPr>
          <w:p>
            <w:pPr>
              <w:pStyle w:val="ListParagraph"/>
              <w:numPr>
                <w:ilvl w:val="0"/>
                <w:numId w:val="2"/>
              </w:numPr>
              <w:spacing w:after="60" w:before="60"/>
              <w:jc w:val="left"/>
            </w:pPr>
            <w:r>
              <w:rPr>
                <w:rFonts w:ascii="Arial" w:cs="Arial" w:eastAsia="Arial" w:hAnsi="Arial"/>
                <w:b w:val="false"/>
                <w:bCs w:val="false"/>
                <w:i w:val="false"/>
                <w:iCs w:val="false"/>
                <w:color w:val="1E1B4B"/>
                <w:sz w:val="20"/>
                <w:szCs w:val="20"/>
              </w:rPr>
              <w:t xml:space="preserve">The gap between 'manage all your subscriptions' (promise) and 8 trackable options (reality) is wide enough to drive immediate churn from power users</w:t>
            </w:r>
          </w:p>
          <w:p>
            <w:pPr>
              <w:pStyle w:val="ListParagraph"/>
              <w:numPr>
                <w:ilvl w:val="0"/>
                <w:numId w:val="2"/>
              </w:numPr>
              <w:spacing w:after="60" w:before="60"/>
              <w:jc w:val="left"/>
            </w:pPr>
            <w:r>
              <w:rPr>
                <w:rFonts w:ascii="Arial" w:cs="Arial" w:eastAsia="Arial" w:hAnsi="Arial"/>
                <w:b w:val="false"/>
                <w:bCs w:val="false"/>
                <w:i w:val="false"/>
                <w:iCs w:val="false"/>
                <w:color w:val="1E1B4B"/>
                <w:sz w:val="20"/>
                <w:szCs w:val="20"/>
              </w:rPr>
              <w:t xml:space="preserve">When users look for the Negotiate API after reading about it and can't find it, they question everything else Subspace claims</w:t>
            </w:r>
          </w:p>
          <w:p>
            <w:pPr>
              <w:pStyle w:val="ListParagraph"/>
              <w:numPr>
                <w:ilvl w:val="0"/>
                <w:numId w:val="2"/>
              </w:numPr>
              <w:spacing w:after="60" w:before="60"/>
              <w:jc w:val="left"/>
            </w:pPr>
            <w:r>
              <w:rPr>
                <w:rFonts w:ascii="Arial" w:cs="Arial" w:eastAsia="Arial" w:hAnsi="Arial"/>
                <w:b w:val="false"/>
                <w:bCs w:val="false"/>
                <w:i w:val="false"/>
                <w:iCs w:val="false"/>
                <w:color w:val="1E1B4B"/>
                <w:sz w:val="20"/>
                <w:szCs w:val="20"/>
              </w:rPr>
              <w:t xml:space="preserve">A dead feature in primary nav is worse than no feature — it actively damages trust every single session</w:t>
            </w:r>
          </w:p>
          <w:p>
            <w:pPr>
              <w:pStyle w:val="ListParagraph"/>
              <w:numPr>
                <w:ilvl w:val="0"/>
                <w:numId w:val="2"/>
              </w:numPr>
              <w:spacing w:after="60" w:before="60"/>
              <w:jc w:val="left"/>
            </w:pPr>
            <w:r>
              <w:rPr>
                <w:rFonts w:ascii="Arial" w:cs="Arial" w:eastAsia="Arial" w:hAnsi="Arial"/>
                <w:b w:val="false"/>
                <w:bCs w:val="false"/>
                <w:i w:val="false"/>
                <w:iCs w:val="false"/>
                <w:color w:val="1E1B4B"/>
                <w:sz w:val="20"/>
                <w:szCs w:val="20"/>
              </w:rPr>
              <w:t xml:space="preserve">₹0 on Money Saved at onboarding actively works against retention — it's the opposite of what a savings platform should show</w:t>
            </w:r>
          </w:p>
        </w:tc>
      </w:tr>
    </w:tbl>
    <w:p>
      <w:pPr>
        <w:spacing w:after="80" w:before="0"/>
        <w:jc w:val="left"/>
      </w:pPr>
      <w:r>
        <w:rPr>
          <w:rFonts w:ascii="Arial" w:cs="Arial" w:eastAsia="Arial" w:hAnsi="Arial"/>
          <w:b w:val="false"/>
          <w:bCs w:val="false"/>
          <w:i w:val="false"/>
          <w:iCs w:val="false"/>
          <w:color w:val="1E1B4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single" w:color="065F46" w:sz="16"/>
              <w:bottom w:val="none" w:color="FFFFFF" w:sz="0"/>
              <w:right w:val="none" w:color="FFFFFF" w:sz="0"/>
            </w:tcBorders>
            <w:shd w:fill="D1FAE5" w:val="clear"/>
            <w:tcMar>
              <w:top w:type="dxa" w:w="120"/>
              <w:left w:type="dxa" w:w="160"/>
              <w:bottom w:type="dxa" w:w="120"/>
              <w:right w:type="dxa" w:w="160"/>
            </w:tcMar>
          </w:tcPr>
          <w:p>
            <w:pPr>
              <w:spacing w:after="0" w:before="0"/>
              <w:jc w:val="center"/>
            </w:pPr>
            <w:r>
              <w:rPr>
                <w:rFonts w:ascii="Arial" w:cs="Arial" w:eastAsia="Arial" w:hAnsi="Arial"/>
                <w:b/>
                <w:bCs/>
                <w:i w:val="false"/>
                <w:iCs w:val="false"/>
                <w:color w:val="065F46"/>
                <w:sz w:val="18"/>
                <w:szCs w:val="18"/>
              </w:rPr>
              <w:t xml:space="preserve">🚀 SHIP THIS</w:t>
            </w:r>
          </w:p>
        </w:tc>
        <w:tc>
          <w:tcPr>
            <w:tcW w:type="dxa" w:w="8160"/>
            <w:tcBorders>
              <w:top w:val="single" w:color="065F46" w:sz="4"/>
              <w:left w:val="none" w:color="FFFFFF" w:sz="0"/>
              <w:bottom w:val="single" w:color="065F46" w:sz="4"/>
              <w:right w:val="single" w:color="065F46" w:sz="4"/>
            </w:tcBorders>
            <w:shd w:fill="D1FAE5" w:val="clear"/>
            <w:tcMar>
              <w:top w:type="dxa" w:w="120"/>
              <w:left w:type="dxa" w:w="160"/>
              <w:bottom w:type="dxa" w:w="120"/>
              <w:right w:type="dxa" w:w="160"/>
            </w:tcMar>
          </w:tcPr>
          <w:p>
            <w:pPr>
              <w:pStyle w:val="ListParagraph"/>
              <w:numPr>
                <w:ilvl w:val="0"/>
                <w:numId w:val="2"/>
              </w:numPr>
              <w:spacing w:after="60" w:before="60"/>
              <w:jc w:val="left"/>
            </w:pPr>
            <w:r>
              <w:rPr>
                <w:rFonts w:ascii="Arial" w:cs="Arial" w:eastAsia="Arial" w:hAnsi="Arial"/>
                <w:b/>
                <w:bCs/>
                <w:i w:val="false"/>
                <w:iCs w:val="false"/>
                <w:color w:val="7C3AED"/>
                <w:sz w:val="20"/>
                <w:szCs w:val="20"/>
              </w:rPr>
              <w:t xml:space="preserve">Subscription catalog: </w:t>
            </w:r>
            <w:r>
              <w:rPr>
                <w:rFonts w:ascii="Arial" w:cs="Arial" w:eastAsia="Arial" w:hAnsi="Arial"/>
                <w:b w:val="false"/>
                <w:bCs w:val="false"/>
                <w:i w:val="false"/>
                <w:iCs w:val="false"/>
                <w:color w:val="1E1B4B"/>
                <w:sz w:val="20"/>
                <w:szCs w:val="20"/>
              </w:rPr>
              <w:t xml:space="preserve">Expand from 8 to 50+ — Swiggy One, Zomato Gold, Myntra Insider, CRED, gym memberships, insurance, PhonePe Switch. Add free-text 'Add any subscription' as a fallback catch-all.</w:t>
            </w:r>
          </w:p>
          <w:p>
            <w:pPr>
              <w:pStyle w:val="ListParagraph"/>
              <w:numPr>
                <w:ilvl w:val="0"/>
                <w:numId w:val="2"/>
              </w:numPr>
              <w:spacing w:after="60" w:before="60"/>
              <w:jc w:val="left"/>
            </w:pPr>
            <w:r>
              <w:rPr>
                <w:rFonts w:ascii="Arial" w:cs="Arial" w:eastAsia="Arial" w:hAnsi="Arial"/>
                <w:b/>
                <w:bCs/>
                <w:i w:val="false"/>
                <w:iCs w:val="false"/>
                <w:color w:val="7C3AED"/>
                <w:sz w:val="20"/>
                <w:szCs w:val="20"/>
              </w:rPr>
              <w:t xml:space="preserve">Negotiate API: </w:t>
            </w:r>
            <w:r>
              <w:rPr>
                <w:rFonts w:ascii="Arial" w:cs="Arial" w:eastAsia="Arial" w:hAnsi="Arial"/>
                <w:b w:val="false"/>
                <w:bCs w:val="false"/>
                <w:i w:val="false"/>
                <w:iCs w:val="false"/>
                <w:color w:val="1E1B4B"/>
                <w:sz w:val="20"/>
                <w:szCs w:val="20"/>
              </w:rPr>
              <w:t xml:space="preserve">Ship it or scrub it from all marketing until it's live. There is no third option.</w:t>
            </w:r>
          </w:p>
          <w:p>
            <w:pPr>
              <w:pStyle w:val="ListParagraph"/>
              <w:numPr>
                <w:ilvl w:val="0"/>
                <w:numId w:val="2"/>
              </w:numPr>
              <w:spacing w:after="60" w:before="60"/>
              <w:jc w:val="left"/>
            </w:pPr>
            <w:r>
              <w:rPr>
                <w:rFonts w:ascii="Arial" w:cs="Arial" w:eastAsia="Arial" w:hAnsi="Arial"/>
                <w:b/>
                <w:bCs/>
                <w:i w:val="false"/>
                <w:iCs w:val="false"/>
                <w:color w:val="7C3AED"/>
                <w:sz w:val="20"/>
                <w:szCs w:val="20"/>
              </w:rPr>
              <w:t xml:space="preserve">Bill Payments: </w:t>
            </w:r>
            <w:r>
              <w:rPr>
                <w:rFonts w:ascii="Arial" w:cs="Arial" w:eastAsia="Arial" w:hAnsi="Arial"/>
                <w:b w:val="false"/>
                <w:bCs w:val="false"/>
                <w:i w:val="false"/>
                <w:iCs w:val="false"/>
                <w:color w:val="1E1B4B"/>
                <w:sz w:val="20"/>
                <w:szCs w:val="20"/>
              </w:rPr>
              <w:t xml:space="preserve">Replace the nav entry with 'Bill Payments — Coming Soon'. Sets expectations, doesn't signal broken product.</w:t>
            </w:r>
          </w:p>
          <w:p>
            <w:pPr>
              <w:pStyle w:val="ListParagraph"/>
              <w:numPr>
                <w:ilvl w:val="0"/>
                <w:numId w:val="2"/>
              </w:numPr>
              <w:spacing w:after="60" w:before="60"/>
              <w:jc w:val="left"/>
            </w:pPr>
            <w:r>
              <w:rPr>
                <w:rFonts w:ascii="Arial" w:cs="Arial" w:eastAsia="Arial" w:hAnsi="Arial"/>
                <w:b/>
                <w:bCs/>
                <w:i w:val="false"/>
                <w:iCs w:val="false"/>
                <w:color w:val="7C3AED"/>
                <w:sz w:val="20"/>
                <w:szCs w:val="20"/>
              </w:rPr>
              <w:t xml:space="preserve">Money Saved: </w:t>
            </w:r>
            <w:r>
              <w:rPr>
                <w:rFonts w:ascii="Arial" w:cs="Arial" w:eastAsia="Arial" w:hAnsi="Arial"/>
                <w:b w:val="false"/>
                <w:bCs w:val="false"/>
                <w:i w:val="false"/>
                <w:iCs w:val="false"/>
                <w:color w:val="1E1B4B"/>
                <w:sz w:val="20"/>
                <w:szCs w:val="20"/>
              </w:rPr>
              <w:t xml:space="preserve">Show projected savings for new users. 'Join Netflix Standard with 1 other and save ₹249/month.' Make first session feel like a win before any purchase.</w:t>
            </w:r>
          </w:p>
        </w:tc>
      </w:tr>
    </w:tbl>
    <w:p>
      <w:pPr>
        <w:spacing w:after="200" w:before="0"/>
        <w:jc w:val="left"/>
      </w:pPr>
      <w:r>
        <w:rPr>
          <w:rFonts w:ascii="Arial" w:cs="Arial" w:eastAsia="Arial" w:hAnsi="Arial"/>
          <w:b w:val="false"/>
          <w:bCs w:val="false"/>
          <w:i w:val="false"/>
          <w:iCs w:val="false"/>
          <w:color w:val="1E1B4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7C3AED" w:val="clear"/>
            <w:tcMar>
              <w:top w:type="dxa" w:w="200"/>
              <w:left w:type="dxa" w:w="160"/>
              <w:bottom w:type="dxa" w:w="200"/>
              <w:right w:type="dxa" w:w="160"/>
            </w:tcMar>
          </w:tcPr>
          <w:p>
            <w:pPr>
              <w:spacing w:after="0" w:before="0"/>
              <w:jc w:val="center"/>
            </w:pPr>
            <w:r>
              <w:rPr>
                <w:rFonts w:ascii="Arial" w:cs="Arial" w:eastAsia="Arial" w:hAnsi="Arial"/>
                <w:b/>
                <w:bCs/>
                <w:i w:val="false"/>
                <w:iCs w:val="false"/>
                <w:color w:val="FFFFFF"/>
                <w:sz w:val="48"/>
                <w:szCs w:val="48"/>
              </w:rPr>
              <w:t xml:space="preserve">03</w:t>
            </w:r>
          </w:p>
        </w:tc>
        <w:tc>
          <w:tcPr>
            <w:tcW w:type="dxa" w:w="8560"/>
            <w:tcBorders>
              <w:top w:val="none" w:color="FFFFFF" w:sz="0"/>
              <w:left w:val="none" w:color="FFFFFF" w:sz="0"/>
              <w:bottom w:val="none" w:color="FFFFFF" w:sz="0"/>
              <w:right w:val="none" w:color="FFFFFF" w:sz="0"/>
            </w:tcBorders>
            <w:shd w:fill="5B21B6" w:val="clear"/>
            <w:tcMar>
              <w:top w:type="dxa" w:w="160"/>
              <w:left w:type="dxa" w:w="160"/>
              <w:bottom w:type="dxa" w:w="160"/>
              <w:right w:type="dxa" w:w="160"/>
            </w:tcMar>
          </w:tcPr>
          <w:p>
            <w:pPr>
              <w:spacing w:after="0" w:before="80"/>
              <w:jc w:val="left"/>
            </w:pPr>
            <w:r>
              <w:rPr>
                <w:rFonts w:ascii="Arial" w:cs="Arial" w:eastAsia="Arial" w:hAnsi="Arial"/>
                <w:b/>
                <w:bCs/>
                <w:i w:val="false"/>
                <w:iCs w:val="false"/>
                <w:color w:val="FFFFFF"/>
                <w:sz w:val="32"/>
                <w:szCs w:val="32"/>
              </w:rPr>
              <w:t xml:space="preserve">GTM &amp; ICPs</w:t>
            </w:r>
          </w:p>
          <w:p>
            <w:pPr>
              <w:spacing w:after="0" w:before="0"/>
              <w:jc w:val="left"/>
            </w:pPr>
            <w:r>
              <w:rPr>
                <w:rFonts w:ascii="Arial" w:cs="Arial" w:eastAsia="Arial" w:hAnsi="Arial"/>
                <w:b w:val="false"/>
                <w:bCs w:val="false"/>
                <w:i w:val="false"/>
                <w:iCs w:val="false"/>
                <w:color w:val="D8B4FE"/>
                <w:sz w:val="18"/>
                <w:szCs w:val="18"/>
              </w:rPr>
              <w:t xml:space="preserve">Framework: 7Ps — People, Promotion, Price</w:t>
            </w:r>
          </w:p>
        </w:tc>
      </w:tr>
    </w:tbl>
    <w:p>
      <w:pPr>
        <w:spacing w:after="160" w:before="0"/>
        <w:jc w:val="left"/>
      </w:pPr>
      <w:r>
        <w:rPr>
          <w:rFonts w:ascii="Arial" w:cs="Arial" w:eastAsia="Arial" w:hAnsi="Arial"/>
          <w:b w:val="false"/>
          <w:bCs w:val="false"/>
          <w:i w:val="false"/>
          <w:iCs w:val="false"/>
          <w:color w:val="1E1B4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920"/>
      </w:tblGrid>
      <w:tr>
        <w:tc>
          <w:tcPr>
            <w:tcW w:type="dxa" w:w="440"/>
            <w:tcBorders>
              <w:top w:val="none" w:color="FFFFFF" w:sz="0"/>
              <w:left w:val="none" w:color="FFFFFF" w:sz="0"/>
              <w:bottom w:val="none" w:color="FFFFFF" w:sz="0"/>
              <w:right w:val="none" w:color="FFFFFF" w:sz="0"/>
            </w:tcBorders>
            <w:shd w:fill="7C3AED" w:val="clear"/>
            <w:tcMar>
              <w:top w:type="dxa" w:w="160"/>
              <w:left w:type="dxa" w:w="160"/>
              <w:bottom w:type="dxa" w:w="160"/>
              <w:right w:type="dxa" w:w="160"/>
            </w:tcMar>
          </w:tcPr>
          <w:p>
            <w:pPr>
              <w:spacing w:after="0" w:before="0"/>
              <w:jc w:val="center"/>
            </w:pPr>
            <w:r>
              <w:rPr>
                <w:rFonts w:ascii="Arial" w:cs="Arial" w:eastAsia="Arial" w:hAnsi="Arial"/>
                <w:b/>
                <w:bCs/>
                <w:i w:val="false"/>
                <w:iCs w:val="false"/>
                <w:color w:val="FFFFFF"/>
                <w:sz w:val="28"/>
                <w:szCs w:val="28"/>
              </w:rPr>
              <w:t xml:space="preserve">F1</w:t>
            </w:r>
          </w:p>
        </w:tc>
        <w:tc>
          <w:tcPr>
            <w:tcW w:type="dxa" w:w="8920"/>
            <w:tcBorders>
              <w:top w:val="single" w:color="E5E7EB" w:sz="2"/>
              <w:left w:val="none" w:color="FFFFFF" w:sz="0"/>
              <w:bottom w:val="single" w:color="E5E7EB" w:sz="2"/>
              <w:right w:val="single" w:color="E5E7EB" w:sz="2"/>
            </w:tcBorders>
            <w:tcMar>
              <w:top w:type="dxa" w:w="120"/>
              <w:left w:type="dxa" w:w="160"/>
              <w:bottom w:type="dxa" w:w="120"/>
              <w:right w:type="dxa" w:w="160"/>
            </w:tcMar>
          </w:tcPr>
          <w:p>
            <w:pPr>
              <w:spacing w:after="80" w:before="0"/>
              <w:jc w:val="left"/>
            </w:pPr>
            <w:r>
              <w:rPr>
                <w:rFonts w:ascii="Arial" w:cs="Arial" w:eastAsia="Arial" w:hAnsi="Arial"/>
                <w:b/>
                <w:bCs/>
                <w:i w:val="false"/>
                <w:iCs w:val="false"/>
                <w:color w:val="1E1B4B"/>
                <w:sz w:val="22"/>
                <w:szCs w:val="22"/>
              </w:rPr>
              <w:t xml:space="preserve">Three Audiences, One Undifferentiated Experience</w:t>
            </w:r>
          </w:p>
          <w:p>
            <w:pPr>
              <w:spacing w:after="60" w:before="0"/>
              <w:jc w:val="left"/>
            </w:pPr>
            <w:r>
              <w:rPr>
                <w:rFonts w:ascii="Arial" w:cs="Arial" w:eastAsia="Arial" w:hAnsi="Arial"/>
                <w:b w:val="false"/>
                <w:bCs w:val="false"/>
                <w:i w:val="false"/>
                <w:iCs w:val="false"/>
                <w:color w:val="1E1B4B"/>
                <w:sz w:val="19"/>
                <w:szCs w:val="19"/>
              </w:rPr>
              <w:t xml:space="preserve">Subspace serves three fundamentally different user types: (a) cost-conscious buyers splitting subscriptions and buying gift cards, (b) group owners who set up and manage shared subscription pools, and (c) vendors listing products on the marketplace. All three see identical navigation, identical onboarding (none), and identical messaging. A college student splitting Netflix and a vendor selling Flipkart gift cards cannot benefit from the same first session.</w:t>
            </w:r>
          </w:p>
        </w:tc>
      </w:tr>
    </w:tbl>
    <w:p>
      <w:pPr>
        <w:spacing w:after="100" w:before="0"/>
        <w:jc w:val="left"/>
      </w:pPr>
      <w:r>
        <w:rPr>
          <w:rFonts w:ascii="Arial" w:cs="Arial" w:eastAsia="Arial" w:hAnsi="Arial"/>
          <w:b w:val="false"/>
          <w:bCs w:val="false"/>
          <w:i w:val="false"/>
          <w:iCs w:val="false"/>
          <w:color w:val="1E1B4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920"/>
      </w:tblGrid>
      <w:tr>
        <w:tc>
          <w:tcPr>
            <w:tcW w:type="dxa" w:w="440"/>
            <w:tcBorders>
              <w:top w:val="none" w:color="FFFFFF" w:sz="0"/>
              <w:left w:val="none" w:color="FFFFFF" w:sz="0"/>
              <w:bottom w:val="none" w:color="FFFFFF" w:sz="0"/>
              <w:right w:val="none" w:color="FFFFFF" w:sz="0"/>
            </w:tcBorders>
            <w:shd w:fill="7C3AED" w:val="clear"/>
            <w:tcMar>
              <w:top w:type="dxa" w:w="160"/>
              <w:left w:type="dxa" w:w="160"/>
              <w:bottom w:type="dxa" w:w="160"/>
              <w:right w:type="dxa" w:w="160"/>
            </w:tcMar>
          </w:tcPr>
          <w:p>
            <w:pPr>
              <w:spacing w:after="0" w:before="0"/>
              <w:jc w:val="center"/>
            </w:pPr>
            <w:r>
              <w:rPr>
                <w:rFonts w:ascii="Arial" w:cs="Arial" w:eastAsia="Arial" w:hAnsi="Arial"/>
                <w:b/>
                <w:bCs/>
                <w:i w:val="false"/>
                <w:iCs w:val="false"/>
                <w:color w:val="FFFFFF"/>
                <w:sz w:val="28"/>
                <w:szCs w:val="28"/>
              </w:rPr>
              <w:t xml:space="preserve">F2</w:t>
            </w:r>
          </w:p>
        </w:tc>
        <w:tc>
          <w:tcPr>
            <w:tcW w:type="dxa" w:w="8920"/>
            <w:tcBorders>
              <w:top w:val="single" w:color="E5E7EB" w:sz="2"/>
              <w:left w:val="none" w:color="FFFFFF" w:sz="0"/>
              <w:bottom w:val="single" w:color="E5E7EB" w:sz="2"/>
              <w:right w:val="single" w:color="E5E7EB" w:sz="2"/>
            </w:tcBorders>
            <w:tcMar>
              <w:top w:type="dxa" w:w="120"/>
              <w:left w:type="dxa" w:w="160"/>
              <w:bottom w:type="dxa" w:w="120"/>
              <w:right w:type="dxa" w:w="160"/>
            </w:tcMar>
          </w:tcPr>
          <w:p>
            <w:pPr>
              <w:spacing w:after="80" w:before="0"/>
              <w:jc w:val="left"/>
            </w:pPr>
            <w:r>
              <w:rPr>
                <w:rFonts w:ascii="Arial" w:cs="Arial" w:eastAsia="Arial" w:hAnsi="Arial"/>
                <w:b/>
                <w:bCs/>
                <w:i w:val="false"/>
                <w:iCs w:val="false"/>
                <w:color w:val="1E1B4B"/>
                <w:sz w:val="22"/>
                <w:szCs w:val="22"/>
              </w:rPr>
              <w:t xml:space="preserve">Privacy Policy Copied from Amazon's Legal Template</w:t>
            </w:r>
          </w:p>
          <w:p>
            <w:pPr>
              <w:spacing w:after="60" w:before="0"/>
              <w:jc w:val="left"/>
            </w:pPr>
            <w:r>
              <w:rPr>
                <w:rFonts w:ascii="Arial" w:cs="Arial" w:eastAsia="Arial" w:hAnsi="Arial"/>
                <w:b w:val="false"/>
                <w:bCs w:val="false"/>
                <w:i w:val="false"/>
                <w:iCs w:val="false"/>
                <w:color w:val="1E1B4B"/>
                <w:sz w:val="19"/>
                <w:szCs w:val="19"/>
              </w:rPr>
              <w:t xml:space="preserve">Subspace's Privacy Policy is titled under 'Subspace Seller Services Private Limited' — a direct mirror of 'Amazon Seller Services Private Limited.' The document structure, section headings, and large portions of the language are lifted almost verbatim from Amazon's privacy policy template. For a fintech platform handling real user money and payment data under India's DPDP Act 2023, a copy-pasted legal document is both a compliance risk and a credibility problem.</w:t>
            </w:r>
          </w:p>
        </w:tc>
      </w:tr>
    </w:tbl>
    <w:p>
      <w:pPr>
        <w:spacing w:after="100" w:before="0"/>
        <w:jc w:val="left"/>
      </w:pPr>
      <w:r>
        <w:rPr>
          <w:rFonts w:ascii="Arial" w:cs="Arial" w:eastAsia="Arial" w:hAnsi="Arial"/>
          <w:b w:val="false"/>
          <w:bCs w:val="false"/>
          <w:i w:val="false"/>
          <w:iCs w:val="false"/>
          <w:color w:val="1E1B4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920"/>
      </w:tblGrid>
      <w:tr>
        <w:tc>
          <w:tcPr>
            <w:tcW w:type="dxa" w:w="440"/>
            <w:tcBorders>
              <w:top w:val="none" w:color="FFFFFF" w:sz="0"/>
              <w:left w:val="none" w:color="FFFFFF" w:sz="0"/>
              <w:bottom w:val="none" w:color="FFFFFF" w:sz="0"/>
              <w:right w:val="none" w:color="FFFFFF" w:sz="0"/>
            </w:tcBorders>
            <w:shd w:fill="7C3AED" w:val="clear"/>
            <w:tcMar>
              <w:top w:type="dxa" w:w="160"/>
              <w:left w:type="dxa" w:w="160"/>
              <w:bottom w:type="dxa" w:w="160"/>
              <w:right w:type="dxa" w:w="160"/>
            </w:tcMar>
          </w:tcPr>
          <w:p>
            <w:pPr>
              <w:spacing w:after="0" w:before="0"/>
              <w:jc w:val="center"/>
            </w:pPr>
            <w:r>
              <w:rPr>
                <w:rFonts w:ascii="Arial" w:cs="Arial" w:eastAsia="Arial" w:hAnsi="Arial"/>
                <w:b/>
                <w:bCs/>
                <w:i w:val="false"/>
                <w:iCs w:val="false"/>
                <w:color w:val="FFFFFF"/>
                <w:sz w:val="28"/>
                <w:szCs w:val="28"/>
              </w:rPr>
              <w:t xml:space="preserve">F3</w:t>
            </w:r>
          </w:p>
        </w:tc>
        <w:tc>
          <w:tcPr>
            <w:tcW w:type="dxa" w:w="8920"/>
            <w:tcBorders>
              <w:top w:val="single" w:color="E5E7EB" w:sz="2"/>
              <w:left w:val="none" w:color="FFFFFF" w:sz="0"/>
              <w:bottom w:val="single" w:color="E5E7EB" w:sz="2"/>
              <w:right w:val="single" w:color="E5E7EB" w:sz="2"/>
            </w:tcBorders>
            <w:tcMar>
              <w:top w:type="dxa" w:w="120"/>
              <w:left w:type="dxa" w:w="160"/>
              <w:bottom w:type="dxa" w:w="120"/>
              <w:right w:type="dxa" w:w="160"/>
            </w:tcMar>
          </w:tcPr>
          <w:p>
            <w:pPr>
              <w:spacing w:after="80" w:before="0"/>
              <w:jc w:val="left"/>
            </w:pPr>
            <w:r>
              <w:rPr>
                <w:rFonts w:ascii="Arial" w:cs="Arial" w:eastAsia="Arial" w:hAnsi="Arial"/>
                <w:b/>
                <w:bCs/>
                <w:i w:val="false"/>
                <w:iCs w:val="false"/>
                <w:color w:val="1E1B4B"/>
                <w:sz w:val="22"/>
                <w:szCs w:val="22"/>
              </w:rPr>
              <w:t xml:space="preserve">No Clear Primary ICP Means No Focused Acquisition</w:t>
            </w:r>
          </w:p>
          <w:p>
            <w:pPr>
              <w:spacing w:after="60" w:before="0"/>
              <w:jc w:val="left"/>
            </w:pPr>
            <w:r>
              <w:rPr>
                <w:rFonts w:ascii="Arial" w:cs="Arial" w:eastAsia="Arial" w:hAnsi="Arial"/>
                <w:b w:val="false"/>
                <w:bCs w:val="false"/>
                <w:i w:val="false"/>
                <w:iCs w:val="false"/>
                <w:color w:val="1E1B4B"/>
                <w:sz w:val="19"/>
                <w:szCs w:val="19"/>
              </w:rPr>
              <w:t xml:space="preserve">Without a defined primary ICP, Subspace cannot run targeted acquisition — no focused ads, no channel strategy beyond their existing Refer &amp; Earn program, no content marketing angle. The product is trying to be a subscription marketplace, group finance tool, gift card store, rental platform, and vendor marketplace simultaneously. Each of these is a valid business. All five together with no prioritisation is a positioning problem.</w:t>
            </w:r>
          </w:p>
        </w:tc>
      </w:tr>
    </w:tbl>
    <w:p>
      <w:pPr>
        <w:spacing w:after="120" w:before="0"/>
        <w:jc w:val="left"/>
      </w:pPr>
      <w:r>
        <w:rPr>
          <w:rFonts w:ascii="Arial" w:cs="Arial" w:eastAsia="Arial" w:hAnsi="Arial"/>
          <w:b w:val="false"/>
          <w:bCs w:val="false"/>
          <w:i w:val="false"/>
          <w:iCs w:val="false"/>
          <w:color w:val="1E1B4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single" w:color="1E40AF" w:sz="16"/>
              <w:bottom w:val="none" w:color="FFFFFF" w:sz="0"/>
              <w:right w:val="none" w:color="FFFFFF" w:sz="0"/>
            </w:tcBorders>
            <w:shd w:fill="DBEAFE" w:val="clear"/>
            <w:tcMar>
              <w:top w:type="dxa" w:w="120"/>
              <w:left w:type="dxa" w:w="160"/>
              <w:bottom w:type="dxa" w:w="120"/>
              <w:right w:type="dxa" w:w="160"/>
            </w:tcMar>
          </w:tcPr>
          <w:p>
            <w:pPr>
              <w:spacing w:after="0" w:before="0"/>
              <w:jc w:val="center"/>
            </w:pPr>
            <w:r>
              <w:rPr>
                <w:rFonts w:ascii="Arial" w:cs="Arial" w:eastAsia="Arial" w:hAnsi="Arial"/>
                <w:b/>
                <w:bCs/>
                <w:i w:val="false"/>
                <w:iCs w:val="false"/>
                <w:color w:val="1E40AF"/>
                <w:sz w:val="18"/>
                <w:szCs w:val="18"/>
              </w:rPr>
              <w:t xml:space="preserve">👁 OBSERVED</w:t>
            </w:r>
          </w:p>
        </w:tc>
        <w:tc>
          <w:tcPr>
            <w:tcW w:type="dxa" w:w="8160"/>
            <w:tcBorders>
              <w:top w:val="single" w:color="1E40AF" w:sz="4"/>
              <w:left w:val="none" w:color="FFFFFF" w:sz="0"/>
              <w:bottom w:val="single" w:color="1E40AF" w:sz="4"/>
              <w:right w:val="single" w:color="1E40AF" w:sz="4"/>
            </w:tcBorders>
            <w:shd w:fill="DBEAFE" w:val="clear"/>
            <w:tcMar>
              <w:top w:type="dxa" w:w="120"/>
              <w:left w:type="dxa" w:w="160"/>
              <w:bottom w:type="dxa" w:w="120"/>
              <w:right w:type="dxa" w:w="160"/>
            </w:tcMar>
          </w:tcPr>
          <w:p>
            <w:pPr>
              <w:pStyle w:val="ListParagraph"/>
              <w:numPr>
                <w:ilvl w:val="0"/>
                <w:numId w:val="2"/>
              </w:numPr>
              <w:spacing w:after="60" w:before="60"/>
              <w:jc w:val="left"/>
            </w:pPr>
            <w:r>
              <w:rPr>
                <w:rFonts w:ascii="Arial" w:cs="Arial" w:eastAsia="Arial" w:hAnsi="Arial"/>
                <w:b w:val="false"/>
                <w:bCs w:val="false"/>
                <w:i w:val="false"/>
                <w:iCs w:val="false"/>
                <w:color w:val="1E1B4B"/>
                <w:sz w:val="20"/>
                <w:szCs w:val="20"/>
              </w:rPr>
              <w:t xml:space="preserve">Three user types (buyers, group owners, vendors) with identical navigation — no tailored first session for any of them</w:t>
            </w:r>
          </w:p>
          <w:p>
            <w:pPr>
              <w:pStyle w:val="ListParagraph"/>
              <w:numPr>
                <w:ilvl w:val="0"/>
                <w:numId w:val="2"/>
              </w:numPr>
              <w:spacing w:after="60" w:before="60"/>
              <w:jc w:val="left"/>
            </w:pPr>
            <w:r>
              <w:rPr>
                <w:rFonts w:ascii="Arial" w:cs="Arial" w:eastAsia="Arial" w:hAnsi="Arial"/>
                <w:b w:val="false"/>
                <w:bCs w:val="false"/>
                <w:i w:val="false"/>
                <w:iCs w:val="false"/>
                <w:color w:val="1E1B4B"/>
                <w:sz w:val="20"/>
                <w:szCs w:val="20"/>
              </w:rPr>
              <w:t xml:space="preserve">Privacy Policy is structurally identical to Amazon's — 'Subspace Seller Services Private Limited' mirrors Amazon's legal entity name</w:t>
            </w:r>
          </w:p>
          <w:p>
            <w:pPr>
              <w:pStyle w:val="ListParagraph"/>
              <w:numPr>
                <w:ilvl w:val="0"/>
                <w:numId w:val="2"/>
              </w:numPr>
              <w:spacing w:after="60" w:before="60"/>
              <w:jc w:val="left"/>
            </w:pPr>
            <w:r>
              <w:rPr>
                <w:rFonts w:ascii="Arial" w:cs="Arial" w:eastAsia="Arial" w:hAnsi="Arial"/>
                <w:b w:val="false"/>
                <w:bCs w:val="false"/>
                <w:i w:val="false"/>
                <w:iCs w:val="false"/>
                <w:color w:val="1E1B4B"/>
                <w:sz w:val="20"/>
                <w:szCs w:val="20"/>
              </w:rPr>
              <w:t xml:space="preserve">No focused ICP = diffused messaging, no targeted acquisition channel — the existing Refer &amp; Earn program alone is insufficient for the next growth phase</w:t>
            </w:r>
          </w:p>
        </w:tc>
      </w:tr>
    </w:tbl>
    <w:p>
      <w:pPr>
        <w:spacing w:after="80" w:before="0"/>
        <w:jc w:val="left"/>
      </w:pPr>
      <w:r>
        <w:rPr>
          <w:rFonts w:ascii="Arial" w:cs="Arial" w:eastAsia="Arial" w:hAnsi="Arial"/>
          <w:b w:val="false"/>
          <w:bCs w:val="false"/>
          <w:i w:val="false"/>
          <w:iCs w:val="false"/>
          <w:color w:val="1E1B4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single" w:color="92400E" w:sz="16"/>
              <w:bottom w:val="none" w:color="FFFFFF" w:sz="0"/>
              <w:right w:val="none" w:color="FFFFFF" w:sz="0"/>
            </w:tcBorders>
            <w:shd w:fill="FEF3C7" w:val="clear"/>
            <w:tcMar>
              <w:top w:type="dxa" w:w="120"/>
              <w:left w:type="dxa" w:w="160"/>
              <w:bottom w:type="dxa" w:w="120"/>
              <w:right w:type="dxa" w:w="160"/>
            </w:tcMar>
          </w:tcPr>
          <w:p>
            <w:pPr>
              <w:spacing w:after="0" w:before="0"/>
              <w:jc w:val="center"/>
            </w:pPr>
            <w:r>
              <w:rPr>
                <w:rFonts w:ascii="Arial" w:cs="Arial" w:eastAsia="Arial" w:hAnsi="Arial"/>
                <w:b/>
                <w:bCs/>
                <w:i w:val="false"/>
                <w:iCs w:val="false"/>
                <w:color w:val="92400E"/>
                <w:sz w:val="18"/>
                <w:szCs w:val="18"/>
              </w:rPr>
              <w:t xml:space="preserve">⚠ PROBLEM</w:t>
            </w:r>
          </w:p>
        </w:tc>
        <w:tc>
          <w:tcPr>
            <w:tcW w:type="dxa" w:w="8160"/>
            <w:tcBorders>
              <w:top w:val="single" w:color="92400E" w:sz="4"/>
              <w:left w:val="none" w:color="FFFFFF" w:sz="0"/>
              <w:bottom w:val="single" w:color="92400E" w:sz="4"/>
              <w:right w:val="single" w:color="92400E" w:sz="4"/>
            </w:tcBorders>
            <w:shd w:fill="FEF3C7" w:val="clear"/>
            <w:tcMar>
              <w:top w:type="dxa" w:w="120"/>
              <w:left w:type="dxa" w:w="160"/>
              <w:bottom w:type="dxa" w:w="120"/>
              <w:right w:type="dxa" w:w="160"/>
            </w:tcMar>
          </w:tcPr>
          <w:p>
            <w:pPr>
              <w:pStyle w:val="ListParagraph"/>
              <w:numPr>
                <w:ilvl w:val="0"/>
                <w:numId w:val="2"/>
              </w:numPr>
              <w:spacing w:after="60" w:before="60"/>
              <w:jc w:val="left"/>
            </w:pPr>
            <w:r>
              <w:rPr>
                <w:rFonts w:ascii="Arial" w:cs="Arial" w:eastAsia="Arial" w:hAnsi="Arial"/>
                <w:b w:val="false"/>
                <w:bCs w:val="false"/>
                <w:i w:val="false"/>
                <w:iCs w:val="false"/>
                <w:color w:val="1E1B4B"/>
                <w:sz w:val="20"/>
                <w:szCs w:val="20"/>
              </w:rPr>
              <w:t xml:space="preserve">When a product speaks to everyone it converts no one — new users can't self-identify as the 'right person' for Subspace</w:t>
            </w:r>
          </w:p>
          <w:p>
            <w:pPr>
              <w:pStyle w:val="ListParagraph"/>
              <w:numPr>
                <w:ilvl w:val="0"/>
                <w:numId w:val="2"/>
              </w:numPr>
              <w:spacing w:after="60" w:before="60"/>
              <w:jc w:val="left"/>
            </w:pPr>
            <w:r>
              <w:rPr>
                <w:rFonts w:ascii="Arial" w:cs="Arial" w:eastAsia="Arial" w:hAnsi="Arial"/>
                <w:b w:val="false"/>
                <w:bCs w:val="false"/>
                <w:i w:val="false"/>
                <w:iCs w:val="false"/>
                <w:color w:val="1E1B4B"/>
                <w:sz w:val="20"/>
                <w:szCs w:val="20"/>
              </w:rPr>
              <w:t xml:space="preserve">Plagiarised legal documents create DPDP Act 2023 compliance exposure and destroy trust with sophisticated users if discovered</w:t>
            </w:r>
          </w:p>
          <w:p>
            <w:pPr>
              <w:pStyle w:val="ListParagraph"/>
              <w:numPr>
                <w:ilvl w:val="0"/>
                <w:numId w:val="2"/>
              </w:numPr>
              <w:spacing w:after="60" w:before="60"/>
              <w:jc w:val="left"/>
            </w:pPr>
            <w:r>
              <w:rPr>
                <w:rFonts w:ascii="Arial" w:cs="Arial" w:eastAsia="Arial" w:hAnsi="Arial"/>
                <w:b w:val="false"/>
                <w:bCs w:val="false"/>
                <w:i w:val="false"/>
                <w:iCs w:val="false"/>
                <w:color w:val="1E1B4B"/>
                <w:sz w:val="20"/>
                <w:szCs w:val="20"/>
              </w:rPr>
              <w:t xml:space="preserve">Without a clear primary customer, every growth experiment is unfocused — CAC stays high, LTV stays low</w:t>
            </w:r>
          </w:p>
        </w:tc>
      </w:tr>
    </w:tbl>
    <w:p>
      <w:pPr>
        <w:spacing w:after="80" w:before="0"/>
        <w:jc w:val="left"/>
      </w:pPr>
      <w:r>
        <w:rPr>
          <w:rFonts w:ascii="Arial" w:cs="Arial" w:eastAsia="Arial" w:hAnsi="Arial"/>
          <w:b w:val="false"/>
          <w:bCs w:val="false"/>
          <w:i w:val="false"/>
          <w:iCs w:val="false"/>
          <w:color w:val="1E1B4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single" w:color="065F46" w:sz="16"/>
              <w:bottom w:val="none" w:color="FFFFFF" w:sz="0"/>
              <w:right w:val="none" w:color="FFFFFF" w:sz="0"/>
            </w:tcBorders>
            <w:shd w:fill="D1FAE5" w:val="clear"/>
            <w:tcMar>
              <w:top w:type="dxa" w:w="120"/>
              <w:left w:type="dxa" w:w="160"/>
              <w:bottom w:type="dxa" w:w="120"/>
              <w:right w:type="dxa" w:w="160"/>
            </w:tcMar>
          </w:tcPr>
          <w:p>
            <w:pPr>
              <w:spacing w:after="0" w:before="0"/>
              <w:jc w:val="center"/>
            </w:pPr>
            <w:r>
              <w:rPr>
                <w:rFonts w:ascii="Arial" w:cs="Arial" w:eastAsia="Arial" w:hAnsi="Arial"/>
                <w:b/>
                <w:bCs/>
                <w:i w:val="false"/>
                <w:iCs w:val="false"/>
                <w:color w:val="065F46"/>
                <w:sz w:val="18"/>
                <w:szCs w:val="18"/>
              </w:rPr>
              <w:t xml:space="preserve">🚀 SHIP THIS</w:t>
            </w:r>
          </w:p>
        </w:tc>
        <w:tc>
          <w:tcPr>
            <w:tcW w:type="dxa" w:w="8160"/>
            <w:tcBorders>
              <w:top w:val="single" w:color="065F46" w:sz="4"/>
              <w:left w:val="none" w:color="FFFFFF" w:sz="0"/>
              <w:bottom w:val="single" w:color="065F46" w:sz="4"/>
              <w:right w:val="single" w:color="065F46" w:sz="4"/>
            </w:tcBorders>
            <w:shd w:fill="D1FAE5" w:val="clear"/>
            <w:tcMar>
              <w:top w:type="dxa" w:w="120"/>
              <w:left w:type="dxa" w:w="160"/>
              <w:bottom w:type="dxa" w:w="120"/>
              <w:right w:type="dxa" w:w="160"/>
            </w:tcMar>
          </w:tcPr>
          <w:p>
            <w:pPr>
              <w:pStyle w:val="ListParagraph"/>
              <w:numPr>
                <w:ilvl w:val="0"/>
                <w:numId w:val="2"/>
              </w:numPr>
              <w:spacing w:after="60" w:before="60"/>
              <w:jc w:val="left"/>
            </w:pPr>
            <w:r>
              <w:rPr>
                <w:rFonts w:ascii="Arial" w:cs="Arial" w:eastAsia="Arial" w:hAnsi="Arial"/>
                <w:b/>
                <w:bCs/>
                <w:i w:val="false"/>
                <w:iCs w:val="false"/>
                <w:color w:val="7C3AED"/>
                <w:sz w:val="20"/>
                <w:szCs w:val="20"/>
              </w:rPr>
              <w:t xml:space="preserve">Define ICP: </w:t>
            </w:r>
            <w:r>
              <w:rPr>
                <w:rFonts w:ascii="Arial" w:cs="Arial" w:eastAsia="Arial" w:hAnsi="Arial"/>
                <w:b w:val="false"/>
                <w:bCs w:val="false"/>
                <w:i w:val="false"/>
                <w:iCs w:val="false"/>
                <w:color w:val="1E1B4B"/>
                <w:sz w:val="20"/>
                <w:szCs w:val="20"/>
              </w:rPr>
              <w:t xml:space="preserve">Cost-conscious urban Indian millennials (18-28) sharing streaming subscriptions. Build acquisition, onboarding, and homepage messaging around this user first.</w:t>
            </w:r>
          </w:p>
          <w:p>
            <w:pPr>
              <w:pStyle w:val="ListParagraph"/>
              <w:numPr>
                <w:ilvl w:val="0"/>
                <w:numId w:val="2"/>
              </w:numPr>
              <w:spacing w:after="60" w:before="60"/>
              <w:jc w:val="left"/>
            </w:pPr>
            <w:r>
              <w:rPr>
                <w:rFonts w:ascii="Arial" w:cs="Arial" w:eastAsia="Arial" w:hAnsi="Arial"/>
                <w:b/>
                <w:bCs/>
                <w:i w:val="false"/>
                <w:iCs w:val="false"/>
                <w:color w:val="7C3AED"/>
                <w:sz w:val="20"/>
                <w:szCs w:val="20"/>
              </w:rPr>
              <w:t xml:space="preserve">Role-based onboarding: </w:t>
            </w:r>
            <w:r>
              <w:rPr>
                <w:rFonts w:ascii="Arial" w:cs="Arial" w:eastAsia="Arial" w:hAnsi="Arial"/>
                <w:b w:val="false"/>
                <w:bCs w:val="false"/>
                <w:i w:val="false"/>
                <w:iCs w:val="false"/>
                <w:color w:val="1E1B4B"/>
                <w:sz w:val="20"/>
                <w:szCs w:val="20"/>
              </w:rPr>
              <w:t xml:space="preserve">First visit asks: 'Are you here to save on subscriptions, share your plan, or sell products?' Three paths, three first sessions.</w:t>
            </w:r>
          </w:p>
          <w:p>
            <w:pPr>
              <w:pStyle w:val="ListParagraph"/>
              <w:numPr>
                <w:ilvl w:val="0"/>
                <w:numId w:val="2"/>
              </w:numPr>
              <w:spacing w:after="60" w:before="60"/>
              <w:jc w:val="left"/>
            </w:pPr>
            <w:r>
              <w:rPr>
                <w:rFonts w:ascii="Arial" w:cs="Arial" w:eastAsia="Arial" w:hAnsi="Arial"/>
                <w:b/>
                <w:bCs/>
                <w:i w:val="false"/>
                <w:iCs w:val="false"/>
                <w:color w:val="7C3AED"/>
                <w:sz w:val="20"/>
                <w:szCs w:val="20"/>
              </w:rPr>
              <w:t xml:space="preserve">Privacy policy: </w:t>
            </w:r>
            <w:r>
              <w:rPr>
                <w:rFonts w:ascii="Arial" w:cs="Arial" w:eastAsia="Arial" w:hAnsi="Arial"/>
                <w:b w:val="false"/>
                <w:bCs w:val="false"/>
                <w:i w:val="false"/>
                <w:iCs w:val="false"/>
                <w:color w:val="1E1B4B"/>
                <w:sz w:val="20"/>
                <w:szCs w:val="20"/>
              </w:rPr>
              <w:t xml:space="preserve">Commission a proper India-specific policy compliant with DPDP Act 2023. Non-negotiable for a fintech platform.</w:t>
            </w:r>
          </w:p>
          <w:p>
            <w:pPr>
              <w:pStyle w:val="ListParagraph"/>
              <w:numPr>
                <w:ilvl w:val="0"/>
                <w:numId w:val="2"/>
              </w:numPr>
              <w:spacing w:after="60" w:before="60"/>
              <w:jc w:val="left"/>
            </w:pPr>
            <w:r>
              <w:rPr>
                <w:rFonts w:ascii="Arial" w:cs="Arial" w:eastAsia="Arial" w:hAnsi="Arial"/>
                <w:b/>
                <w:bCs/>
                <w:i w:val="false"/>
                <w:iCs w:val="false"/>
                <w:color w:val="7C3AED"/>
                <w:sz w:val="20"/>
                <w:szCs w:val="20"/>
              </w:rPr>
              <w:t xml:space="preserve">ICP-specific landing pages: </w:t>
            </w:r>
            <w:r>
              <w:rPr>
                <w:rFonts w:ascii="Arial" w:cs="Arial" w:eastAsia="Arial" w:hAnsi="Arial"/>
                <w:b w:val="false"/>
                <w:bCs w:val="false"/>
                <w:i w:val="false"/>
                <w:iCs w:val="false"/>
                <w:color w:val="1E1B4B"/>
                <w:sz w:val="20"/>
                <w:szCs w:val="20"/>
              </w:rPr>
              <w:t xml:space="preserve">'Save on subscriptions' for consumers. 'Earn from your plan' for group owners. 'Sell on Subspace' for vendors. Separate acquisition for each.</w:t>
            </w:r>
          </w:p>
        </w:tc>
      </w:tr>
    </w:tbl>
    <w:p>
      <w:pPr>
        <w:spacing w:after="200" w:before="0"/>
        <w:jc w:val="left"/>
      </w:pPr>
      <w:r>
        <w:rPr>
          <w:rFonts w:ascii="Arial" w:cs="Arial" w:eastAsia="Arial" w:hAnsi="Arial"/>
          <w:b w:val="false"/>
          <w:bCs w:val="false"/>
          <w:i w:val="false"/>
          <w:iCs w:val="false"/>
          <w:color w:val="1E1B4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7C3AED" w:val="clear"/>
            <w:tcMar>
              <w:top w:type="dxa" w:w="200"/>
              <w:left w:type="dxa" w:w="160"/>
              <w:bottom w:type="dxa" w:w="200"/>
              <w:right w:type="dxa" w:w="160"/>
            </w:tcMar>
          </w:tcPr>
          <w:p>
            <w:pPr>
              <w:spacing w:after="0" w:before="0"/>
              <w:jc w:val="center"/>
            </w:pPr>
            <w:r>
              <w:rPr>
                <w:rFonts w:ascii="Arial" w:cs="Arial" w:eastAsia="Arial" w:hAnsi="Arial"/>
                <w:b/>
                <w:bCs/>
                <w:i w:val="false"/>
                <w:iCs w:val="false"/>
                <w:color w:val="FFFFFF"/>
                <w:sz w:val="48"/>
                <w:szCs w:val="48"/>
              </w:rPr>
              <w:t xml:space="preserve">04</w:t>
            </w:r>
          </w:p>
        </w:tc>
        <w:tc>
          <w:tcPr>
            <w:tcW w:type="dxa" w:w="8560"/>
            <w:tcBorders>
              <w:top w:val="none" w:color="FFFFFF" w:sz="0"/>
              <w:left w:val="none" w:color="FFFFFF" w:sz="0"/>
              <w:bottom w:val="none" w:color="FFFFFF" w:sz="0"/>
              <w:right w:val="none" w:color="FFFFFF" w:sz="0"/>
            </w:tcBorders>
            <w:shd w:fill="5B21B6" w:val="clear"/>
            <w:tcMar>
              <w:top w:type="dxa" w:w="160"/>
              <w:left w:type="dxa" w:w="160"/>
              <w:bottom w:type="dxa" w:w="160"/>
              <w:right w:type="dxa" w:w="160"/>
            </w:tcMar>
          </w:tcPr>
          <w:p>
            <w:pPr>
              <w:spacing w:after="0" w:before="80"/>
              <w:jc w:val="left"/>
            </w:pPr>
            <w:r>
              <w:rPr>
                <w:rFonts w:ascii="Arial" w:cs="Arial" w:eastAsia="Arial" w:hAnsi="Arial"/>
                <w:b/>
                <w:bCs/>
                <w:i w:val="false"/>
                <w:iCs w:val="false"/>
                <w:color w:val="FFFFFF"/>
                <w:sz w:val="32"/>
                <w:szCs w:val="32"/>
              </w:rPr>
              <w:t xml:space="preserve">Competitor Analysis</w:t>
            </w:r>
          </w:p>
          <w:p>
            <w:pPr>
              <w:spacing w:after="0" w:before="0"/>
              <w:jc w:val="left"/>
            </w:pPr>
            <w:r>
              <w:rPr>
                <w:rFonts w:ascii="Arial" w:cs="Arial" w:eastAsia="Arial" w:hAnsi="Arial"/>
                <w:b w:val="false"/>
                <w:bCs w:val="false"/>
                <w:i w:val="false"/>
                <w:iCs w:val="false"/>
                <w:color w:val="D8B4FE"/>
                <w:sz w:val="18"/>
                <w:szCs w:val="18"/>
              </w:rPr>
              <w:t xml:space="preserve">Framework: Porter's Five Forces</w:t>
            </w:r>
          </w:p>
        </w:tc>
      </w:tr>
    </w:tbl>
    <w:p>
      <w:pPr>
        <w:spacing w:after="160" w:before="0"/>
        <w:jc w:val="left"/>
      </w:pPr>
      <w:r>
        <w:rPr>
          <w:rFonts w:ascii="Arial" w:cs="Arial" w:eastAsia="Arial" w:hAnsi="Arial"/>
          <w:b w:val="false"/>
          <w:bCs w:val="false"/>
          <w:i w:val="false"/>
          <w:iCs w:val="false"/>
          <w:color w:val="1E1B4B"/>
          <w:sz w:val="20"/>
          <w:szCs w:val="20"/>
        </w:rPr>
        <w:t xml:space="preserve"/>
      </w:r>
    </w:p>
    <w:p>
      <w:pPr>
        <w:spacing w:after="80" w:before="0"/>
        <w:jc w:val="left"/>
      </w:pPr>
      <w:r>
        <w:rPr>
          <w:rFonts w:ascii="Arial" w:cs="Arial" w:eastAsia="Arial" w:hAnsi="Arial"/>
          <w:b/>
          <w:bCs/>
          <w:i w:val="false"/>
          <w:iCs w:val="false"/>
          <w:color w:val="5B21B6"/>
          <w:sz w:val="26"/>
          <w:szCs w:val="26"/>
        </w:rPr>
        <w:t xml:space="preserve">Porter's Five Forces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560"/>
        <w:gridCol w:w="2000"/>
      </w:tblGrid>
      <w:tr>
        <w:tc>
          <w:tcPr>
            <w:tcW w:type="dxa" w:w="1800"/>
            <w:tcBorders>
              <w:top w:val="none" w:color="FFFFFF" w:sz="0"/>
              <w:left w:val="none" w:color="FFFFFF" w:sz="0"/>
              <w:bottom w:val="none" w:color="FFFFFF" w:sz="0"/>
              <w:right w:val="none" w:color="FFFFFF" w:sz="0"/>
            </w:tcBorders>
            <w:shd w:fill="7C3AED" w:val="clear"/>
            <w:tcMar>
              <w:top w:type="dxa" w:w="120"/>
              <w:left w:type="dxa" w:w="160"/>
              <w:bottom w:type="dxa" w:w="120"/>
              <w:right w:type="dxa" w:w="160"/>
            </w:tcMar>
          </w:tcPr>
          <w:p>
            <w:pPr>
              <w:spacing w:after="0" w:before="0"/>
              <w:jc w:val="left"/>
            </w:pPr>
            <w:r>
              <w:rPr>
                <w:rFonts w:ascii="Arial" w:cs="Arial" w:eastAsia="Arial" w:hAnsi="Arial"/>
                <w:b/>
                <w:bCs/>
                <w:i w:val="false"/>
                <w:iCs w:val="false"/>
                <w:color w:val="FFFFFF"/>
                <w:sz w:val="16"/>
                <w:szCs w:val="16"/>
              </w:rPr>
              <w:t xml:space="preserve">FORCE</w:t>
            </w:r>
          </w:p>
        </w:tc>
        <w:tc>
          <w:tcPr>
            <w:tcW w:type="dxa" w:w="5560"/>
            <w:tcBorders>
              <w:top w:val="none" w:color="FFFFFF" w:sz="0"/>
              <w:left w:val="none" w:color="FFFFFF" w:sz="0"/>
              <w:bottom w:val="none" w:color="FFFFFF" w:sz="0"/>
              <w:right w:val="none" w:color="FFFFFF" w:sz="0"/>
            </w:tcBorders>
            <w:shd w:fill="7C3AED" w:val="clear"/>
            <w:tcMar>
              <w:top w:type="dxa" w:w="120"/>
              <w:left w:type="dxa" w:w="160"/>
              <w:bottom w:type="dxa" w:w="120"/>
              <w:right w:type="dxa" w:w="160"/>
            </w:tcMar>
          </w:tcPr>
          <w:p>
            <w:pPr>
              <w:spacing w:after="0" w:before="0"/>
              <w:jc w:val="left"/>
            </w:pPr>
            <w:r>
              <w:rPr>
                <w:rFonts w:ascii="Arial" w:cs="Arial" w:eastAsia="Arial" w:hAnsi="Arial"/>
                <w:b/>
                <w:bCs/>
                <w:i w:val="false"/>
                <w:iCs w:val="false"/>
                <w:color w:val="FFFFFF"/>
                <w:sz w:val="16"/>
                <w:szCs w:val="16"/>
              </w:rPr>
              <w:t xml:space="preserve">ASSESSMENT</w:t>
            </w:r>
          </w:p>
        </w:tc>
        <w:tc>
          <w:tcPr>
            <w:tcW w:type="dxa" w:w="2000"/>
            <w:tcBorders>
              <w:top w:val="none" w:color="FFFFFF" w:sz="0"/>
              <w:left w:val="none" w:color="FFFFFF" w:sz="0"/>
              <w:bottom w:val="none" w:color="FFFFFF" w:sz="0"/>
              <w:right w:val="none" w:color="FFFFFF" w:sz="0"/>
            </w:tcBorders>
            <w:shd w:fill="7C3AED" w:val="clear"/>
            <w:tcMar>
              <w:top w:type="dxa" w:w="120"/>
              <w:left w:type="dxa" w:w="160"/>
              <w:bottom w:type="dxa" w:w="120"/>
              <w:right w:type="dxa" w:w="160"/>
            </w:tcMar>
          </w:tcPr>
          <w:p>
            <w:pPr>
              <w:spacing w:after="0" w:before="0"/>
              <w:jc w:val="left"/>
            </w:pPr>
            <w:r>
              <w:rPr>
                <w:rFonts w:ascii="Arial" w:cs="Arial" w:eastAsia="Arial" w:hAnsi="Arial"/>
                <w:b/>
                <w:bCs/>
                <w:i w:val="false"/>
                <w:iCs w:val="false"/>
                <w:color w:val="FFFFFF"/>
                <w:sz w:val="16"/>
                <w:szCs w:val="16"/>
              </w:rPr>
              <w:t xml:space="preserve">LEVEL</w:t>
            </w:r>
          </w:p>
        </w:tc>
      </w:tr>
      <w:tr>
        <w:tc>
          <w:tcPr>
            <w:tcW w:type="dxa" w:w="1800"/>
            <w:tcBorders>
              <w:top w:val="single" w:color="E5E7EB" w:sz="1"/>
              <w:left w:val="single" w:color="E5E7EB" w:sz="1"/>
              <w:bottom w:val="single" w:color="E5E7EB" w:sz="1"/>
              <w:right w:val="single" w:color="E5E7EB" w:sz="1"/>
            </w:tcBorders>
            <w:shd w:fill="FFFFFF" w:val="clear"/>
            <w:tcMar>
              <w:top w:type="dxa" w:w="120"/>
              <w:left w:type="dxa" w:w="160"/>
              <w:bottom w:type="dxa" w:w="120"/>
              <w:right w:type="dxa" w:w="160"/>
            </w:tcMar>
          </w:tcPr>
          <w:p>
            <w:pPr>
              <w:spacing w:after="0" w:before="0"/>
              <w:jc w:val="left"/>
            </w:pPr>
            <w:r>
              <w:rPr>
                <w:rFonts w:ascii="Arial" w:cs="Arial" w:eastAsia="Arial" w:hAnsi="Arial"/>
                <w:b/>
                <w:bCs/>
                <w:i w:val="false"/>
                <w:iCs w:val="false"/>
                <w:color w:val="1E1B4B"/>
                <w:sz w:val="18"/>
                <w:szCs w:val="18"/>
              </w:rPr>
              <w:t xml:space="preserve">⚔  Competitive Rivalry</w:t>
            </w:r>
          </w:p>
        </w:tc>
        <w:tc>
          <w:tcPr>
            <w:tcW w:type="dxa" w:w="5560"/>
            <w:tcBorders>
              <w:top w:val="single" w:color="E5E7EB" w:sz="1"/>
              <w:left w:val="single" w:color="E5E7EB" w:sz="1"/>
              <w:bottom w:val="single" w:color="E5E7EB" w:sz="1"/>
              <w:right w:val="single" w:color="E5E7EB" w:sz="1"/>
            </w:tcBorders>
            <w:shd w:fill="FFFFFF" w:val="clear"/>
            <w:tcMar>
              <w:top w:type="dxa" w:w="120"/>
              <w:left w:type="dxa" w:w="160"/>
              <w:bottom w:type="dxa" w:w="120"/>
              <w:right w:type="dxa" w:w="160"/>
            </w:tcMar>
          </w:tcPr>
          <w:p>
            <w:pPr>
              <w:spacing w:after="0" w:before="0"/>
              <w:jc w:val="left"/>
            </w:pPr>
            <w:r>
              <w:rPr>
                <w:rFonts w:ascii="Arial" w:cs="Arial" w:eastAsia="Arial" w:hAnsi="Arial"/>
                <w:b w:val="false"/>
                <w:bCs w:val="false"/>
                <w:i w:val="false"/>
                <w:iCs w:val="false"/>
                <w:color w:val="1E1B4B"/>
                <w:sz w:val="18"/>
                <w:szCs w:val="18"/>
              </w:rPr>
              <w:t xml:space="preserve">Spliiit &amp; GoSplit are Europe-only. myPaisaa/MoneyClub serve adjacent spaces (chit funds, P2P savings). No direct Indian subscription-sharing competitor exists today.</w:t>
            </w:r>
          </w:p>
        </w:tc>
        <w:tc>
          <w:tcPr>
            <w:tcW w:type="dxa" w:w="2000"/>
            <w:tcBorders>
              <w:top w:val="single" w:color="E5E7EB" w:sz="1"/>
              <w:left w:val="single" w:color="E5E7EB" w:sz="1"/>
              <w:bottom w:val="single" w:color="E5E7EB" w:sz="1"/>
              <w:right w:val="single" w:color="E5E7EB" w:sz="1"/>
            </w:tcBorders>
            <w:shd w:fill="D1FAE5" w:val="clear"/>
            <w:tcMar>
              <w:top w:type="dxa" w:w="120"/>
              <w:left w:type="dxa" w:w="160"/>
              <w:bottom w:type="dxa" w:w="120"/>
              <w:right w:type="dxa" w:w="160"/>
            </w:tcMar>
          </w:tcPr>
          <w:p>
            <w:pPr>
              <w:spacing w:after="0" w:before="0"/>
              <w:jc w:val="left"/>
            </w:pPr>
            <w:r>
              <w:rPr>
                <w:rFonts w:ascii="Arial" w:cs="Arial" w:eastAsia="Arial" w:hAnsi="Arial"/>
                <w:b/>
                <w:bCs/>
                <w:i w:val="false"/>
                <w:iCs w:val="false"/>
                <w:color w:val="065F46"/>
                <w:sz w:val="18"/>
                <w:szCs w:val="18"/>
              </w:rPr>
              <w:t xml:space="preserve">🟢  LOW</w:t>
            </w:r>
          </w:p>
        </w:tc>
      </w:tr>
      <w:tr>
        <w:tc>
          <w:tcPr>
            <w:tcW w:type="dxa" w:w="1800"/>
            <w:tcBorders>
              <w:top w:val="single" w:color="E5E7EB" w:sz="1"/>
              <w:left w:val="single" w:color="E5E7EB" w:sz="1"/>
              <w:bottom w:val="single" w:color="E5E7EB" w:sz="1"/>
              <w:right w:val="single" w:color="E5E7EB" w:sz="1"/>
            </w:tcBorders>
            <w:shd w:fill="F9FAFB" w:val="clear"/>
            <w:tcMar>
              <w:top w:type="dxa" w:w="120"/>
              <w:left w:type="dxa" w:w="160"/>
              <w:bottom w:type="dxa" w:w="120"/>
              <w:right w:type="dxa" w:w="160"/>
            </w:tcMar>
          </w:tcPr>
          <w:p>
            <w:pPr>
              <w:spacing w:after="0" w:before="0"/>
              <w:jc w:val="left"/>
            </w:pPr>
            <w:r>
              <w:rPr>
                <w:rFonts w:ascii="Arial" w:cs="Arial" w:eastAsia="Arial" w:hAnsi="Arial"/>
                <w:b/>
                <w:bCs/>
                <w:i w:val="false"/>
                <w:iCs w:val="false"/>
                <w:color w:val="1E1B4B"/>
                <w:sz w:val="18"/>
                <w:szCs w:val="18"/>
              </w:rPr>
              <w:t xml:space="preserve">🔄  Threat of Substitutes</w:t>
            </w:r>
          </w:p>
        </w:tc>
        <w:tc>
          <w:tcPr>
            <w:tcW w:type="dxa" w:w="5560"/>
            <w:tcBorders>
              <w:top w:val="single" w:color="E5E7EB" w:sz="1"/>
              <w:left w:val="single" w:color="E5E7EB" w:sz="1"/>
              <w:bottom w:val="single" w:color="E5E7EB" w:sz="1"/>
              <w:right w:val="single" w:color="E5E7EB" w:sz="1"/>
            </w:tcBorders>
            <w:shd w:fill="F9FAFB" w:val="clear"/>
            <w:tcMar>
              <w:top w:type="dxa" w:w="120"/>
              <w:left w:type="dxa" w:w="160"/>
              <w:bottom w:type="dxa" w:w="120"/>
              <w:right w:type="dxa" w:w="160"/>
            </w:tcMar>
          </w:tcPr>
          <w:p>
            <w:pPr>
              <w:spacing w:after="0" w:before="0"/>
              <w:jc w:val="left"/>
            </w:pPr>
            <w:r>
              <w:rPr>
                <w:rFonts w:ascii="Arial" w:cs="Arial" w:eastAsia="Arial" w:hAnsi="Arial"/>
                <w:b w:val="false"/>
                <w:bCs w:val="false"/>
                <w:i w:val="false"/>
                <w:iCs w:val="false"/>
                <w:color w:val="1E1B4B"/>
                <w:sz w:val="18"/>
                <w:szCs w:val="18"/>
              </w:rPr>
              <w:t xml:space="preserve">WhatsApp + UPI. Free, trusted, zero friction. People already split Netflix via GPay. This is Subspace's actual competitor — not Spliiit.</w:t>
            </w:r>
          </w:p>
        </w:tc>
        <w:tc>
          <w:tcPr>
            <w:tcW w:type="dxa" w:w="2000"/>
            <w:tcBorders>
              <w:top w:val="single" w:color="E5E7EB" w:sz="1"/>
              <w:left w:val="single" w:color="E5E7EB" w:sz="1"/>
              <w:bottom w:val="single" w:color="E5E7EB" w:sz="1"/>
              <w:right w:val="single" w:color="E5E7EB" w:sz="1"/>
            </w:tcBorders>
            <w:shd w:fill="FEE2E2" w:val="clear"/>
            <w:tcMar>
              <w:top w:type="dxa" w:w="120"/>
              <w:left w:type="dxa" w:w="160"/>
              <w:bottom w:type="dxa" w:w="120"/>
              <w:right w:type="dxa" w:w="160"/>
            </w:tcMar>
          </w:tcPr>
          <w:p>
            <w:pPr>
              <w:spacing w:after="0" w:before="0"/>
              <w:jc w:val="left"/>
            </w:pPr>
            <w:r>
              <w:rPr>
                <w:rFonts w:ascii="Arial" w:cs="Arial" w:eastAsia="Arial" w:hAnsi="Arial"/>
                <w:b/>
                <w:bCs/>
                <w:i w:val="false"/>
                <w:iCs w:val="false"/>
                <w:color w:val="991B1B"/>
                <w:sz w:val="18"/>
                <w:szCs w:val="18"/>
              </w:rPr>
              <w:t xml:space="preserve">🔴  CRITICAL</w:t>
            </w:r>
          </w:p>
        </w:tc>
      </w:tr>
      <w:tr>
        <w:tc>
          <w:tcPr>
            <w:tcW w:type="dxa" w:w="1800"/>
            <w:tcBorders>
              <w:top w:val="single" w:color="E5E7EB" w:sz="1"/>
              <w:left w:val="single" w:color="E5E7EB" w:sz="1"/>
              <w:bottom w:val="single" w:color="E5E7EB" w:sz="1"/>
              <w:right w:val="single" w:color="E5E7EB" w:sz="1"/>
            </w:tcBorders>
            <w:shd w:fill="FFFFFF" w:val="clear"/>
            <w:tcMar>
              <w:top w:type="dxa" w:w="120"/>
              <w:left w:type="dxa" w:w="160"/>
              <w:bottom w:type="dxa" w:w="120"/>
              <w:right w:type="dxa" w:w="160"/>
            </w:tcMar>
          </w:tcPr>
          <w:p>
            <w:pPr>
              <w:spacing w:after="0" w:before="0"/>
              <w:jc w:val="left"/>
            </w:pPr>
            <w:r>
              <w:rPr>
                <w:rFonts w:ascii="Arial" w:cs="Arial" w:eastAsia="Arial" w:hAnsi="Arial"/>
                <w:b/>
                <w:bCs/>
                <w:i w:val="false"/>
                <w:iCs w:val="false"/>
                <w:color w:val="1E1B4B"/>
                <w:sz w:val="18"/>
                <w:szCs w:val="18"/>
              </w:rPr>
              <w:t xml:space="preserve">👥  Buyer Power</w:t>
            </w:r>
          </w:p>
        </w:tc>
        <w:tc>
          <w:tcPr>
            <w:tcW w:type="dxa" w:w="5560"/>
            <w:tcBorders>
              <w:top w:val="single" w:color="E5E7EB" w:sz="1"/>
              <w:left w:val="single" w:color="E5E7EB" w:sz="1"/>
              <w:bottom w:val="single" w:color="E5E7EB" w:sz="1"/>
              <w:right w:val="single" w:color="E5E7EB" w:sz="1"/>
            </w:tcBorders>
            <w:shd w:fill="FFFFFF" w:val="clear"/>
            <w:tcMar>
              <w:top w:type="dxa" w:w="120"/>
              <w:left w:type="dxa" w:w="160"/>
              <w:bottom w:type="dxa" w:w="120"/>
              <w:right w:type="dxa" w:w="160"/>
            </w:tcMar>
          </w:tcPr>
          <w:p>
            <w:pPr>
              <w:spacing w:after="0" w:before="0"/>
              <w:jc w:val="left"/>
            </w:pPr>
            <w:r>
              <w:rPr>
                <w:rFonts w:ascii="Arial" w:cs="Arial" w:eastAsia="Arial" w:hAnsi="Arial"/>
                <w:b w:val="false"/>
                <w:bCs w:val="false"/>
                <w:i w:val="false"/>
                <w:iCs w:val="false"/>
                <w:color w:val="1E1B4B"/>
                <w:sz w:val="18"/>
                <w:szCs w:val="18"/>
              </w:rPr>
              <w:t xml:space="preserve">No lock-in. If a group breaks or catalog is thin, users return to informal sharing. Zero switching cost.</w:t>
            </w:r>
          </w:p>
        </w:tc>
        <w:tc>
          <w:tcPr>
            <w:tcW w:type="dxa" w:w="2000"/>
            <w:tcBorders>
              <w:top w:val="single" w:color="E5E7EB" w:sz="1"/>
              <w:left w:val="single" w:color="E5E7EB" w:sz="1"/>
              <w:bottom w:val="single" w:color="E5E7EB" w:sz="1"/>
              <w:right w:val="single" w:color="E5E7EB" w:sz="1"/>
            </w:tcBorders>
            <w:shd w:fill="FEF3C7" w:val="clear"/>
            <w:tcMar>
              <w:top w:type="dxa" w:w="120"/>
              <w:left w:type="dxa" w:w="160"/>
              <w:bottom w:type="dxa" w:w="120"/>
              <w:right w:type="dxa" w:w="160"/>
            </w:tcMar>
          </w:tcPr>
          <w:p>
            <w:pPr>
              <w:spacing w:after="0" w:before="0"/>
              <w:jc w:val="left"/>
            </w:pPr>
            <w:r>
              <w:rPr>
                <w:rFonts w:ascii="Arial" w:cs="Arial" w:eastAsia="Arial" w:hAnsi="Arial"/>
                <w:b/>
                <w:bCs/>
                <w:i w:val="false"/>
                <w:iCs w:val="false"/>
                <w:color w:val="92400E"/>
                <w:sz w:val="18"/>
                <w:szCs w:val="18"/>
              </w:rPr>
              <w:t xml:space="preserve">🟠  HIGH</w:t>
            </w:r>
          </w:p>
        </w:tc>
      </w:tr>
      <w:tr>
        <w:tc>
          <w:tcPr>
            <w:tcW w:type="dxa" w:w="1800"/>
            <w:tcBorders>
              <w:top w:val="single" w:color="E5E7EB" w:sz="1"/>
              <w:left w:val="single" w:color="E5E7EB" w:sz="1"/>
              <w:bottom w:val="single" w:color="E5E7EB" w:sz="1"/>
              <w:right w:val="single" w:color="E5E7EB" w:sz="1"/>
            </w:tcBorders>
            <w:shd w:fill="F9FAFB" w:val="clear"/>
            <w:tcMar>
              <w:top w:type="dxa" w:w="120"/>
              <w:left w:type="dxa" w:w="160"/>
              <w:bottom w:type="dxa" w:w="120"/>
              <w:right w:type="dxa" w:w="160"/>
            </w:tcMar>
          </w:tcPr>
          <w:p>
            <w:pPr>
              <w:spacing w:after="0" w:before="0"/>
              <w:jc w:val="left"/>
            </w:pPr>
            <w:r>
              <w:rPr>
                <w:rFonts w:ascii="Arial" w:cs="Arial" w:eastAsia="Arial" w:hAnsi="Arial"/>
                <w:b/>
                <w:bCs/>
                <w:i w:val="false"/>
                <w:iCs w:val="false"/>
                <w:color w:val="1E1B4B"/>
                <w:sz w:val="18"/>
                <w:szCs w:val="18"/>
              </w:rPr>
              <w:t xml:space="preserve">🏭  Supplier Power</w:t>
            </w:r>
          </w:p>
        </w:tc>
        <w:tc>
          <w:tcPr>
            <w:tcW w:type="dxa" w:w="5560"/>
            <w:tcBorders>
              <w:top w:val="single" w:color="E5E7EB" w:sz="1"/>
              <w:left w:val="single" w:color="E5E7EB" w:sz="1"/>
              <w:bottom w:val="single" w:color="E5E7EB" w:sz="1"/>
              <w:right w:val="single" w:color="E5E7EB" w:sz="1"/>
            </w:tcBorders>
            <w:shd w:fill="F9FAFB" w:val="clear"/>
            <w:tcMar>
              <w:top w:type="dxa" w:w="120"/>
              <w:left w:type="dxa" w:w="160"/>
              <w:bottom w:type="dxa" w:w="120"/>
              <w:right w:type="dxa" w:w="160"/>
            </w:tcMar>
          </w:tcPr>
          <w:p>
            <w:pPr>
              <w:spacing w:after="0" w:before="0"/>
              <w:jc w:val="left"/>
            </w:pPr>
            <w:r>
              <w:rPr>
                <w:rFonts w:ascii="Arial" w:cs="Arial" w:eastAsia="Arial" w:hAnsi="Arial"/>
                <w:b w:val="false"/>
                <w:bCs w:val="false"/>
                <w:i w:val="false"/>
                <w:iCs w:val="false"/>
                <w:color w:val="1E1B4B"/>
                <w:sz w:val="18"/>
                <w:szCs w:val="18"/>
              </w:rPr>
              <w:t xml:space="preserve">Netflix, Spotify can change multi-user policies anytime (Netflix did in 2023). Platform risk if OTTs crack down on account sharing.</w:t>
            </w:r>
          </w:p>
        </w:tc>
        <w:tc>
          <w:tcPr>
            <w:tcW w:type="dxa" w:w="2000"/>
            <w:tcBorders>
              <w:top w:val="single" w:color="E5E7EB" w:sz="1"/>
              <w:left w:val="single" w:color="E5E7EB" w:sz="1"/>
              <w:bottom w:val="single" w:color="E5E7EB" w:sz="1"/>
              <w:right w:val="single" w:color="E5E7EB" w:sz="1"/>
            </w:tcBorders>
            <w:shd w:fill="FEF3C7" w:val="clear"/>
            <w:tcMar>
              <w:top w:type="dxa" w:w="120"/>
              <w:left w:type="dxa" w:w="160"/>
              <w:bottom w:type="dxa" w:w="120"/>
              <w:right w:type="dxa" w:w="160"/>
            </w:tcMar>
          </w:tcPr>
          <w:p>
            <w:pPr>
              <w:spacing w:after="0" w:before="0"/>
              <w:jc w:val="left"/>
            </w:pPr>
            <w:r>
              <w:rPr>
                <w:rFonts w:ascii="Arial" w:cs="Arial" w:eastAsia="Arial" w:hAnsi="Arial"/>
                <w:b/>
                <w:bCs/>
                <w:i w:val="false"/>
                <w:iCs w:val="false"/>
                <w:color w:val="92400E"/>
                <w:sz w:val="18"/>
                <w:szCs w:val="18"/>
              </w:rPr>
              <w:t xml:space="preserve">🟠  MEDIUM</w:t>
            </w:r>
          </w:p>
        </w:tc>
      </w:tr>
      <w:tr>
        <w:tc>
          <w:tcPr>
            <w:tcW w:type="dxa" w:w="1800"/>
            <w:tcBorders>
              <w:top w:val="single" w:color="E5E7EB" w:sz="1"/>
              <w:left w:val="single" w:color="E5E7EB" w:sz="1"/>
              <w:bottom w:val="single" w:color="E5E7EB" w:sz="1"/>
              <w:right w:val="single" w:color="E5E7EB" w:sz="1"/>
            </w:tcBorders>
            <w:shd w:fill="FFFFFF" w:val="clear"/>
            <w:tcMar>
              <w:top w:type="dxa" w:w="120"/>
              <w:left w:type="dxa" w:w="160"/>
              <w:bottom w:type="dxa" w:w="120"/>
              <w:right w:type="dxa" w:w="160"/>
            </w:tcMar>
          </w:tcPr>
          <w:p>
            <w:pPr>
              <w:spacing w:after="0" w:before="0"/>
              <w:jc w:val="left"/>
            </w:pPr>
            <w:r>
              <w:rPr>
                <w:rFonts w:ascii="Arial" w:cs="Arial" w:eastAsia="Arial" w:hAnsi="Arial"/>
                <w:b/>
                <w:bCs/>
                <w:i w:val="false"/>
                <w:iCs w:val="false"/>
                <w:color w:val="1E1B4B"/>
                <w:sz w:val="18"/>
                <w:szCs w:val="18"/>
              </w:rPr>
              <w:t xml:space="preserve">🚀  New Entrants</w:t>
            </w:r>
          </w:p>
        </w:tc>
        <w:tc>
          <w:tcPr>
            <w:tcW w:type="dxa" w:w="5560"/>
            <w:tcBorders>
              <w:top w:val="single" w:color="E5E7EB" w:sz="1"/>
              <w:left w:val="single" w:color="E5E7EB" w:sz="1"/>
              <w:bottom w:val="single" w:color="E5E7EB" w:sz="1"/>
              <w:right w:val="single" w:color="E5E7EB" w:sz="1"/>
            </w:tcBorders>
            <w:shd w:fill="FFFFFF" w:val="clear"/>
            <w:tcMar>
              <w:top w:type="dxa" w:w="120"/>
              <w:left w:type="dxa" w:w="160"/>
              <w:bottom w:type="dxa" w:w="120"/>
              <w:right w:type="dxa" w:w="160"/>
            </w:tcMar>
          </w:tcPr>
          <w:p>
            <w:pPr>
              <w:spacing w:after="0" w:before="0"/>
              <w:jc w:val="left"/>
            </w:pPr>
            <w:r>
              <w:rPr>
                <w:rFonts w:ascii="Arial" w:cs="Arial" w:eastAsia="Arial" w:hAnsi="Arial"/>
                <w:b w:val="false"/>
                <w:bCs w:val="false"/>
                <w:i w:val="false"/>
                <w:iCs w:val="false"/>
                <w:color w:val="1E1B4B"/>
                <w:sz w:val="18"/>
                <w:szCs w:val="18"/>
              </w:rPr>
              <w:t xml:space="preserve">Any funded startup or super-app (PhonePe, Paytm) could add subscription sharing as a feature. Only data and network effects protect Subspace.</w:t>
            </w:r>
          </w:p>
        </w:tc>
        <w:tc>
          <w:tcPr>
            <w:tcW w:type="dxa" w:w="2000"/>
            <w:tcBorders>
              <w:top w:val="single" w:color="E5E7EB" w:sz="1"/>
              <w:left w:val="single" w:color="E5E7EB" w:sz="1"/>
              <w:bottom w:val="single" w:color="E5E7EB" w:sz="1"/>
              <w:right w:val="single" w:color="E5E7EB" w:sz="1"/>
            </w:tcBorders>
            <w:shd w:fill="FEF3C7" w:val="clear"/>
            <w:tcMar>
              <w:top w:type="dxa" w:w="120"/>
              <w:left w:type="dxa" w:w="160"/>
              <w:bottom w:type="dxa" w:w="120"/>
              <w:right w:type="dxa" w:w="160"/>
            </w:tcMar>
          </w:tcPr>
          <w:p>
            <w:pPr>
              <w:spacing w:after="0" w:before="0"/>
              <w:jc w:val="left"/>
            </w:pPr>
            <w:r>
              <w:rPr>
                <w:rFonts w:ascii="Arial" w:cs="Arial" w:eastAsia="Arial" w:hAnsi="Arial"/>
                <w:b/>
                <w:bCs/>
                <w:i w:val="false"/>
                <w:iCs w:val="false"/>
                <w:color w:val="92400E"/>
                <w:sz w:val="18"/>
                <w:szCs w:val="18"/>
              </w:rPr>
              <w:t xml:space="preserve">🟠  MEDIUM</w:t>
            </w:r>
          </w:p>
        </w:tc>
      </w:tr>
    </w:tbl>
    <w:p>
      <w:pPr>
        <w:spacing w:after="160" w:before="0"/>
        <w:jc w:val="left"/>
      </w:pPr>
      <w:r>
        <w:rPr>
          <w:rFonts w:ascii="Arial" w:cs="Arial" w:eastAsia="Arial" w:hAnsi="Arial"/>
          <w:b w:val="false"/>
          <w:bCs w:val="false"/>
          <w:i w:val="false"/>
          <w:iCs w:val="false"/>
          <w:color w:val="1E1B4B"/>
          <w:sz w:val="20"/>
          <w:szCs w:val="20"/>
        </w:rPr>
        <w:t xml:space="preserve"/>
      </w:r>
    </w:p>
    <w:p>
      <w:pPr>
        <w:spacing w:after="80" w:before="0"/>
        <w:jc w:val="left"/>
      </w:pPr>
      <w:r>
        <w:rPr>
          <w:rFonts w:ascii="Arial" w:cs="Arial" w:eastAsia="Arial" w:hAnsi="Arial"/>
          <w:b/>
          <w:bCs/>
          <w:i w:val="false"/>
          <w:iCs w:val="false"/>
          <w:color w:val="5B21B6"/>
          <w:sz w:val="26"/>
          <w:szCs w:val="26"/>
        </w:rPr>
        <w:t xml:space="preserve">Head-to-Head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60"/>
        <w:gridCol w:w="1700"/>
        <w:gridCol w:w="1700"/>
        <w:gridCol w:w="1700"/>
        <w:gridCol w:w="1700"/>
      </w:tblGrid>
      <w:tr>
        <w:tc>
          <w:tcPr>
            <w:tcW w:type="dxa" w:w="2560"/>
            <w:tcBorders>
              <w:top w:val="none" w:color="FFFFFF" w:sz="0"/>
              <w:left w:val="none" w:color="FFFFFF" w:sz="0"/>
              <w:bottom w:val="none" w:color="FFFFFF" w:sz="0"/>
              <w:right w:val="none" w:color="FFFFFF" w:sz="0"/>
            </w:tcBorders>
            <w:shd w:fill="7C3AED" w:val="clear"/>
            <w:tcMar>
              <w:top w:type="dxa" w:w="120"/>
              <w:left w:type="dxa" w:w="160"/>
              <w:bottom w:type="dxa" w:w="120"/>
              <w:right w:type="dxa" w:w="160"/>
            </w:tcMar>
          </w:tcPr>
          <w:p>
            <w:pPr>
              <w:spacing w:after="0" w:before="0"/>
              <w:jc w:val="left"/>
            </w:pPr>
            <w:r>
              <w:rPr>
                <w:rFonts w:ascii="Arial" w:cs="Arial" w:eastAsia="Arial" w:hAnsi="Arial"/>
                <w:b/>
                <w:bCs/>
                <w:i w:val="false"/>
                <w:iCs w:val="false"/>
                <w:color w:val="FFFFFF"/>
                <w:sz w:val="16"/>
                <w:szCs w:val="16"/>
              </w:rPr>
              <w:t xml:space="preserve">FEATURE</w:t>
            </w:r>
          </w:p>
        </w:tc>
        <w:tc>
          <w:tcPr>
            <w:tcW w:type="dxa" w:w="1700"/>
            <w:tcBorders>
              <w:top w:val="none" w:color="FFFFFF" w:sz="0"/>
              <w:left w:val="none" w:color="FFFFFF" w:sz="0"/>
              <w:bottom w:val="none" w:color="FFFFFF" w:sz="0"/>
              <w:right w:val="none" w:color="FFFFFF" w:sz="0"/>
            </w:tcBorders>
            <w:shd w:fill="7C3AED" w:val="clear"/>
            <w:tcMar>
              <w:top w:type="dxa" w:w="120"/>
              <w:left w:type="dxa" w:w="160"/>
              <w:bottom w:type="dxa" w:w="120"/>
              <w:right w:type="dxa" w:w="160"/>
            </w:tcMar>
          </w:tcPr>
          <w:p>
            <w:pPr>
              <w:spacing w:after="0" w:before="0"/>
              <w:jc w:val="center"/>
            </w:pPr>
            <w:r>
              <w:rPr>
                <w:rFonts w:ascii="Arial" w:cs="Arial" w:eastAsia="Arial" w:hAnsi="Arial"/>
                <w:b/>
                <w:bCs/>
                <w:i w:val="false"/>
                <w:iCs w:val="false"/>
                <w:color w:val="FFFFFF"/>
                <w:sz w:val="16"/>
                <w:szCs w:val="16"/>
              </w:rPr>
              <w:t xml:space="preserve">Subspace</w:t>
            </w:r>
          </w:p>
        </w:tc>
        <w:tc>
          <w:tcPr>
            <w:tcW w:type="dxa" w:w="1700"/>
            <w:tcBorders>
              <w:top w:val="none" w:color="FFFFFF" w:sz="0"/>
              <w:left w:val="none" w:color="FFFFFF" w:sz="0"/>
              <w:bottom w:val="none" w:color="FFFFFF" w:sz="0"/>
              <w:right w:val="none" w:color="FFFFFF" w:sz="0"/>
            </w:tcBorders>
            <w:shd w:fill="7C3AED" w:val="clear"/>
            <w:tcMar>
              <w:top w:type="dxa" w:w="120"/>
              <w:left w:type="dxa" w:w="160"/>
              <w:bottom w:type="dxa" w:w="120"/>
              <w:right w:type="dxa" w:w="160"/>
            </w:tcMar>
          </w:tcPr>
          <w:p>
            <w:pPr>
              <w:spacing w:after="0" w:before="0"/>
              <w:jc w:val="center"/>
            </w:pPr>
            <w:r>
              <w:rPr>
                <w:rFonts w:ascii="Arial" w:cs="Arial" w:eastAsia="Arial" w:hAnsi="Arial"/>
                <w:b/>
                <w:bCs/>
                <w:i w:val="false"/>
                <w:iCs w:val="false"/>
                <w:color w:val="FFFFFF"/>
                <w:sz w:val="16"/>
                <w:szCs w:val="16"/>
              </w:rPr>
              <w:t xml:space="preserve">Spliiit</w:t>
            </w:r>
          </w:p>
        </w:tc>
        <w:tc>
          <w:tcPr>
            <w:tcW w:type="dxa" w:w="1700"/>
            <w:tcBorders>
              <w:top w:val="none" w:color="FFFFFF" w:sz="0"/>
              <w:left w:val="none" w:color="FFFFFF" w:sz="0"/>
              <w:bottom w:val="none" w:color="FFFFFF" w:sz="0"/>
              <w:right w:val="none" w:color="FFFFFF" w:sz="0"/>
            </w:tcBorders>
            <w:shd w:fill="7C3AED" w:val="clear"/>
            <w:tcMar>
              <w:top w:type="dxa" w:w="120"/>
              <w:left w:type="dxa" w:w="160"/>
              <w:bottom w:type="dxa" w:w="120"/>
              <w:right w:type="dxa" w:w="160"/>
            </w:tcMar>
          </w:tcPr>
          <w:p>
            <w:pPr>
              <w:spacing w:after="0" w:before="0"/>
              <w:jc w:val="center"/>
            </w:pPr>
            <w:r>
              <w:rPr>
                <w:rFonts w:ascii="Arial" w:cs="Arial" w:eastAsia="Arial" w:hAnsi="Arial"/>
                <w:b/>
                <w:bCs/>
                <w:i w:val="false"/>
                <w:iCs w:val="false"/>
                <w:color w:val="FFFFFF"/>
                <w:sz w:val="16"/>
                <w:szCs w:val="16"/>
              </w:rPr>
              <w:t xml:space="preserve">GoSplit</w:t>
            </w:r>
          </w:p>
        </w:tc>
        <w:tc>
          <w:tcPr>
            <w:tcW w:type="dxa" w:w="1700"/>
            <w:tcBorders>
              <w:top w:val="none" w:color="FFFFFF" w:sz="0"/>
              <w:left w:val="none" w:color="FFFFFF" w:sz="0"/>
              <w:bottom w:val="none" w:color="FFFFFF" w:sz="0"/>
              <w:right w:val="none" w:color="FFFFFF" w:sz="0"/>
            </w:tcBorders>
            <w:shd w:fill="7C3AED" w:val="clear"/>
            <w:tcMar>
              <w:top w:type="dxa" w:w="120"/>
              <w:left w:type="dxa" w:w="160"/>
              <w:bottom w:type="dxa" w:w="120"/>
              <w:right w:type="dxa" w:w="160"/>
            </w:tcMar>
          </w:tcPr>
          <w:p>
            <w:pPr>
              <w:spacing w:after="0" w:before="0"/>
              <w:jc w:val="center"/>
            </w:pPr>
            <w:r>
              <w:rPr>
                <w:rFonts w:ascii="Arial" w:cs="Arial" w:eastAsia="Arial" w:hAnsi="Arial"/>
                <w:b/>
                <w:bCs/>
                <w:i w:val="false"/>
                <w:iCs w:val="false"/>
                <w:color w:val="FFFFFF"/>
                <w:sz w:val="16"/>
                <w:szCs w:val="16"/>
              </w:rPr>
              <w:t xml:space="preserve">WhatsApp+UPI</w:t>
            </w:r>
          </w:p>
        </w:tc>
      </w:tr>
      <w:tr>
        <w:tc>
          <w:tcPr>
            <w:tcW w:type="dxa" w:w="2560"/>
            <w:tcBorders>
              <w:top w:val="single" w:color="E5E7EB" w:sz="1"/>
              <w:left w:val="single" w:color="E5E7EB" w:sz="1"/>
              <w:bottom w:val="single" w:color="E5E7EB" w:sz="1"/>
              <w:right w:val="single" w:color="E5E7EB" w:sz="1"/>
            </w:tcBorders>
            <w:shd w:fill="FFFFFF" w:val="clear"/>
            <w:tcMar>
              <w:top w:type="dxa" w:w="120"/>
              <w:left w:type="dxa" w:w="160"/>
              <w:bottom w:type="dxa" w:w="120"/>
              <w:right w:type="dxa" w:w="160"/>
            </w:tcMar>
          </w:tcPr>
          <w:p>
            <w:pPr>
              <w:spacing w:after="0" w:before="0"/>
              <w:jc w:val="left"/>
            </w:pPr>
            <w:r>
              <w:rPr>
                <w:rFonts w:ascii="Arial" w:cs="Arial" w:eastAsia="Arial" w:hAnsi="Arial"/>
                <w:b/>
                <w:bCs/>
                <w:i w:val="false"/>
                <w:iCs w:val="false"/>
                <w:color w:val="1E1B4B"/>
                <w:sz w:val="18"/>
                <w:szCs w:val="18"/>
              </w:rPr>
              <w:t xml:space="preserve">India-first (local apps + INR)</w:t>
            </w:r>
          </w:p>
        </w:tc>
        <w:tc>
          <w:tcPr>
            <w:tcW w:type="dxa" w:w="1700"/>
            <w:tcBorders>
              <w:top w:val="single" w:color="E5E7EB" w:sz="1"/>
              <w:left w:val="single" w:color="E5E7EB" w:sz="1"/>
              <w:bottom w:val="single" w:color="E5E7EB" w:sz="1"/>
              <w:right w:val="single" w:color="E5E7EB" w:sz="1"/>
            </w:tcBorders>
            <w:shd w:fill="FFFFFF" w:val="clear"/>
            <w:tcMar>
              <w:top w:type="dxa" w:w="120"/>
              <w:left w:type="dxa" w:w="160"/>
              <w:bottom w:type="dxa" w:w="120"/>
              <w:right w:type="dxa" w:w="160"/>
            </w:tcMar>
          </w:tcPr>
          <w:p>
            <w:pPr>
              <w:spacing w:after="0" w:before="0"/>
              <w:jc w:val="center"/>
            </w:pPr>
            <w:r>
              <w:rPr>
                <w:rFonts w:ascii="Arial" w:cs="Arial" w:eastAsia="Arial" w:hAnsi="Arial"/>
                <w:b/>
                <w:bCs/>
                <w:i w:val="false"/>
                <w:iCs w:val="false"/>
                <w:color w:val="065F46"/>
                <w:sz w:val="18"/>
                <w:szCs w:val="18"/>
              </w:rPr>
              <w:t xml:space="preserve">✅</w:t>
            </w:r>
          </w:p>
        </w:tc>
        <w:tc>
          <w:tcPr>
            <w:tcW w:type="dxa" w:w="1700"/>
            <w:tcBorders>
              <w:top w:val="single" w:color="E5E7EB" w:sz="1"/>
              <w:left w:val="single" w:color="E5E7EB" w:sz="1"/>
              <w:bottom w:val="single" w:color="E5E7EB" w:sz="1"/>
              <w:right w:val="single" w:color="E5E7EB" w:sz="1"/>
            </w:tcBorders>
            <w:shd w:fill="FFFFFF" w:val="clear"/>
            <w:tcMar>
              <w:top w:type="dxa" w:w="120"/>
              <w:left w:type="dxa" w:w="160"/>
              <w:bottom w:type="dxa" w:w="120"/>
              <w:right w:type="dxa" w:w="160"/>
            </w:tcMar>
          </w:tcPr>
          <w:p>
            <w:pPr>
              <w:spacing w:after="0" w:before="0"/>
              <w:jc w:val="center"/>
            </w:pPr>
            <w:r>
              <w:rPr>
                <w:rFonts w:ascii="Arial" w:cs="Arial" w:eastAsia="Arial" w:hAnsi="Arial"/>
                <w:b/>
                <w:bCs/>
                <w:i w:val="false"/>
                <w:iCs w:val="false"/>
                <w:color w:val="991B1B"/>
                <w:sz w:val="18"/>
                <w:szCs w:val="18"/>
              </w:rPr>
              <w:t xml:space="preserve">❌</w:t>
            </w:r>
          </w:p>
        </w:tc>
        <w:tc>
          <w:tcPr>
            <w:tcW w:type="dxa" w:w="1700"/>
            <w:tcBorders>
              <w:top w:val="single" w:color="E5E7EB" w:sz="1"/>
              <w:left w:val="single" w:color="E5E7EB" w:sz="1"/>
              <w:bottom w:val="single" w:color="E5E7EB" w:sz="1"/>
              <w:right w:val="single" w:color="E5E7EB" w:sz="1"/>
            </w:tcBorders>
            <w:shd w:fill="FFFFFF" w:val="clear"/>
            <w:tcMar>
              <w:top w:type="dxa" w:w="120"/>
              <w:left w:type="dxa" w:w="160"/>
              <w:bottom w:type="dxa" w:w="120"/>
              <w:right w:type="dxa" w:w="160"/>
            </w:tcMar>
          </w:tcPr>
          <w:p>
            <w:pPr>
              <w:spacing w:after="0" w:before="0"/>
              <w:jc w:val="center"/>
            </w:pPr>
            <w:r>
              <w:rPr>
                <w:rFonts w:ascii="Arial" w:cs="Arial" w:eastAsia="Arial" w:hAnsi="Arial"/>
                <w:b/>
                <w:bCs/>
                <w:i w:val="false"/>
                <w:iCs w:val="false"/>
                <w:color w:val="991B1B"/>
                <w:sz w:val="18"/>
                <w:szCs w:val="18"/>
              </w:rPr>
              <w:t xml:space="preserve">❌</w:t>
            </w:r>
          </w:p>
        </w:tc>
        <w:tc>
          <w:tcPr>
            <w:tcW w:type="dxa" w:w="1700"/>
            <w:tcBorders>
              <w:top w:val="single" w:color="E5E7EB" w:sz="1"/>
              <w:left w:val="single" w:color="E5E7EB" w:sz="1"/>
              <w:bottom w:val="single" w:color="E5E7EB" w:sz="1"/>
              <w:right w:val="single" w:color="E5E7EB" w:sz="1"/>
            </w:tcBorders>
            <w:shd w:fill="FFFFFF" w:val="clear"/>
            <w:tcMar>
              <w:top w:type="dxa" w:w="120"/>
              <w:left w:type="dxa" w:w="160"/>
              <w:bottom w:type="dxa" w:w="120"/>
              <w:right w:type="dxa" w:w="160"/>
            </w:tcMar>
          </w:tcPr>
          <w:p>
            <w:pPr>
              <w:spacing w:after="0" w:before="0"/>
              <w:jc w:val="center"/>
            </w:pPr>
            <w:r>
              <w:rPr>
                <w:rFonts w:ascii="Arial" w:cs="Arial" w:eastAsia="Arial" w:hAnsi="Arial"/>
                <w:b/>
                <w:bCs/>
                <w:i w:val="false"/>
                <w:iCs w:val="false"/>
                <w:color w:val="065F46"/>
                <w:sz w:val="18"/>
                <w:szCs w:val="18"/>
              </w:rPr>
              <w:t xml:space="preserve">✅</w:t>
            </w:r>
          </w:p>
        </w:tc>
      </w:tr>
      <w:tr>
        <w:tc>
          <w:tcPr>
            <w:tcW w:type="dxa" w:w="2560"/>
            <w:tcBorders>
              <w:top w:val="single" w:color="E5E7EB" w:sz="1"/>
              <w:left w:val="single" w:color="E5E7EB" w:sz="1"/>
              <w:bottom w:val="single" w:color="E5E7EB" w:sz="1"/>
              <w:right w:val="single" w:color="E5E7EB" w:sz="1"/>
            </w:tcBorders>
            <w:shd w:fill="F9FAFB" w:val="clear"/>
            <w:tcMar>
              <w:top w:type="dxa" w:w="120"/>
              <w:left w:type="dxa" w:w="160"/>
              <w:bottom w:type="dxa" w:w="120"/>
              <w:right w:type="dxa" w:w="160"/>
            </w:tcMar>
          </w:tcPr>
          <w:p>
            <w:pPr>
              <w:spacing w:after="0" w:before="0"/>
              <w:jc w:val="left"/>
            </w:pPr>
            <w:r>
              <w:rPr>
                <w:rFonts w:ascii="Arial" w:cs="Arial" w:eastAsia="Arial" w:hAnsi="Arial"/>
                <w:b/>
                <w:bCs/>
                <w:i w:val="false"/>
                <w:iCs w:val="false"/>
                <w:color w:val="1E1B4B"/>
                <w:sz w:val="18"/>
                <w:szCs w:val="18"/>
              </w:rPr>
              <w:t xml:space="preserve">Credential security / Vault</w:t>
            </w:r>
          </w:p>
        </w:tc>
        <w:tc>
          <w:tcPr>
            <w:tcW w:type="dxa" w:w="1700"/>
            <w:tcBorders>
              <w:top w:val="single" w:color="E5E7EB" w:sz="1"/>
              <w:left w:val="single" w:color="E5E7EB" w:sz="1"/>
              <w:bottom w:val="single" w:color="E5E7EB" w:sz="1"/>
              <w:right w:val="single" w:color="E5E7EB" w:sz="1"/>
            </w:tcBorders>
            <w:shd w:fill="F9FAFB" w:val="clear"/>
            <w:tcMar>
              <w:top w:type="dxa" w:w="120"/>
              <w:left w:type="dxa" w:w="160"/>
              <w:bottom w:type="dxa" w:w="120"/>
              <w:right w:type="dxa" w:w="160"/>
            </w:tcMar>
          </w:tcPr>
          <w:p>
            <w:pPr>
              <w:spacing w:after="0" w:before="0"/>
              <w:jc w:val="center"/>
            </w:pPr>
            <w:r>
              <w:rPr>
                <w:rFonts w:ascii="Arial" w:cs="Arial" w:eastAsia="Arial" w:hAnsi="Arial"/>
                <w:b/>
                <w:bCs/>
                <w:i w:val="false"/>
                <w:iCs w:val="false"/>
                <w:color w:val="991B1B"/>
                <w:sz w:val="18"/>
                <w:szCs w:val="18"/>
              </w:rPr>
              <w:t xml:space="preserve">❌</w:t>
            </w:r>
          </w:p>
        </w:tc>
        <w:tc>
          <w:tcPr>
            <w:tcW w:type="dxa" w:w="1700"/>
            <w:tcBorders>
              <w:top w:val="single" w:color="E5E7EB" w:sz="1"/>
              <w:left w:val="single" w:color="E5E7EB" w:sz="1"/>
              <w:bottom w:val="single" w:color="E5E7EB" w:sz="1"/>
              <w:right w:val="single" w:color="E5E7EB" w:sz="1"/>
            </w:tcBorders>
            <w:shd w:fill="F9FAFB" w:val="clear"/>
            <w:tcMar>
              <w:top w:type="dxa" w:w="120"/>
              <w:left w:type="dxa" w:w="160"/>
              <w:bottom w:type="dxa" w:w="120"/>
              <w:right w:type="dxa" w:w="160"/>
            </w:tcMar>
          </w:tcPr>
          <w:p>
            <w:pPr>
              <w:spacing w:after="0" w:before="0"/>
              <w:jc w:val="center"/>
            </w:pPr>
            <w:r>
              <w:rPr>
                <w:rFonts w:ascii="Arial" w:cs="Arial" w:eastAsia="Arial" w:hAnsi="Arial"/>
                <w:b/>
                <w:bCs/>
                <w:i w:val="false"/>
                <w:iCs w:val="false"/>
                <w:color w:val="065F46"/>
                <w:sz w:val="18"/>
                <w:szCs w:val="18"/>
              </w:rPr>
              <w:t xml:space="preserve">✅</w:t>
            </w:r>
          </w:p>
        </w:tc>
        <w:tc>
          <w:tcPr>
            <w:tcW w:type="dxa" w:w="1700"/>
            <w:tcBorders>
              <w:top w:val="single" w:color="E5E7EB" w:sz="1"/>
              <w:left w:val="single" w:color="E5E7EB" w:sz="1"/>
              <w:bottom w:val="single" w:color="E5E7EB" w:sz="1"/>
              <w:right w:val="single" w:color="E5E7EB" w:sz="1"/>
            </w:tcBorders>
            <w:shd w:fill="F9FAFB" w:val="clear"/>
            <w:tcMar>
              <w:top w:type="dxa" w:w="120"/>
              <w:left w:type="dxa" w:w="160"/>
              <w:bottom w:type="dxa" w:w="120"/>
              <w:right w:type="dxa" w:w="160"/>
            </w:tcMar>
          </w:tcPr>
          <w:p>
            <w:pPr>
              <w:spacing w:after="0" w:before="0"/>
              <w:jc w:val="center"/>
            </w:pPr>
            <w:r>
              <w:rPr>
                <w:rFonts w:ascii="Arial" w:cs="Arial" w:eastAsia="Arial" w:hAnsi="Arial"/>
                <w:b/>
                <w:bCs/>
                <w:i w:val="false"/>
                <w:iCs w:val="false"/>
                <w:color w:val="991B1B"/>
                <w:sz w:val="18"/>
                <w:szCs w:val="18"/>
              </w:rPr>
              <w:t xml:space="preserve">❌</w:t>
            </w:r>
          </w:p>
        </w:tc>
        <w:tc>
          <w:tcPr>
            <w:tcW w:type="dxa" w:w="1700"/>
            <w:tcBorders>
              <w:top w:val="single" w:color="E5E7EB" w:sz="1"/>
              <w:left w:val="single" w:color="E5E7EB" w:sz="1"/>
              <w:bottom w:val="single" w:color="E5E7EB" w:sz="1"/>
              <w:right w:val="single" w:color="E5E7EB" w:sz="1"/>
            </w:tcBorders>
            <w:shd w:fill="F9FAFB" w:val="clear"/>
            <w:tcMar>
              <w:top w:type="dxa" w:w="120"/>
              <w:left w:type="dxa" w:w="160"/>
              <w:bottom w:type="dxa" w:w="120"/>
              <w:right w:type="dxa" w:w="160"/>
            </w:tcMar>
          </w:tcPr>
          <w:p>
            <w:pPr>
              <w:spacing w:after="0" w:before="0"/>
              <w:jc w:val="center"/>
            </w:pPr>
            <w:r>
              <w:rPr>
                <w:rFonts w:ascii="Arial" w:cs="Arial" w:eastAsia="Arial" w:hAnsi="Arial"/>
                <w:b/>
                <w:bCs/>
                <w:i w:val="false"/>
                <w:iCs w:val="false"/>
                <w:color w:val="991B1B"/>
                <w:sz w:val="18"/>
                <w:szCs w:val="18"/>
              </w:rPr>
              <w:t xml:space="preserve">❌</w:t>
            </w:r>
          </w:p>
        </w:tc>
      </w:tr>
      <w:tr>
        <w:tc>
          <w:tcPr>
            <w:tcW w:type="dxa" w:w="2560"/>
            <w:tcBorders>
              <w:top w:val="single" w:color="E5E7EB" w:sz="1"/>
              <w:left w:val="single" w:color="E5E7EB" w:sz="1"/>
              <w:bottom w:val="single" w:color="E5E7EB" w:sz="1"/>
              <w:right w:val="single" w:color="E5E7EB" w:sz="1"/>
            </w:tcBorders>
            <w:shd w:fill="FFFFFF" w:val="clear"/>
            <w:tcMar>
              <w:top w:type="dxa" w:w="120"/>
              <w:left w:type="dxa" w:w="160"/>
              <w:bottom w:type="dxa" w:w="120"/>
              <w:right w:type="dxa" w:w="160"/>
            </w:tcMar>
          </w:tcPr>
          <w:p>
            <w:pPr>
              <w:spacing w:after="0" w:before="0"/>
              <w:jc w:val="left"/>
            </w:pPr>
            <w:r>
              <w:rPr>
                <w:rFonts w:ascii="Arial" w:cs="Arial" w:eastAsia="Arial" w:hAnsi="Arial"/>
                <w:b/>
                <w:bCs/>
                <w:i w:val="false"/>
                <w:iCs w:val="false"/>
                <w:color w:val="1E1B4B"/>
                <w:sz w:val="18"/>
                <w:szCs w:val="18"/>
              </w:rPr>
              <w:t xml:space="preserve">Refund protection / Guarantee</w:t>
            </w:r>
          </w:p>
        </w:tc>
        <w:tc>
          <w:tcPr>
            <w:tcW w:type="dxa" w:w="1700"/>
            <w:tcBorders>
              <w:top w:val="single" w:color="E5E7EB" w:sz="1"/>
              <w:left w:val="single" w:color="E5E7EB" w:sz="1"/>
              <w:bottom w:val="single" w:color="E5E7EB" w:sz="1"/>
              <w:right w:val="single" w:color="E5E7EB" w:sz="1"/>
            </w:tcBorders>
            <w:shd w:fill="FFFFFF" w:val="clear"/>
            <w:tcMar>
              <w:top w:type="dxa" w:w="120"/>
              <w:left w:type="dxa" w:w="160"/>
              <w:bottom w:type="dxa" w:w="120"/>
              <w:right w:type="dxa" w:w="160"/>
            </w:tcMar>
          </w:tcPr>
          <w:p>
            <w:pPr>
              <w:spacing w:after="0" w:before="0"/>
              <w:jc w:val="center"/>
            </w:pPr>
            <w:r>
              <w:rPr>
                <w:rFonts w:ascii="Arial" w:cs="Arial" w:eastAsia="Arial" w:hAnsi="Arial"/>
                <w:b/>
                <w:bCs/>
                <w:i w:val="false"/>
                <w:iCs w:val="false"/>
                <w:color w:val="991B1B"/>
                <w:sz w:val="18"/>
                <w:szCs w:val="18"/>
              </w:rPr>
              <w:t xml:space="preserve">❌</w:t>
            </w:r>
          </w:p>
        </w:tc>
        <w:tc>
          <w:tcPr>
            <w:tcW w:type="dxa" w:w="1700"/>
            <w:tcBorders>
              <w:top w:val="single" w:color="E5E7EB" w:sz="1"/>
              <w:left w:val="single" w:color="E5E7EB" w:sz="1"/>
              <w:bottom w:val="single" w:color="E5E7EB" w:sz="1"/>
              <w:right w:val="single" w:color="E5E7EB" w:sz="1"/>
            </w:tcBorders>
            <w:shd w:fill="FFFFFF" w:val="clear"/>
            <w:tcMar>
              <w:top w:type="dxa" w:w="120"/>
              <w:left w:type="dxa" w:w="160"/>
              <w:bottom w:type="dxa" w:w="120"/>
              <w:right w:type="dxa" w:w="160"/>
            </w:tcMar>
          </w:tcPr>
          <w:p>
            <w:pPr>
              <w:spacing w:after="0" w:before="0"/>
              <w:jc w:val="center"/>
            </w:pPr>
            <w:r>
              <w:rPr>
                <w:rFonts w:ascii="Arial" w:cs="Arial" w:eastAsia="Arial" w:hAnsi="Arial"/>
                <w:b/>
                <w:bCs/>
                <w:i w:val="false"/>
                <w:iCs w:val="false"/>
                <w:color w:val="065F46"/>
                <w:sz w:val="18"/>
                <w:szCs w:val="18"/>
              </w:rPr>
              <w:t xml:space="preserve">✅</w:t>
            </w:r>
          </w:p>
        </w:tc>
        <w:tc>
          <w:tcPr>
            <w:tcW w:type="dxa" w:w="1700"/>
            <w:tcBorders>
              <w:top w:val="single" w:color="E5E7EB" w:sz="1"/>
              <w:left w:val="single" w:color="E5E7EB" w:sz="1"/>
              <w:bottom w:val="single" w:color="E5E7EB" w:sz="1"/>
              <w:right w:val="single" w:color="E5E7EB" w:sz="1"/>
            </w:tcBorders>
            <w:shd w:fill="FFFFFF" w:val="clear"/>
            <w:tcMar>
              <w:top w:type="dxa" w:w="120"/>
              <w:left w:type="dxa" w:w="160"/>
              <w:bottom w:type="dxa" w:w="120"/>
              <w:right w:type="dxa" w:w="160"/>
            </w:tcMar>
          </w:tcPr>
          <w:p>
            <w:pPr>
              <w:spacing w:after="0" w:before="0"/>
              <w:jc w:val="center"/>
            </w:pPr>
            <w:r>
              <w:rPr>
                <w:rFonts w:ascii="Arial" w:cs="Arial" w:eastAsia="Arial" w:hAnsi="Arial"/>
                <w:b/>
                <w:bCs/>
                <w:i w:val="false"/>
                <w:iCs w:val="false"/>
                <w:color w:val="065F46"/>
                <w:sz w:val="18"/>
                <w:szCs w:val="18"/>
              </w:rPr>
              <w:t xml:space="preserve">✅</w:t>
            </w:r>
          </w:p>
        </w:tc>
        <w:tc>
          <w:tcPr>
            <w:tcW w:type="dxa" w:w="1700"/>
            <w:tcBorders>
              <w:top w:val="single" w:color="E5E7EB" w:sz="1"/>
              <w:left w:val="single" w:color="E5E7EB" w:sz="1"/>
              <w:bottom w:val="single" w:color="E5E7EB" w:sz="1"/>
              <w:right w:val="single" w:color="E5E7EB" w:sz="1"/>
            </w:tcBorders>
            <w:shd w:fill="FFFFFF" w:val="clear"/>
            <w:tcMar>
              <w:top w:type="dxa" w:w="120"/>
              <w:left w:type="dxa" w:w="160"/>
              <w:bottom w:type="dxa" w:w="120"/>
              <w:right w:type="dxa" w:w="160"/>
            </w:tcMar>
          </w:tcPr>
          <w:p>
            <w:pPr>
              <w:spacing w:after="0" w:before="0"/>
              <w:jc w:val="center"/>
            </w:pPr>
            <w:r>
              <w:rPr>
                <w:rFonts w:ascii="Arial" w:cs="Arial" w:eastAsia="Arial" w:hAnsi="Arial"/>
                <w:b/>
                <w:bCs/>
                <w:i w:val="false"/>
                <w:iCs w:val="false"/>
                <w:color w:val="991B1B"/>
                <w:sz w:val="18"/>
                <w:szCs w:val="18"/>
              </w:rPr>
              <w:t xml:space="preserve">❌</w:t>
            </w:r>
          </w:p>
        </w:tc>
      </w:tr>
      <w:tr>
        <w:tc>
          <w:tcPr>
            <w:tcW w:type="dxa" w:w="2560"/>
            <w:tcBorders>
              <w:top w:val="single" w:color="E5E7EB" w:sz="1"/>
              <w:left w:val="single" w:color="E5E7EB" w:sz="1"/>
              <w:bottom w:val="single" w:color="E5E7EB" w:sz="1"/>
              <w:right w:val="single" w:color="E5E7EB" w:sz="1"/>
            </w:tcBorders>
            <w:shd w:fill="F9FAFB" w:val="clear"/>
            <w:tcMar>
              <w:top w:type="dxa" w:w="120"/>
              <w:left w:type="dxa" w:w="160"/>
              <w:bottom w:type="dxa" w:w="120"/>
              <w:right w:type="dxa" w:w="160"/>
            </w:tcMar>
          </w:tcPr>
          <w:p>
            <w:pPr>
              <w:spacing w:after="0" w:before="0"/>
              <w:jc w:val="left"/>
            </w:pPr>
            <w:r>
              <w:rPr>
                <w:rFonts w:ascii="Arial" w:cs="Arial" w:eastAsia="Arial" w:hAnsi="Arial"/>
                <w:b/>
                <w:bCs/>
                <w:i w:val="false"/>
                <w:iCs w:val="false"/>
                <w:color w:val="1E1B4B"/>
                <w:sz w:val="18"/>
                <w:szCs w:val="18"/>
              </w:rPr>
              <w:t xml:space="preserve">Gift card marketplace</w:t>
            </w:r>
          </w:p>
        </w:tc>
        <w:tc>
          <w:tcPr>
            <w:tcW w:type="dxa" w:w="1700"/>
            <w:tcBorders>
              <w:top w:val="single" w:color="E5E7EB" w:sz="1"/>
              <w:left w:val="single" w:color="E5E7EB" w:sz="1"/>
              <w:bottom w:val="single" w:color="E5E7EB" w:sz="1"/>
              <w:right w:val="single" w:color="E5E7EB" w:sz="1"/>
            </w:tcBorders>
            <w:shd w:fill="F9FAFB" w:val="clear"/>
            <w:tcMar>
              <w:top w:type="dxa" w:w="120"/>
              <w:left w:type="dxa" w:w="160"/>
              <w:bottom w:type="dxa" w:w="120"/>
              <w:right w:type="dxa" w:w="160"/>
            </w:tcMar>
          </w:tcPr>
          <w:p>
            <w:pPr>
              <w:spacing w:after="0" w:before="0"/>
              <w:jc w:val="center"/>
            </w:pPr>
            <w:r>
              <w:rPr>
                <w:rFonts w:ascii="Arial" w:cs="Arial" w:eastAsia="Arial" w:hAnsi="Arial"/>
                <w:b/>
                <w:bCs/>
                <w:i w:val="false"/>
                <w:iCs w:val="false"/>
                <w:color w:val="065F46"/>
                <w:sz w:val="18"/>
                <w:szCs w:val="18"/>
              </w:rPr>
              <w:t xml:space="preserve">✅</w:t>
            </w:r>
          </w:p>
        </w:tc>
        <w:tc>
          <w:tcPr>
            <w:tcW w:type="dxa" w:w="1700"/>
            <w:tcBorders>
              <w:top w:val="single" w:color="E5E7EB" w:sz="1"/>
              <w:left w:val="single" w:color="E5E7EB" w:sz="1"/>
              <w:bottom w:val="single" w:color="E5E7EB" w:sz="1"/>
              <w:right w:val="single" w:color="E5E7EB" w:sz="1"/>
            </w:tcBorders>
            <w:shd w:fill="F9FAFB" w:val="clear"/>
            <w:tcMar>
              <w:top w:type="dxa" w:w="120"/>
              <w:left w:type="dxa" w:w="160"/>
              <w:bottom w:type="dxa" w:w="120"/>
              <w:right w:type="dxa" w:w="160"/>
            </w:tcMar>
          </w:tcPr>
          <w:p>
            <w:pPr>
              <w:spacing w:after="0" w:before="0"/>
              <w:jc w:val="center"/>
            </w:pPr>
            <w:r>
              <w:rPr>
                <w:rFonts w:ascii="Arial" w:cs="Arial" w:eastAsia="Arial" w:hAnsi="Arial"/>
                <w:b/>
                <w:bCs/>
                <w:i w:val="false"/>
                <w:iCs w:val="false"/>
                <w:color w:val="991B1B"/>
                <w:sz w:val="18"/>
                <w:szCs w:val="18"/>
              </w:rPr>
              <w:t xml:space="preserve">❌</w:t>
            </w:r>
          </w:p>
        </w:tc>
        <w:tc>
          <w:tcPr>
            <w:tcW w:type="dxa" w:w="1700"/>
            <w:tcBorders>
              <w:top w:val="single" w:color="E5E7EB" w:sz="1"/>
              <w:left w:val="single" w:color="E5E7EB" w:sz="1"/>
              <w:bottom w:val="single" w:color="E5E7EB" w:sz="1"/>
              <w:right w:val="single" w:color="E5E7EB" w:sz="1"/>
            </w:tcBorders>
            <w:shd w:fill="F9FAFB" w:val="clear"/>
            <w:tcMar>
              <w:top w:type="dxa" w:w="120"/>
              <w:left w:type="dxa" w:w="160"/>
              <w:bottom w:type="dxa" w:w="120"/>
              <w:right w:type="dxa" w:w="160"/>
            </w:tcMar>
          </w:tcPr>
          <w:p>
            <w:pPr>
              <w:spacing w:after="0" w:before="0"/>
              <w:jc w:val="center"/>
            </w:pPr>
            <w:r>
              <w:rPr>
                <w:rFonts w:ascii="Arial" w:cs="Arial" w:eastAsia="Arial" w:hAnsi="Arial"/>
                <w:b/>
                <w:bCs/>
                <w:i w:val="false"/>
                <w:iCs w:val="false"/>
                <w:color w:val="991B1B"/>
                <w:sz w:val="18"/>
                <w:szCs w:val="18"/>
              </w:rPr>
              <w:t xml:space="preserve">❌</w:t>
            </w:r>
          </w:p>
        </w:tc>
        <w:tc>
          <w:tcPr>
            <w:tcW w:type="dxa" w:w="1700"/>
            <w:tcBorders>
              <w:top w:val="single" w:color="E5E7EB" w:sz="1"/>
              <w:left w:val="single" w:color="E5E7EB" w:sz="1"/>
              <w:bottom w:val="single" w:color="E5E7EB" w:sz="1"/>
              <w:right w:val="single" w:color="E5E7EB" w:sz="1"/>
            </w:tcBorders>
            <w:shd w:fill="F9FAFB" w:val="clear"/>
            <w:tcMar>
              <w:top w:type="dxa" w:w="120"/>
              <w:left w:type="dxa" w:w="160"/>
              <w:bottom w:type="dxa" w:w="120"/>
              <w:right w:type="dxa" w:w="160"/>
            </w:tcMar>
          </w:tcPr>
          <w:p>
            <w:pPr>
              <w:spacing w:after="0" w:before="0"/>
              <w:jc w:val="center"/>
            </w:pPr>
            <w:r>
              <w:rPr>
                <w:rFonts w:ascii="Arial" w:cs="Arial" w:eastAsia="Arial" w:hAnsi="Arial"/>
                <w:b/>
                <w:bCs/>
                <w:i w:val="false"/>
                <w:iCs w:val="false"/>
                <w:color w:val="991B1B"/>
                <w:sz w:val="18"/>
                <w:szCs w:val="18"/>
              </w:rPr>
              <w:t xml:space="preserve">❌</w:t>
            </w:r>
          </w:p>
        </w:tc>
      </w:tr>
      <w:tr>
        <w:tc>
          <w:tcPr>
            <w:tcW w:type="dxa" w:w="2560"/>
            <w:tcBorders>
              <w:top w:val="single" w:color="E5E7EB" w:sz="1"/>
              <w:left w:val="single" w:color="E5E7EB" w:sz="1"/>
              <w:bottom w:val="single" w:color="E5E7EB" w:sz="1"/>
              <w:right w:val="single" w:color="E5E7EB" w:sz="1"/>
            </w:tcBorders>
            <w:shd w:fill="FFFFFF" w:val="clear"/>
            <w:tcMar>
              <w:top w:type="dxa" w:w="120"/>
              <w:left w:type="dxa" w:w="160"/>
              <w:bottom w:type="dxa" w:w="120"/>
              <w:right w:type="dxa" w:w="160"/>
            </w:tcMar>
          </w:tcPr>
          <w:p>
            <w:pPr>
              <w:spacing w:after="0" w:before="0"/>
              <w:jc w:val="left"/>
            </w:pPr>
            <w:r>
              <w:rPr>
                <w:rFonts w:ascii="Arial" w:cs="Arial" w:eastAsia="Arial" w:hAnsi="Arial"/>
                <w:b/>
                <w:bCs/>
                <w:i w:val="false"/>
                <w:iCs w:val="false"/>
                <w:color w:val="1E1B4B"/>
                <w:sz w:val="18"/>
                <w:szCs w:val="18"/>
              </w:rPr>
              <w:t xml:space="preserve">Subscription catalog size</w:t>
            </w:r>
          </w:p>
        </w:tc>
        <w:tc>
          <w:tcPr>
            <w:tcW w:type="dxa" w:w="1700"/>
            <w:tcBorders>
              <w:top w:val="single" w:color="E5E7EB" w:sz="1"/>
              <w:left w:val="single" w:color="E5E7EB" w:sz="1"/>
              <w:bottom w:val="single" w:color="E5E7EB" w:sz="1"/>
              <w:right w:val="single" w:color="E5E7EB" w:sz="1"/>
            </w:tcBorders>
            <w:shd w:fill="FFFFFF" w:val="clear"/>
            <w:tcMar>
              <w:top w:type="dxa" w:w="120"/>
              <w:left w:type="dxa" w:w="160"/>
              <w:bottom w:type="dxa" w:w="120"/>
              <w:right w:type="dxa" w:w="160"/>
            </w:tcMar>
          </w:tcPr>
          <w:p>
            <w:pPr>
              <w:spacing w:after="0" w:before="0"/>
              <w:jc w:val="center"/>
            </w:pPr>
            <w:r>
              <w:rPr>
                <w:rFonts w:ascii="Arial" w:cs="Arial" w:eastAsia="Arial" w:hAnsi="Arial"/>
                <w:b/>
                <w:bCs/>
                <w:i w:val="false"/>
                <w:iCs w:val="false"/>
                <w:color w:val="92400E"/>
                <w:sz w:val="18"/>
                <w:szCs w:val="18"/>
              </w:rPr>
              <w:t xml:space="preserve">8 only</w:t>
            </w:r>
          </w:p>
        </w:tc>
        <w:tc>
          <w:tcPr>
            <w:tcW w:type="dxa" w:w="1700"/>
            <w:tcBorders>
              <w:top w:val="single" w:color="E5E7EB" w:sz="1"/>
              <w:left w:val="single" w:color="E5E7EB" w:sz="1"/>
              <w:bottom w:val="single" w:color="E5E7EB" w:sz="1"/>
              <w:right w:val="single" w:color="E5E7EB" w:sz="1"/>
            </w:tcBorders>
            <w:shd w:fill="FFFFFF" w:val="clear"/>
            <w:tcMar>
              <w:top w:type="dxa" w:w="120"/>
              <w:left w:type="dxa" w:w="160"/>
              <w:bottom w:type="dxa" w:w="120"/>
              <w:right w:type="dxa" w:w="160"/>
            </w:tcMar>
          </w:tcPr>
          <w:p>
            <w:pPr>
              <w:spacing w:after="0" w:before="0"/>
              <w:jc w:val="center"/>
            </w:pPr>
            <w:r>
              <w:rPr>
                <w:rFonts w:ascii="Arial" w:cs="Arial" w:eastAsia="Arial" w:hAnsi="Arial"/>
                <w:b/>
                <w:bCs/>
                <w:i w:val="false"/>
                <w:iCs w:val="false"/>
                <w:color w:val="1E1B4B"/>
                <w:sz w:val="18"/>
                <w:szCs w:val="18"/>
              </w:rPr>
              <w:t xml:space="preserve">1000+</w:t>
            </w:r>
          </w:p>
        </w:tc>
        <w:tc>
          <w:tcPr>
            <w:tcW w:type="dxa" w:w="1700"/>
            <w:tcBorders>
              <w:top w:val="single" w:color="E5E7EB" w:sz="1"/>
              <w:left w:val="single" w:color="E5E7EB" w:sz="1"/>
              <w:bottom w:val="single" w:color="E5E7EB" w:sz="1"/>
              <w:right w:val="single" w:color="E5E7EB" w:sz="1"/>
            </w:tcBorders>
            <w:shd w:fill="FFFFFF" w:val="clear"/>
            <w:tcMar>
              <w:top w:type="dxa" w:w="120"/>
              <w:left w:type="dxa" w:w="160"/>
              <w:bottom w:type="dxa" w:w="120"/>
              <w:right w:type="dxa" w:w="160"/>
            </w:tcMar>
          </w:tcPr>
          <w:p>
            <w:pPr>
              <w:spacing w:after="0" w:before="0"/>
              <w:jc w:val="center"/>
            </w:pPr>
            <w:r>
              <w:rPr>
                <w:rFonts w:ascii="Arial" w:cs="Arial" w:eastAsia="Arial" w:hAnsi="Arial"/>
                <w:b/>
                <w:bCs/>
                <w:i w:val="false"/>
                <w:iCs w:val="false"/>
                <w:color w:val="1E1B4B"/>
                <w:sz w:val="18"/>
                <w:szCs w:val="18"/>
              </w:rPr>
              <w:t xml:space="preserve">Moderate</w:t>
            </w:r>
          </w:p>
        </w:tc>
        <w:tc>
          <w:tcPr>
            <w:tcW w:type="dxa" w:w="1700"/>
            <w:tcBorders>
              <w:top w:val="single" w:color="E5E7EB" w:sz="1"/>
              <w:left w:val="single" w:color="E5E7EB" w:sz="1"/>
              <w:bottom w:val="single" w:color="E5E7EB" w:sz="1"/>
              <w:right w:val="single" w:color="E5E7EB" w:sz="1"/>
            </w:tcBorders>
            <w:shd w:fill="FFFFFF" w:val="clear"/>
            <w:tcMar>
              <w:top w:type="dxa" w:w="120"/>
              <w:left w:type="dxa" w:w="160"/>
              <w:bottom w:type="dxa" w:w="120"/>
              <w:right w:type="dxa" w:w="160"/>
            </w:tcMar>
          </w:tcPr>
          <w:p>
            <w:pPr>
              <w:spacing w:after="0" w:before="0"/>
              <w:jc w:val="center"/>
            </w:pPr>
            <w:r>
              <w:rPr>
                <w:rFonts w:ascii="Arial" w:cs="Arial" w:eastAsia="Arial" w:hAnsi="Arial"/>
                <w:b/>
                <w:bCs/>
                <w:i w:val="false"/>
                <w:iCs w:val="false"/>
                <w:color w:val="1E1B4B"/>
                <w:sz w:val="18"/>
                <w:szCs w:val="18"/>
              </w:rPr>
              <w:t xml:space="preserve">Unlimited</w:t>
            </w:r>
          </w:p>
        </w:tc>
      </w:tr>
      <w:tr>
        <w:tc>
          <w:tcPr>
            <w:tcW w:type="dxa" w:w="2560"/>
            <w:tcBorders>
              <w:top w:val="single" w:color="E5E7EB" w:sz="1"/>
              <w:left w:val="single" w:color="E5E7EB" w:sz="1"/>
              <w:bottom w:val="single" w:color="E5E7EB" w:sz="1"/>
              <w:right w:val="single" w:color="E5E7EB" w:sz="1"/>
            </w:tcBorders>
            <w:shd w:fill="F9FAFB" w:val="clear"/>
            <w:tcMar>
              <w:top w:type="dxa" w:w="120"/>
              <w:left w:type="dxa" w:w="160"/>
              <w:bottom w:type="dxa" w:w="120"/>
              <w:right w:type="dxa" w:w="160"/>
            </w:tcMar>
          </w:tcPr>
          <w:p>
            <w:pPr>
              <w:spacing w:after="0" w:before="0"/>
              <w:jc w:val="left"/>
            </w:pPr>
            <w:r>
              <w:rPr>
                <w:rFonts w:ascii="Arial" w:cs="Arial" w:eastAsia="Arial" w:hAnsi="Arial"/>
                <w:b/>
                <w:bCs/>
                <w:i w:val="false"/>
                <w:iCs w:val="false"/>
                <w:color w:val="1E1B4B"/>
                <w:sz w:val="18"/>
                <w:szCs w:val="18"/>
              </w:rPr>
              <w:t xml:space="preserve">Zero cost to user</w:t>
            </w:r>
          </w:p>
        </w:tc>
        <w:tc>
          <w:tcPr>
            <w:tcW w:type="dxa" w:w="1700"/>
            <w:tcBorders>
              <w:top w:val="single" w:color="E5E7EB" w:sz="1"/>
              <w:left w:val="single" w:color="E5E7EB" w:sz="1"/>
              <w:bottom w:val="single" w:color="E5E7EB" w:sz="1"/>
              <w:right w:val="single" w:color="E5E7EB" w:sz="1"/>
            </w:tcBorders>
            <w:shd w:fill="F9FAFB" w:val="clear"/>
            <w:tcMar>
              <w:top w:type="dxa" w:w="120"/>
              <w:left w:type="dxa" w:w="160"/>
              <w:bottom w:type="dxa" w:w="120"/>
              <w:right w:type="dxa" w:w="160"/>
            </w:tcMar>
          </w:tcPr>
          <w:p>
            <w:pPr>
              <w:spacing w:after="0" w:before="0"/>
              <w:jc w:val="center"/>
            </w:pPr>
            <w:r>
              <w:rPr>
                <w:rFonts w:ascii="Arial" w:cs="Arial" w:eastAsia="Arial" w:hAnsi="Arial"/>
                <w:b/>
                <w:bCs/>
                <w:i w:val="false"/>
                <w:iCs w:val="false"/>
                <w:color w:val="991B1B"/>
                <w:sz w:val="18"/>
                <w:szCs w:val="18"/>
              </w:rPr>
              <w:t xml:space="preserve">❌</w:t>
            </w:r>
          </w:p>
        </w:tc>
        <w:tc>
          <w:tcPr>
            <w:tcW w:type="dxa" w:w="1700"/>
            <w:tcBorders>
              <w:top w:val="single" w:color="E5E7EB" w:sz="1"/>
              <w:left w:val="single" w:color="E5E7EB" w:sz="1"/>
              <w:bottom w:val="single" w:color="E5E7EB" w:sz="1"/>
              <w:right w:val="single" w:color="E5E7EB" w:sz="1"/>
            </w:tcBorders>
            <w:shd w:fill="F9FAFB" w:val="clear"/>
            <w:tcMar>
              <w:top w:type="dxa" w:w="120"/>
              <w:left w:type="dxa" w:w="160"/>
              <w:bottom w:type="dxa" w:w="120"/>
              <w:right w:type="dxa" w:w="160"/>
            </w:tcMar>
          </w:tcPr>
          <w:p>
            <w:pPr>
              <w:spacing w:after="0" w:before="0"/>
              <w:jc w:val="center"/>
            </w:pPr>
            <w:r>
              <w:rPr>
                <w:rFonts w:ascii="Arial" w:cs="Arial" w:eastAsia="Arial" w:hAnsi="Arial"/>
                <w:b/>
                <w:bCs/>
                <w:i w:val="false"/>
                <w:iCs w:val="false"/>
                <w:color w:val="991B1B"/>
                <w:sz w:val="18"/>
                <w:szCs w:val="18"/>
              </w:rPr>
              <w:t xml:space="preserve">❌</w:t>
            </w:r>
          </w:p>
        </w:tc>
        <w:tc>
          <w:tcPr>
            <w:tcW w:type="dxa" w:w="1700"/>
            <w:tcBorders>
              <w:top w:val="single" w:color="E5E7EB" w:sz="1"/>
              <w:left w:val="single" w:color="E5E7EB" w:sz="1"/>
              <w:bottom w:val="single" w:color="E5E7EB" w:sz="1"/>
              <w:right w:val="single" w:color="E5E7EB" w:sz="1"/>
            </w:tcBorders>
            <w:shd w:fill="F9FAFB" w:val="clear"/>
            <w:tcMar>
              <w:top w:type="dxa" w:w="120"/>
              <w:left w:type="dxa" w:w="160"/>
              <w:bottom w:type="dxa" w:w="120"/>
              <w:right w:type="dxa" w:w="160"/>
            </w:tcMar>
          </w:tcPr>
          <w:p>
            <w:pPr>
              <w:spacing w:after="0" w:before="0"/>
              <w:jc w:val="center"/>
            </w:pPr>
            <w:r>
              <w:rPr>
                <w:rFonts w:ascii="Arial" w:cs="Arial" w:eastAsia="Arial" w:hAnsi="Arial"/>
                <w:b/>
                <w:bCs/>
                <w:i w:val="false"/>
                <w:iCs w:val="false"/>
                <w:color w:val="991B1B"/>
                <w:sz w:val="18"/>
                <w:szCs w:val="18"/>
              </w:rPr>
              <w:t xml:space="preserve">❌</w:t>
            </w:r>
          </w:p>
        </w:tc>
        <w:tc>
          <w:tcPr>
            <w:tcW w:type="dxa" w:w="1700"/>
            <w:tcBorders>
              <w:top w:val="single" w:color="E5E7EB" w:sz="1"/>
              <w:left w:val="single" w:color="E5E7EB" w:sz="1"/>
              <w:bottom w:val="single" w:color="E5E7EB" w:sz="1"/>
              <w:right w:val="single" w:color="E5E7EB" w:sz="1"/>
            </w:tcBorders>
            <w:shd w:fill="F9FAFB" w:val="clear"/>
            <w:tcMar>
              <w:top w:type="dxa" w:w="120"/>
              <w:left w:type="dxa" w:w="160"/>
              <w:bottom w:type="dxa" w:w="120"/>
              <w:right w:type="dxa" w:w="160"/>
            </w:tcMar>
          </w:tcPr>
          <w:p>
            <w:pPr>
              <w:spacing w:after="0" w:before="0"/>
              <w:jc w:val="center"/>
            </w:pPr>
            <w:r>
              <w:rPr>
                <w:rFonts w:ascii="Arial" w:cs="Arial" w:eastAsia="Arial" w:hAnsi="Arial"/>
                <w:b/>
                <w:bCs/>
                <w:i w:val="false"/>
                <w:iCs w:val="false"/>
                <w:color w:val="065F46"/>
                <w:sz w:val="18"/>
                <w:szCs w:val="18"/>
              </w:rPr>
              <w:t xml:space="preserve">✅</w:t>
            </w:r>
          </w:p>
        </w:tc>
      </w:tr>
      <w:tr>
        <w:tc>
          <w:tcPr>
            <w:tcW w:type="dxa" w:w="2560"/>
            <w:tcBorders>
              <w:top w:val="single" w:color="E5E7EB" w:sz="1"/>
              <w:left w:val="single" w:color="E5E7EB" w:sz="1"/>
              <w:bottom w:val="single" w:color="E5E7EB" w:sz="1"/>
              <w:right w:val="single" w:color="E5E7EB" w:sz="1"/>
            </w:tcBorders>
            <w:shd w:fill="FFFFFF" w:val="clear"/>
            <w:tcMar>
              <w:top w:type="dxa" w:w="120"/>
              <w:left w:type="dxa" w:w="160"/>
              <w:bottom w:type="dxa" w:w="120"/>
              <w:right w:type="dxa" w:w="160"/>
            </w:tcMar>
          </w:tcPr>
          <w:p>
            <w:pPr>
              <w:spacing w:after="0" w:before="0"/>
              <w:jc w:val="left"/>
            </w:pPr>
            <w:r>
              <w:rPr>
                <w:rFonts w:ascii="Arial" w:cs="Arial" w:eastAsia="Arial" w:hAnsi="Arial"/>
                <w:b/>
                <w:bCs/>
                <w:i w:val="false"/>
                <w:iCs w:val="false"/>
                <w:color w:val="1E1B4B"/>
                <w:sz w:val="18"/>
                <w:szCs w:val="18"/>
              </w:rPr>
              <w:t xml:space="preserve">Trust — sharing with strangers</w:t>
            </w:r>
          </w:p>
        </w:tc>
        <w:tc>
          <w:tcPr>
            <w:tcW w:type="dxa" w:w="1700"/>
            <w:tcBorders>
              <w:top w:val="single" w:color="E5E7EB" w:sz="1"/>
              <w:left w:val="single" w:color="E5E7EB" w:sz="1"/>
              <w:bottom w:val="single" w:color="E5E7EB" w:sz="1"/>
              <w:right w:val="single" w:color="E5E7EB" w:sz="1"/>
            </w:tcBorders>
            <w:shd w:fill="FFFFFF" w:val="clear"/>
            <w:tcMar>
              <w:top w:type="dxa" w:w="120"/>
              <w:left w:type="dxa" w:w="160"/>
              <w:bottom w:type="dxa" w:w="120"/>
              <w:right w:type="dxa" w:w="160"/>
            </w:tcMar>
          </w:tcPr>
          <w:p>
            <w:pPr>
              <w:spacing w:after="0" w:before="0"/>
              <w:jc w:val="center"/>
            </w:pPr>
            <w:r>
              <w:rPr>
                <w:rFonts w:ascii="Arial" w:cs="Arial" w:eastAsia="Arial" w:hAnsi="Arial"/>
                <w:b/>
                <w:bCs/>
                <w:i w:val="false"/>
                <w:iCs w:val="false"/>
                <w:color w:val="92400E"/>
                <w:sz w:val="18"/>
                <w:szCs w:val="18"/>
              </w:rPr>
              <w:t xml:space="preserve">⚠ Gap</w:t>
            </w:r>
          </w:p>
        </w:tc>
        <w:tc>
          <w:tcPr>
            <w:tcW w:type="dxa" w:w="1700"/>
            <w:tcBorders>
              <w:top w:val="single" w:color="E5E7EB" w:sz="1"/>
              <w:left w:val="single" w:color="E5E7EB" w:sz="1"/>
              <w:bottom w:val="single" w:color="E5E7EB" w:sz="1"/>
              <w:right w:val="single" w:color="E5E7EB" w:sz="1"/>
            </w:tcBorders>
            <w:shd w:fill="FFFFFF" w:val="clear"/>
            <w:tcMar>
              <w:top w:type="dxa" w:w="120"/>
              <w:left w:type="dxa" w:w="160"/>
              <w:bottom w:type="dxa" w:w="120"/>
              <w:right w:type="dxa" w:w="160"/>
            </w:tcMar>
          </w:tcPr>
          <w:p>
            <w:pPr>
              <w:spacing w:after="0" w:before="0"/>
              <w:jc w:val="center"/>
            </w:pPr>
            <w:r>
              <w:rPr>
                <w:rFonts w:ascii="Arial" w:cs="Arial" w:eastAsia="Arial" w:hAnsi="Arial"/>
                <w:b/>
                <w:bCs/>
                <w:i w:val="false"/>
                <w:iCs w:val="false"/>
                <w:color w:val="065F46"/>
                <w:sz w:val="18"/>
                <w:szCs w:val="18"/>
              </w:rPr>
              <w:t xml:space="preserve">✅</w:t>
            </w:r>
          </w:p>
        </w:tc>
        <w:tc>
          <w:tcPr>
            <w:tcW w:type="dxa" w:w="1700"/>
            <w:tcBorders>
              <w:top w:val="single" w:color="E5E7EB" w:sz="1"/>
              <w:left w:val="single" w:color="E5E7EB" w:sz="1"/>
              <w:bottom w:val="single" w:color="E5E7EB" w:sz="1"/>
              <w:right w:val="single" w:color="E5E7EB" w:sz="1"/>
            </w:tcBorders>
            <w:shd w:fill="FFFFFF" w:val="clear"/>
            <w:tcMar>
              <w:top w:type="dxa" w:w="120"/>
              <w:left w:type="dxa" w:w="160"/>
              <w:bottom w:type="dxa" w:w="120"/>
              <w:right w:type="dxa" w:w="160"/>
            </w:tcMar>
          </w:tcPr>
          <w:p>
            <w:pPr>
              <w:spacing w:after="0" w:before="0"/>
              <w:jc w:val="center"/>
            </w:pPr>
            <w:r>
              <w:rPr>
                <w:rFonts w:ascii="Arial" w:cs="Arial" w:eastAsia="Arial" w:hAnsi="Arial"/>
                <w:b/>
                <w:bCs/>
                <w:i w:val="false"/>
                <w:iCs w:val="false"/>
                <w:color w:val="065F46"/>
                <w:sz w:val="18"/>
                <w:szCs w:val="18"/>
              </w:rPr>
              <w:t xml:space="preserve">✅</w:t>
            </w:r>
          </w:p>
        </w:tc>
        <w:tc>
          <w:tcPr>
            <w:tcW w:type="dxa" w:w="1700"/>
            <w:tcBorders>
              <w:top w:val="single" w:color="E5E7EB" w:sz="1"/>
              <w:left w:val="single" w:color="E5E7EB" w:sz="1"/>
              <w:bottom w:val="single" w:color="E5E7EB" w:sz="1"/>
              <w:right w:val="single" w:color="E5E7EB" w:sz="1"/>
            </w:tcBorders>
            <w:shd w:fill="FFFFFF" w:val="clear"/>
            <w:tcMar>
              <w:top w:type="dxa" w:w="120"/>
              <w:left w:type="dxa" w:w="160"/>
              <w:bottom w:type="dxa" w:w="120"/>
              <w:right w:type="dxa" w:w="160"/>
            </w:tcMar>
          </w:tcPr>
          <w:p>
            <w:pPr>
              <w:spacing w:after="0" w:before="0"/>
              <w:jc w:val="center"/>
            </w:pPr>
            <w:r>
              <w:rPr>
                <w:rFonts w:ascii="Arial" w:cs="Arial" w:eastAsia="Arial" w:hAnsi="Arial"/>
                <w:b/>
                <w:bCs/>
                <w:i w:val="false"/>
                <w:iCs w:val="false"/>
                <w:color w:val="1E1B4B"/>
                <w:sz w:val="18"/>
                <w:szCs w:val="18"/>
              </w:rPr>
              <w:t xml:space="preserve">N/A (friends)</w:t>
            </w:r>
          </w:p>
        </w:tc>
      </w:tr>
    </w:tbl>
    <w:p>
      <w:pPr>
        <w:spacing w:after="120" w:before="0"/>
        <w:jc w:val="left"/>
      </w:pPr>
      <w:r>
        <w:rPr>
          <w:rFonts w:ascii="Arial" w:cs="Arial" w:eastAsia="Arial" w:hAnsi="Arial"/>
          <w:b w:val="false"/>
          <w:bCs w:val="false"/>
          <w:i w:val="false"/>
          <w:iCs w:val="false"/>
          <w:color w:val="1E1B4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single" w:color="1E40AF" w:sz="16"/>
              <w:bottom w:val="none" w:color="FFFFFF" w:sz="0"/>
              <w:right w:val="none" w:color="FFFFFF" w:sz="0"/>
            </w:tcBorders>
            <w:shd w:fill="DBEAFE" w:val="clear"/>
            <w:tcMar>
              <w:top w:type="dxa" w:w="120"/>
              <w:left w:type="dxa" w:w="160"/>
              <w:bottom w:type="dxa" w:w="120"/>
              <w:right w:type="dxa" w:w="160"/>
            </w:tcMar>
          </w:tcPr>
          <w:p>
            <w:pPr>
              <w:spacing w:after="0" w:before="0"/>
              <w:jc w:val="center"/>
            </w:pPr>
            <w:r>
              <w:rPr>
                <w:rFonts w:ascii="Arial" w:cs="Arial" w:eastAsia="Arial" w:hAnsi="Arial"/>
                <w:b/>
                <w:bCs/>
                <w:i w:val="false"/>
                <w:iCs w:val="false"/>
                <w:color w:val="1E40AF"/>
                <w:sz w:val="18"/>
                <w:szCs w:val="18"/>
              </w:rPr>
              <w:t xml:space="preserve">👁 OBSERVED</w:t>
            </w:r>
          </w:p>
        </w:tc>
        <w:tc>
          <w:tcPr>
            <w:tcW w:type="dxa" w:w="8160"/>
            <w:tcBorders>
              <w:top w:val="single" w:color="1E40AF" w:sz="4"/>
              <w:left w:val="none" w:color="FFFFFF" w:sz="0"/>
              <w:bottom w:val="single" w:color="1E40AF" w:sz="4"/>
              <w:right w:val="single" w:color="1E40AF" w:sz="4"/>
            </w:tcBorders>
            <w:shd w:fill="DBEAFE" w:val="clear"/>
            <w:tcMar>
              <w:top w:type="dxa" w:w="120"/>
              <w:left w:type="dxa" w:w="160"/>
              <w:bottom w:type="dxa" w:w="120"/>
              <w:right w:type="dxa" w:w="160"/>
            </w:tcMar>
          </w:tcPr>
          <w:p>
            <w:pPr>
              <w:pStyle w:val="ListParagraph"/>
              <w:numPr>
                <w:ilvl w:val="0"/>
                <w:numId w:val="2"/>
              </w:numPr>
              <w:spacing w:after="60" w:before="60"/>
              <w:jc w:val="left"/>
            </w:pPr>
            <w:r>
              <w:rPr>
                <w:rFonts w:ascii="Arial" w:cs="Arial" w:eastAsia="Arial" w:hAnsi="Arial"/>
                <w:b w:val="false"/>
                <w:bCs w:val="false"/>
                <w:i w:val="false"/>
                <w:iCs w:val="false"/>
                <w:color w:val="1E1B4B"/>
                <w:sz w:val="20"/>
                <w:szCs w:val="20"/>
              </w:rPr>
              <w:t xml:space="preserve">No global competitor operates in India's subscription-sharing space — the moat window is open but not infinite</w:t>
            </w:r>
          </w:p>
          <w:p>
            <w:pPr>
              <w:pStyle w:val="ListParagraph"/>
              <w:numPr>
                <w:ilvl w:val="0"/>
                <w:numId w:val="2"/>
              </w:numPr>
              <w:spacing w:after="60" w:before="60"/>
              <w:jc w:val="left"/>
            </w:pPr>
            <w:r>
              <w:rPr>
                <w:rFonts w:ascii="Arial" w:cs="Arial" w:eastAsia="Arial" w:hAnsi="Arial"/>
                <w:b w:val="false"/>
                <w:bCs w:val="false"/>
                <w:i w:val="false"/>
                <w:iCs w:val="false"/>
                <w:color w:val="1E1B4B"/>
                <w:sz w:val="20"/>
                <w:szCs w:val="20"/>
              </w:rPr>
              <w:t xml:space="preserve">Spliiit has a Secure Vault (encrypted credentials) and GoSplit has refund protection — both solve trust that Subspace hasn't addressed</w:t>
            </w:r>
          </w:p>
          <w:p>
            <w:pPr>
              <w:pStyle w:val="ListParagraph"/>
              <w:numPr>
                <w:ilvl w:val="0"/>
                <w:numId w:val="2"/>
              </w:numPr>
              <w:spacing w:after="60" w:before="60"/>
              <w:jc w:val="left"/>
            </w:pPr>
            <w:r>
              <w:rPr>
                <w:rFonts w:ascii="Arial" w:cs="Arial" w:eastAsia="Arial" w:hAnsi="Arial"/>
                <w:b w:val="false"/>
                <w:bCs w:val="false"/>
                <w:i w:val="false"/>
                <w:iCs w:val="false"/>
                <w:color w:val="1E1B4B"/>
                <w:sz w:val="20"/>
                <w:szCs w:val="20"/>
              </w:rPr>
              <w:t xml:space="preserve">Subspace's T&amp;C says 'only a facilitator' while marketing says 'we manage your subscription' — a legal contradiction competitors don't have</w:t>
            </w:r>
          </w:p>
          <w:p>
            <w:pPr>
              <w:pStyle w:val="ListParagraph"/>
              <w:numPr>
                <w:ilvl w:val="0"/>
                <w:numId w:val="2"/>
              </w:numPr>
              <w:spacing w:after="60" w:before="60"/>
              <w:jc w:val="left"/>
            </w:pPr>
            <w:r>
              <w:rPr>
                <w:rFonts w:ascii="Arial" w:cs="Arial" w:eastAsia="Arial" w:hAnsi="Arial"/>
                <w:b w:val="false"/>
                <w:bCs w:val="false"/>
                <w:i w:val="false"/>
                <w:iCs w:val="false"/>
                <w:color w:val="1E1B4B"/>
                <w:sz w:val="20"/>
                <w:szCs w:val="20"/>
              </w:rPr>
              <w:t xml:space="preserve">WhatsApp+UPI wins on trust (you know the person) and cost (free) — Subspace must beat it on accountability and convenience</w:t>
            </w:r>
          </w:p>
        </w:tc>
      </w:tr>
    </w:tbl>
    <w:p>
      <w:pPr>
        <w:spacing w:after="80" w:before="0"/>
        <w:jc w:val="left"/>
      </w:pPr>
      <w:r>
        <w:rPr>
          <w:rFonts w:ascii="Arial" w:cs="Arial" w:eastAsia="Arial" w:hAnsi="Arial"/>
          <w:b w:val="false"/>
          <w:bCs w:val="false"/>
          <w:i w:val="false"/>
          <w:iCs w:val="false"/>
          <w:color w:val="1E1B4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single" w:color="92400E" w:sz="16"/>
              <w:bottom w:val="none" w:color="FFFFFF" w:sz="0"/>
              <w:right w:val="none" w:color="FFFFFF" w:sz="0"/>
            </w:tcBorders>
            <w:shd w:fill="FEF3C7" w:val="clear"/>
            <w:tcMar>
              <w:top w:type="dxa" w:w="120"/>
              <w:left w:type="dxa" w:w="160"/>
              <w:bottom w:type="dxa" w:w="120"/>
              <w:right w:type="dxa" w:w="160"/>
            </w:tcMar>
          </w:tcPr>
          <w:p>
            <w:pPr>
              <w:spacing w:after="0" w:before="0"/>
              <w:jc w:val="center"/>
            </w:pPr>
            <w:r>
              <w:rPr>
                <w:rFonts w:ascii="Arial" w:cs="Arial" w:eastAsia="Arial" w:hAnsi="Arial"/>
                <w:b/>
                <w:bCs/>
                <w:i w:val="false"/>
                <w:iCs w:val="false"/>
                <w:color w:val="92400E"/>
                <w:sz w:val="18"/>
                <w:szCs w:val="18"/>
              </w:rPr>
              <w:t xml:space="preserve">⚠ PROBLEM</w:t>
            </w:r>
          </w:p>
        </w:tc>
        <w:tc>
          <w:tcPr>
            <w:tcW w:type="dxa" w:w="8160"/>
            <w:tcBorders>
              <w:top w:val="single" w:color="92400E" w:sz="4"/>
              <w:left w:val="none" w:color="FFFFFF" w:sz="0"/>
              <w:bottom w:val="single" w:color="92400E" w:sz="4"/>
              <w:right w:val="single" w:color="92400E" w:sz="4"/>
            </w:tcBorders>
            <w:shd w:fill="FEF3C7" w:val="clear"/>
            <w:tcMar>
              <w:top w:type="dxa" w:w="120"/>
              <w:left w:type="dxa" w:w="160"/>
              <w:bottom w:type="dxa" w:w="120"/>
              <w:right w:type="dxa" w:w="160"/>
            </w:tcMar>
          </w:tcPr>
          <w:p>
            <w:pPr>
              <w:pStyle w:val="ListParagraph"/>
              <w:numPr>
                <w:ilvl w:val="0"/>
                <w:numId w:val="2"/>
              </w:numPr>
              <w:spacing w:after="60" w:before="60"/>
              <w:jc w:val="left"/>
            </w:pPr>
            <w:r>
              <w:rPr>
                <w:rFonts w:ascii="Arial" w:cs="Arial" w:eastAsia="Arial" w:hAnsi="Arial"/>
                <w:b w:val="false"/>
                <w:bCs w:val="false"/>
                <w:i w:val="false"/>
                <w:iCs w:val="false"/>
                <w:color w:val="1E1B4B"/>
                <w:sz w:val="20"/>
                <w:szCs w:val="20"/>
              </w:rPr>
              <w:t xml:space="preserve">Without a trust layer (credential security + money-back guarantee), Subspace cannot confidently acquire users who have tried informal sharing and had it break</w:t>
            </w:r>
          </w:p>
          <w:p>
            <w:pPr>
              <w:pStyle w:val="ListParagraph"/>
              <w:numPr>
                <w:ilvl w:val="0"/>
                <w:numId w:val="2"/>
              </w:numPr>
              <w:spacing w:after="60" w:before="60"/>
              <w:jc w:val="left"/>
            </w:pPr>
            <w:r>
              <w:rPr>
                <w:rFonts w:ascii="Arial" w:cs="Arial" w:eastAsia="Arial" w:hAnsi="Arial"/>
                <w:b w:val="false"/>
                <w:bCs w:val="false"/>
                <w:i w:val="false"/>
                <w:iCs w:val="false"/>
                <w:color w:val="1E1B4B"/>
                <w:sz w:val="20"/>
                <w:szCs w:val="20"/>
              </w:rPr>
              <w:t xml:space="preserve">'Only a facilitator' in T&amp;C gives users zero legal recourse when things go wrong — real user complaints about lost money have nowhere to escalate</w:t>
            </w:r>
          </w:p>
          <w:p>
            <w:pPr>
              <w:pStyle w:val="ListParagraph"/>
              <w:numPr>
                <w:ilvl w:val="0"/>
                <w:numId w:val="2"/>
              </w:numPr>
              <w:spacing w:after="60" w:before="60"/>
              <w:jc w:val="left"/>
            </w:pPr>
            <w:r>
              <w:rPr>
                <w:rFonts w:ascii="Arial" w:cs="Arial" w:eastAsia="Arial" w:hAnsi="Arial"/>
                <w:b w:val="false"/>
                <w:bCs w:val="false"/>
                <w:i w:val="false"/>
                <w:iCs w:val="false"/>
                <w:color w:val="1E1B4B"/>
                <w:sz w:val="20"/>
                <w:szCs w:val="20"/>
              </w:rPr>
              <w:t xml:space="preserve">The 12-18 month window before a funded competitor or super-app enters India is closing</w:t>
            </w:r>
          </w:p>
        </w:tc>
      </w:tr>
    </w:tbl>
    <w:p>
      <w:pPr>
        <w:spacing w:after="80" w:before="0"/>
        <w:jc w:val="left"/>
      </w:pPr>
      <w:r>
        <w:rPr>
          <w:rFonts w:ascii="Arial" w:cs="Arial" w:eastAsia="Arial" w:hAnsi="Arial"/>
          <w:b w:val="false"/>
          <w:bCs w:val="false"/>
          <w:i w:val="false"/>
          <w:iCs w:val="false"/>
          <w:color w:val="1E1B4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single" w:color="065F46" w:sz="16"/>
              <w:bottom w:val="none" w:color="FFFFFF" w:sz="0"/>
              <w:right w:val="none" w:color="FFFFFF" w:sz="0"/>
            </w:tcBorders>
            <w:shd w:fill="D1FAE5" w:val="clear"/>
            <w:tcMar>
              <w:top w:type="dxa" w:w="120"/>
              <w:left w:type="dxa" w:w="160"/>
              <w:bottom w:type="dxa" w:w="120"/>
              <w:right w:type="dxa" w:w="160"/>
            </w:tcMar>
          </w:tcPr>
          <w:p>
            <w:pPr>
              <w:spacing w:after="0" w:before="0"/>
              <w:jc w:val="center"/>
            </w:pPr>
            <w:r>
              <w:rPr>
                <w:rFonts w:ascii="Arial" w:cs="Arial" w:eastAsia="Arial" w:hAnsi="Arial"/>
                <w:b/>
                <w:bCs/>
                <w:i w:val="false"/>
                <w:iCs w:val="false"/>
                <w:color w:val="065F46"/>
                <w:sz w:val="18"/>
                <w:szCs w:val="18"/>
              </w:rPr>
              <w:t xml:space="preserve">🚀 SHIP THIS</w:t>
            </w:r>
          </w:p>
        </w:tc>
        <w:tc>
          <w:tcPr>
            <w:tcW w:type="dxa" w:w="8160"/>
            <w:tcBorders>
              <w:top w:val="single" w:color="065F46" w:sz="4"/>
              <w:left w:val="none" w:color="FFFFFF" w:sz="0"/>
              <w:bottom w:val="single" w:color="065F46" w:sz="4"/>
              <w:right w:val="single" w:color="065F46" w:sz="4"/>
            </w:tcBorders>
            <w:shd w:fill="D1FAE5" w:val="clear"/>
            <w:tcMar>
              <w:top w:type="dxa" w:w="120"/>
              <w:left w:type="dxa" w:w="160"/>
              <w:bottom w:type="dxa" w:w="120"/>
              <w:right w:type="dxa" w:w="160"/>
            </w:tcMar>
          </w:tcPr>
          <w:p>
            <w:pPr>
              <w:pStyle w:val="ListParagraph"/>
              <w:numPr>
                <w:ilvl w:val="0"/>
                <w:numId w:val="2"/>
              </w:numPr>
              <w:spacing w:after="60" w:before="60"/>
              <w:jc w:val="left"/>
            </w:pPr>
            <w:r>
              <w:rPr>
                <w:rFonts w:ascii="Arial" w:cs="Arial" w:eastAsia="Arial" w:hAnsi="Arial"/>
                <w:b/>
                <w:bCs/>
                <w:i w:val="false"/>
                <w:iCs w:val="false"/>
                <w:color w:val="7C3AED"/>
                <w:sz w:val="20"/>
                <w:szCs w:val="20"/>
              </w:rPr>
              <w:t xml:space="preserve">Subspace Guarantee: </w:t>
            </w:r>
            <w:r>
              <w:rPr>
                <w:rFonts w:ascii="Arial" w:cs="Arial" w:eastAsia="Arial" w:hAnsi="Arial"/>
                <w:b w:val="false"/>
                <w:bCs w:val="false"/>
                <w:i w:val="false"/>
                <w:iCs w:val="false"/>
                <w:color w:val="1E1B4B"/>
                <w:sz w:val="20"/>
                <w:szCs w:val="20"/>
              </w:rPr>
              <w:t xml:space="preserve">If your group breaks or access fails, your next month is free. One promise that beats WhatsApp+UPI on the one thing informal sharing cannot offer: accountability.</w:t>
            </w:r>
          </w:p>
          <w:p>
            <w:pPr>
              <w:pStyle w:val="ListParagraph"/>
              <w:numPr>
                <w:ilvl w:val="0"/>
                <w:numId w:val="2"/>
              </w:numPr>
              <w:spacing w:after="60" w:before="60"/>
              <w:jc w:val="left"/>
            </w:pPr>
            <w:r>
              <w:rPr>
                <w:rFonts w:ascii="Arial" w:cs="Arial" w:eastAsia="Arial" w:hAnsi="Arial"/>
                <w:b/>
                <w:bCs/>
                <w:i w:val="false"/>
                <w:iCs w:val="false"/>
                <w:color w:val="7C3AED"/>
                <w:sz w:val="20"/>
                <w:szCs w:val="20"/>
              </w:rPr>
              <w:t xml:space="preserve">Align T&amp;C with product: </w:t>
            </w:r>
            <w:r>
              <w:rPr>
                <w:rFonts w:ascii="Arial" w:cs="Arial" w:eastAsia="Arial" w:hAnsi="Arial"/>
                <w:b w:val="false"/>
                <w:bCs w:val="false"/>
                <w:i w:val="false"/>
                <w:iCs w:val="false"/>
                <w:color w:val="1E1B4B"/>
                <w:sz w:val="20"/>
                <w:szCs w:val="20"/>
              </w:rPr>
              <w:t xml:space="preserve">Rewrite to reflect managed service obligations. Give users real recourse. Close the liability gap.</w:t>
            </w:r>
          </w:p>
          <w:p>
            <w:pPr>
              <w:pStyle w:val="ListParagraph"/>
              <w:numPr>
                <w:ilvl w:val="0"/>
                <w:numId w:val="2"/>
              </w:numPr>
              <w:spacing w:after="60" w:before="60"/>
              <w:jc w:val="left"/>
            </w:pPr>
            <w:r>
              <w:rPr>
                <w:rFonts w:ascii="Arial" w:cs="Arial" w:eastAsia="Arial" w:hAnsi="Arial"/>
                <w:b/>
                <w:bCs/>
                <w:i w:val="false"/>
                <w:iCs w:val="false"/>
                <w:color w:val="7C3AED"/>
                <w:sz w:val="20"/>
                <w:szCs w:val="20"/>
              </w:rPr>
              <w:t xml:space="preserve">India-first moat: </w:t>
            </w:r>
            <w:r>
              <w:rPr>
                <w:rFonts w:ascii="Arial" w:cs="Arial" w:eastAsia="Arial" w:hAnsi="Arial"/>
                <w:b w:val="false"/>
                <w:bCs w:val="false"/>
                <w:i w:val="false"/>
                <w:iCs w:val="false"/>
                <w:color w:val="1E1B4B"/>
                <w:sz w:val="20"/>
                <w:szCs w:val="20"/>
              </w:rPr>
              <w:t xml:space="preserve">Invest in regional language support, UPI-native flows, local subscription partners (Swiggy, Jio, Tata). No European competitor can replicate this.</w:t>
            </w:r>
          </w:p>
        </w:tc>
      </w:tr>
    </w:tbl>
    <w:p>
      <w:pPr>
        <w:spacing w:after="200" w:before="0"/>
        <w:jc w:val="left"/>
      </w:pPr>
      <w:r>
        <w:rPr>
          <w:rFonts w:ascii="Arial" w:cs="Arial" w:eastAsia="Arial" w:hAnsi="Arial"/>
          <w:b w:val="false"/>
          <w:bCs w:val="false"/>
          <w:i w:val="false"/>
          <w:iCs w:val="false"/>
          <w:color w:val="1E1B4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7C3AED" w:val="clear"/>
            <w:tcMar>
              <w:top w:type="dxa" w:w="200"/>
              <w:left w:type="dxa" w:w="160"/>
              <w:bottom w:type="dxa" w:w="200"/>
              <w:right w:type="dxa" w:w="160"/>
            </w:tcMar>
          </w:tcPr>
          <w:p>
            <w:pPr>
              <w:spacing w:after="0" w:before="0"/>
              <w:jc w:val="center"/>
            </w:pPr>
            <w:r>
              <w:rPr>
                <w:rFonts w:ascii="Arial" w:cs="Arial" w:eastAsia="Arial" w:hAnsi="Arial"/>
                <w:b/>
                <w:bCs/>
                <w:i w:val="false"/>
                <w:iCs w:val="false"/>
                <w:color w:val="FFFFFF"/>
                <w:sz w:val="48"/>
                <w:szCs w:val="48"/>
              </w:rPr>
              <w:t xml:space="preserve">05</w:t>
            </w:r>
          </w:p>
        </w:tc>
        <w:tc>
          <w:tcPr>
            <w:tcW w:type="dxa" w:w="8560"/>
            <w:tcBorders>
              <w:top w:val="none" w:color="FFFFFF" w:sz="0"/>
              <w:left w:val="none" w:color="FFFFFF" w:sz="0"/>
              <w:bottom w:val="none" w:color="FFFFFF" w:sz="0"/>
              <w:right w:val="none" w:color="FFFFFF" w:sz="0"/>
            </w:tcBorders>
            <w:shd w:fill="5B21B6" w:val="clear"/>
            <w:tcMar>
              <w:top w:type="dxa" w:w="160"/>
              <w:left w:type="dxa" w:w="160"/>
              <w:bottom w:type="dxa" w:w="160"/>
              <w:right w:type="dxa" w:w="160"/>
            </w:tcMar>
          </w:tcPr>
          <w:p>
            <w:pPr>
              <w:spacing w:after="0" w:before="80"/>
              <w:jc w:val="left"/>
            </w:pPr>
            <w:r>
              <w:rPr>
                <w:rFonts w:ascii="Arial" w:cs="Arial" w:eastAsia="Arial" w:hAnsi="Arial"/>
                <w:b/>
                <w:bCs/>
                <w:i w:val="false"/>
                <w:iCs w:val="false"/>
                <w:color w:val="FFFFFF"/>
                <w:sz w:val="32"/>
                <w:szCs w:val="32"/>
              </w:rPr>
              <w:t xml:space="preserve">Potential Collaborations</w:t>
            </w:r>
          </w:p>
          <w:p>
            <w:pPr>
              <w:spacing w:after="0" w:before="0"/>
              <w:jc w:val="left"/>
            </w:pPr>
            <w:r>
              <w:rPr>
                <w:rFonts w:ascii="Arial" w:cs="Arial" w:eastAsia="Arial" w:hAnsi="Arial"/>
                <w:b w:val="false"/>
                <w:bCs w:val="false"/>
                <w:i w:val="false"/>
                <w:iCs w:val="false"/>
                <w:color w:val="D8B4FE"/>
                <w:sz w:val="18"/>
                <w:szCs w:val="18"/>
              </w:rPr>
              <w:t xml:space="preserve">Framework: SWOT — Opportunities</w:t>
            </w:r>
          </w:p>
        </w:tc>
      </w:tr>
    </w:tbl>
    <w:p>
      <w:pPr>
        <w:spacing w:after="160" w:before="0"/>
        <w:jc w:val="left"/>
      </w:pPr>
      <w:r>
        <w:rPr>
          <w:rFonts w:ascii="Arial" w:cs="Arial" w:eastAsia="Arial" w:hAnsi="Arial"/>
          <w:b w:val="false"/>
          <w:bCs w:val="false"/>
          <w:i w:val="false"/>
          <w:iCs w:val="false"/>
          <w:color w:val="1E1B4B"/>
          <w:sz w:val="20"/>
          <w:szCs w:val="20"/>
        </w:rPr>
        <w:t xml:space="preserve"/>
      </w:r>
    </w:p>
    <w:p>
      <w:pPr>
        <w:spacing w:after="160" w:before="0"/>
        <w:jc w:val="left"/>
      </w:pPr>
      <w:r>
        <w:rPr>
          <w:rFonts w:ascii="Arial" w:cs="Arial" w:eastAsia="Arial" w:hAnsi="Arial"/>
          <w:b w:val="false"/>
          <w:bCs w:val="false"/>
          <w:i w:val="false"/>
          <w:iCs w:val="false"/>
          <w:color w:val="1E1B4B"/>
          <w:sz w:val="20"/>
          <w:szCs w:val="20"/>
        </w:rPr>
        <w:t xml:space="preserve">No structured partnership-driven acquisition is visible anywhere in the product. Subspace does have a Refer &amp; Earn program — a solid start. But a single referral mechanic is not a growth system. There are no campus partnerships, no corporate benefit integrations, no UPI refund partnerships, and no organised vendor onboarding network beyond individual manual listings. Four collaboration opportunities are immediately actionable.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7C3AED" w:sz="2"/>
              <w:left w:val="single" w:color="7C3AED" w:sz="2"/>
              <w:bottom w:val="single" w:color="7C3AED" w:sz="2"/>
              <w:right w:val="single" w:color="7C3AED" w:sz="2"/>
            </w:tcBorders>
            <w:shd w:fill="F5F3FF" w:val="clear"/>
            <w:tcMar>
              <w:top w:type="dxa" w:w="180"/>
              <w:left w:type="dxa" w:w="160"/>
              <w:bottom w:type="dxa" w:w="180"/>
              <w:right w:type="dxa" w:w="160"/>
            </w:tcMar>
          </w:tcPr>
          <w:p>
            <w:pPr>
              <w:spacing w:after="40" w:before="0"/>
              <w:jc w:val="center"/>
            </w:pPr>
            <w:r>
              <w:rPr>
                <w:rFonts w:ascii="Arial" w:cs="Arial" w:eastAsia="Arial" w:hAnsi="Arial"/>
                <w:b w:val="false"/>
                <w:bCs w:val="false"/>
                <w:i w:val="false"/>
                <w:iCs w:val="false"/>
                <w:color w:val="1E1B4B"/>
                <w:sz w:val="32"/>
                <w:szCs w:val="32"/>
              </w:rPr>
              <w:t xml:space="preserve">🎓</w:t>
            </w:r>
          </w:p>
          <w:p>
            <w:pPr>
              <w:spacing w:after="60" w:before="0"/>
              <w:jc w:val="center"/>
            </w:pPr>
            <w:r>
              <w:rPr>
                <w:rFonts w:ascii="Arial" w:cs="Arial" w:eastAsia="Arial" w:hAnsi="Arial"/>
                <w:b/>
                <w:bCs/>
                <w:i w:val="false"/>
                <w:iCs w:val="false"/>
                <w:color w:val="5B21B6"/>
                <w:sz w:val="20"/>
                <w:szCs w:val="20"/>
              </w:rPr>
              <w:t xml:space="preserve">College Hostels &amp; PGs</w:t>
            </w:r>
          </w:p>
          <w:p>
            <w:pPr>
              <w:spacing w:after="60" w:before="0"/>
              <w:jc w:val="left"/>
            </w:pPr>
            <w:r>
              <w:rPr>
                <w:rFonts w:ascii="Arial" w:cs="Arial" w:eastAsia="Arial" w:hAnsi="Arial"/>
                <w:b w:val="false"/>
                <w:bCs w:val="false"/>
                <w:i w:val="false"/>
                <w:iCs w:val="false"/>
                <w:color w:val="1E1B4B"/>
                <w:sz w:val="17"/>
                <w:szCs w:val="17"/>
              </w:rPr>
              <w:t xml:space="preserve">18-24 yr olds already splitting room rent, food &amp; subscriptions. Campus ambassador program — one student manages their floor's groups — is near-zero CAC. No competitor is doing this.</w:t>
            </w:r>
          </w:p>
          <w:p>
            <w:pPr>
              <w:spacing w:after="0" w:before="0"/>
              <w:jc w:val="left"/>
            </w:pPr>
            <w:r>
              <w:rPr>
                <w:rFonts w:ascii="Arial" w:cs="Arial" w:eastAsia="Arial" w:hAnsi="Arial"/>
                <w:b w:val="false"/>
                <w:bCs w:val="false"/>
                <w:i/>
                <w:iCs/>
                <w:color w:val="065F46"/>
                <w:sz w:val="16"/>
                <w:szCs w:val="16"/>
              </w:rPr>
              <w:t xml:space="preserve">Ship: 10 ambassadors per college, 20 colleges, Tier-1 cities. Incentive: Subspace credits per group filled.</w:t>
            </w:r>
          </w:p>
        </w:tc>
        <w:tc>
          <w:tcPr>
            <w:tcW w:type="dxa" w:w="2340"/>
            <w:tcBorders>
              <w:top w:val="single" w:color="7C3AED" w:sz="2"/>
              <w:left w:val="single" w:color="7C3AED" w:sz="2"/>
              <w:bottom w:val="single" w:color="7C3AED" w:sz="2"/>
              <w:right w:val="single" w:color="7C3AED" w:sz="2"/>
            </w:tcBorders>
            <w:shd w:fill="F5F3FF" w:val="clear"/>
            <w:tcMar>
              <w:top w:type="dxa" w:w="180"/>
              <w:left w:type="dxa" w:w="160"/>
              <w:bottom w:type="dxa" w:w="180"/>
              <w:right w:type="dxa" w:w="160"/>
            </w:tcMar>
          </w:tcPr>
          <w:p>
            <w:pPr>
              <w:spacing w:after="40" w:before="0"/>
              <w:jc w:val="center"/>
            </w:pPr>
            <w:r>
              <w:rPr>
                <w:rFonts w:ascii="Arial" w:cs="Arial" w:eastAsia="Arial" w:hAnsi="Arial"/>
                <w:b w:val="false"/>
                <w:bCs w:val="false"/>
                <w:i w:val="false"/>
                <w:iCs w:val="false"/>
                <w:color w:val="1E1B4B"/>
                <w:sz w:val="32"/>
                <w:szCs w:val="32"/>
              </w:rPr>
              <w:t xml:space="preserve">🏢</w:t>
            </w:r>
          </w:p>
          <w:p>
            <w:pPr>
              <w:spacing w:after="60" w:before="0"/>
              <w:jc w:val="center"/>
            </w:pPr>
            <w:r>
              <w:rPr>
                <w:rFonts w:ascii="Arial" w:cs="Arial" w:eastAsia="Arial" w:hAnsi="Arial"/>
                <w:b/>
                <w:bCs/>
                <w:i w:val="false"/>
                <w:iCs w:val="false"/>
                <w:color w:val="5B21B6"/>
                <w:sz w:val="20"/>
                <w:szCs w:val="20"/>
              </w:rPr>
              <w:t xml:space="preserve">Corporate Employee Benefits</w:t>
            </w:r>
          </w:p>
          <w:p>
            <w:pPr>
              <w:spacing w:after="60" w:before="0"/>
              <w:jc w:val="left"/>
            </w:pPr>
            <w:r>
              <w:rPr>
                <w:rFonts w:ascii="Arial" w:cs="Arial" w:eastAsia="Arial" w:hAnsi="Arial"/>
                <w:b w:val="false"/>
                <w:bCs w:val="false"/>
                <w:i w:val="false"/>
                <w:iCs w:val="false"/>
                <w:color w:val="1E1B4B"/>
                <w:sz w:val="17"/>
                <w:szCs w:val="17"/>
              </w:rPr>
              <w:t xml:space="preserve">Mid-size tech companies offer OTT &amp; food subscriptions as perks. One B2B HR deal converts hundreds of users. The group management infrastructure already supports this.</w:t>
            </w:r>
          </w:p>
          <w:p>
            <w:pPr>
              <w:spacing w:after="0" w:before="0"/>
              <w:jc w:val="left"/>
            </w:pPr>
            <w:r>
              <w:rPr>
                <w:rFonts w:ascii="Arial" w:cs="Arial" w:eastAsia="Arial" w:hAnsi="Arial"/>
                <w:b w:val="false"/>
                <w:bCs w:val="false"/>
                <w:i/>
                <w:iCs/>
                <w:color w:val="065F46"/>
                <w:sz w:val="16"/>
                <w:szCs w:val="16"/>
              </w:rPr>
              <w:t xml:space="preserve">Ship: Pitch 50 Bengaluru tech companies with an HR benefits dashboard. Same city = easy reference selling.</w:t>
            </w:r>
          </w:p>
        </w:tc>
        <w:tc>
          <w:tcPr>
            <w:tcW w:type="dxa" w:w="2340"/>
            <w:tcBorders>
              <w:top w:val="single" w:color="7C3AED" w:sz="2"/>
              <w:left w:val="single" w:color="7C3AED" w:sz="2"/>
              <w:bottom w:val="single" w:color="7C3AED" w:sz="2"/>
              <w:right w:val="single" w:color="7C3AED" w:sz="2"/>
            </w:tcBorders>
            <w:shd w:fill="F5F3FF" w:val="clear"/>
            <w:tcMar>
              <w:top w:type="dxa" w:w="180"/>
              <w:left w:type="dxa" w:w="160"/>
              <w:bottom w:type="dxa" w:w="180"/>
              <w:right w:type="dxa" w:w="160"/>
            </w:tcMar>
          </w:tcPr>
          <w:p>
            <w:pPr>
              <w:spacing w:after="40" w:before="0"/>
              <w:jc w:val="center"/>
            </w:pPr>
            <w:r>
              <w:rPr>
                <w:rFonts w:ascii="Arial" w:cs="Arial" w:eastAsia="Arial" w:hAnsi="Arial"/>
                <w:b w:val="false"/>
                <w:bCs w:val="false"/>
                <w:i w:val="false"/>
                <w:iCs w:val="false"/>
                <w:color w:val="1E1B4B"/>
                <w:sz w:val="32"/>
                <w:szCs w:val="32"/>
              </w:rPr>
              <w:t xml:space="preserve">💳</w:t>
            </w:r>
          </w:p>
          <w:p>
            <w:pPr>
              <w:spacing w:after="60" w:before="0"/>
              <w:jc w:val="center"/>
            </w:pPr>
            <w:r>
              <w:rPr>
                <w:rFonts w:ascii="Arial" w:cs="Arial" w:eastAsia="Arial" w:hAnsi="Arial"/>
                <w:b/>
                <w:bCs/>
                <w:i w:val="false"/>
                <w:iCs w:val="false"/>
                <w:color w:val="5B21B6"/>
                <w:sz w:val="20"/>
                <w:szCs w:val="20"/>
              </w:rPr>
              <w:t xml:space="preserve">UPI / NBFC Refund Partnership</w:t>
            </w:r>
          </w:p>
          <w:p>
            <w:pPr>
              <w:spacing w:after="60" w:before="0"/>
              <w:jc w:val="left"/>
            </w:pPr>
            <w:r>
              <w:rPr>
                <w:rFonts w:ascii="Arial" w:cs="Arial" w:eastAsia="Arial" w:hAnsi="Arial"/>
                <w:b w:val="false"/>
                <w:bCs w:val="false"/>
                <w:i w:val="false"/>
                <w:iCs w:val="false"/>
                <w:color w:val="1E1B4B"/>
                <w:sz w:val="17"/>
                <w:szCs w:val="17"/>
              </w:rPr>
              <w:t xml:space="preserve">Refunds currently go to Subspace wallet — not bank account. This is the #1 first-time user trust barrier. One PhonePe/GPay integration fixes it permanently.</w:t>
            </w:r>
          </w:p>
          <w:p>
            <w:pPr>
              <w:spacing w:after="0" w:before="0"/>
              <w:jc w:val="left"/>
            </w:pPr>
            <w:r>
              <w:rPr>
                <w:rFonts w:ascii="Arial" w:cs="Arial" w:eastAsia="Arial" w:hAnsi="Arial"/>
                <w:b w:val="false"/>
                <w:bCs w:val="false"/>
                <w:i/>
                <w:iCs/>
                <w:color w:val="065F46"/>
                <w:sz w:val="16"/>
                <w:szCs w:val="16"/>
              </w:rPr>
              <w:t xml:space="preserve">Ship: Integrate with one UPI partner for direct bank refunds. Directly addresses top user complaint in reviews.</w:t>
            </w:r>
          </w:p>
        </w:tc>
        <w:tc>
          <w:tcPr>
            <w:tcW w:type="dxa" w:w="2340"/>
            <w:tcBorders>
              <w:top w:val="single" w:color="7C3AED" w:sz="2"/>
              <w:left w:val="single" w:color="7C3AED" w:sz="2"/>
              <w:bottom w:val="single" w:color="7C3AED" w:sz="2"/>
              <w:right w:val="single" w:color="7C3AED" w:sz="2"/>
            </w:tcBorders>
            <w:shd w:fill="F5F3FF" w:val="clear"/>
            <w:tcMar>
              <w:top w:type="dxa" w:w="180"/>
              <w:left w:type="dxa" w:w="160"/>
              <w:bottom w:type="dxa" w:w="180"/>
              <w:right w:type="dxa" w:w="160"/>
            </w:tcMar>
          </w:tcPr>
          <w:p>
            <w:pPr>
              <w:spacing w:after="40" w:before="0"/>
              <w:jc w:val="center"/>
            </w:pPr>
            <w:r>
              <w:rPr>
                <w:rFonts w:ascii="Arial" w:cs="Arial" w:eastAsia="Arial" w:hAnsi="Arial"/>
                <w:b w:val="false"/>
                <w:bCs w:val="false"/>
                <w:i w:val="false"/>
                <w:iCs w:val="false"/>
                <w:color w:val="1E1B4B"/>
                <w:sz w:val="32"/>
                <w:szCs w:val="32"/>
              </w:rPr>
              <w:t xml:space="preserve">🤝</w:t>
            </w:r>
          </w:p>
          <w:p>
            <w:pPr>
              <w:spacing w:after="60" w:before="0"/>
              <w:jc w:val="center"/>
            </w:pPr>
            <w:r>
              <w:rPr>
                <w:rFonts w:ascii="Arial" w:cs="Arial" w:eastAsia="Arial" w:hAnsi="Arial"/>
                <w:b/>
                <w:bCs/>
                <w:i w:val="false"/>
                <w:iCs w:val="false"/>
                <w:color w:val="5B21B6"/>
                <w:sz w:val="20"/>
                <w:szCs w:val="20"/>
              </w:rPr>
              <w:t xml:space="preserve">Local Vendor Networks</w:t>
            </w:r>
          </w:p>
          <w:p>
            <w:pPr>
              <w:spacing w:after="60" w:before="0"/>
              <w:jc w:val="left"/>
            </w:pPr>
            <w:r>
              <w:rPr>
                <w:rFonts w:ascii="Arial" w:cs="Arial" w:eastAsia="Arial" w:hAnsi="Arial"/>
                <w:b w:val="false"/>
                <w:bCs w:val="false"/>
                <w:i w:val="false"/>
                <w:iCs w:val="false"/>
                <w:color w:val="1E1B4B"/>
                <w:sz w:val="17"/>
                <w:szCs w:val="17"/>
              </w:rPr>
              <w:t xml:space="preserve">The vendor marketplace relies on individual sellers listing manually. Partnering with digital product aggregators brings organized supply — more SKUs, better prices, more Explore visits.</w:t>
            </w:r>
          </w:p>
          <w:p>
            <w:pPr>
              <w:spacing w:after="0" w:before="0"/>
              <w:jc w:val="left"/>
            </w:pPr>
            <w:r>
              <w:rPr>
                <w:rFonts w:ascii="Arial" w:cs="Arial" w:eastAsia="Arial" w:hAnsi="Arial"/>
                <w:b w:val="false"/>
                <w:bCs w:val="false"/>
                <w:i/>
                <w:iCs/>
                <w:color w:val="065F46"/>
                <w:sz w:val="16"/>
                <w:szCs w:val="16"/>
              </w:rPr>
              <w:t xml:space="preserve">Ship: 2-3 digital distributor partnerships. More products = more reasons to open the app.</w:t>
            </w:r>
          </w:p>
        </w:tc>
      </w:tr>
    </w:tbl>
    <w:p>
      <w:pPr>
        <w:spacing w:after="120" w:before="0"/>
        <w:jc w:val="left"/>
      </w:pPr>
      <w:r>
        <w:rPr>
          <w:rFonts w:ascii="Arial" w:cs="Arial" w:eastAsia="Arial" w:hAnsi="Arial"/>
          <w:b w:val="false"/>
          <w:bCs w:val="false"/>
          <w:i w:val="false"/>
          <w:iCs w:val="false"/>
          <w:color w:val="1E1B4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single" w:color="92400E" w:sz="16"/>
              <w:bottom w:val="none" w:color="FFFFFF" w:sz="0"/>
              <w:right w:val="none" w:color="FFFFFF" w:sz="0"/>
            </w:tcBorders>
            <w:shd w:fill="FEF3C7" w:val="clear"/>
            <w:tcMar>
              <w:top w:type="dxa" w:w="120"/>
              <w:left w:type="dxa" w:w="160"/>
              <w:bottom w:type="dxa" w:w="120"/>
              <w:right w:type="dxa" w:w="160"/>
            </w:tcMar>
          </w:tcPr>
          <w:p>
            <w:pPr>
              <w:spacing w:after="0" w:before="0"/>
              <w:jc w:val="center"/>
            </w:pPr>
            <w:r>
              <w:rPr>
                <w:rFonts w:ascii="Arial" w:cs="Arial" w:eastAsia="Arial" w:hAnsi="Arial"/>
                <w:b/>
                <w:bCs/>
                <w:i w:val="false"/>
                <w:iCs w:val="false"/>
                <w:color w:val="92400E"/>
                <w:sz w:val="18"/>
                <w:szCs w:val="18"/>
              </w:rPr>
              <w:t xml:space="preserve">⚠ PROBLEM</w:t>
            </w:r>
          </w:p>
        </w:tc>
        <w:tc>
          <w:tcPr>
            <w:tcW w:type="dxa" w:w="8160"/>
            <w:tcBorders>
              <w:top w:val="single" w:color="92400E" w:sz="4"/>
              <w:left w:val="none" w:color="FFFFFF" w:sz="0"/>
              <w:bottom w:val="single" w:color="92400E" w:sz="4"/>
              <w:right w:val="single" w:color="92400E" w:sz="4"/>
            </w:tcBorders>
            <w:shd w:fill="FEF3C7" w:val="clear"/>
            <w:tcMar>
              <w:top w:type="dxa" w:w="120"/>
              <w:left w:type="dxa" w:w="160"/>
              <w:bottom w:type="dxa" w:w="120"/>
              <w:right w:type="dxa" w:w="160"/>
            </w:tcMar>
          </w:tcPr>
          <w:p>
            <w:pPr>
              <w:pStyle w:val="ListParagraph"/>
              <w:numPr>
                <w:ilvl w:val="0"/>
                <w:numId w:val="2"/>
              </w:numPr>
              <w:spacing w:after="60" w:before="60"/>
              <w:jc w:val="left"/>
            </w:pPr>
            <w:r>
              <w:rPr>
                <w:rFonts w:ascii="Arial" w:cs="Arial" w:eastAsia="Arial" w:hAnsi="Arial"/>
                <w:b w:val="false"/>
                <w:bCs w:val="false"/>
                <w:i w:val="false"/>
                <w:iCs w:val="false"/>
                <w:color w:val="1E1B4B"/>
                <w:sz w:val="20"/>
                <w:szCs w:val="20"/>
              </w:rPr>
              <w:t xml:space="preserve">Organic-only growth has a ceiling. The next 10x needs structured acquisition channels — not just word of mouth</w:t>
            </w:r>
          </w:p>
          <w:p>
            <w:pPr>
              <w:pStyle w:val="ListParagraph"/>
              <w:numPr>
                <w:ilvl w:val="0"/>
                <w:numId w:val="2"/>
              </w:numPr>
              <w:spacing w:after="60" w:before="60"/>
              <w:jc w:val="left"/>
            </w:pPr>
            <w:r>
              <w:rPr>
                <w:rFonts w:ascii="Arial" w:cs="Arial" w:eastAsia="Arial" w:hAnsi="Arial"/>
                <w:b w:val="false"/>
                <w:bCs w:val="false"/>
                <w:i w:val="false"/>
                <w:iCs w:val="false"/>
                <w:color w:val="1E1B4B"/>
                <w:sz w:val="20"/>
                <w:szCs w:val="20"/>
              </w:rPr>
              <w:t xml:space="preserve">The hostel/PG demographic is the highest-fit ICP and the easiest to reach — ignoring it is leaving the most accessible channel on the table</w:t>
            </w:r>
          </w:p>
          <w:p>
            <w:pPr>
              <w:pStyle w:val="ListParagraph"/>
              <w:numPr>
                <w:ilvl w:val="0"/>
                <w:numId w:val="2"/>
              </w:numPr>
              <w:spacing w:after="60" w:before="60"/>
              <w:jc w:val="left"/>
            </w:pPr>
            <w:r>
              <w:rPr>
                <w:rFonts w:ascii="Arial" w:cs="Arial" w:eastAsia="Arial" w:hAnsi="Arial"/>
                <w:b w:val="false"/>
                <w:bCs w:val="false"/>
                <w:i w:val="false"/>
                <w:iCs w:val="false"/>
                <w:color w:val="1E1B4B"/>
                <w:sz w:val="20"/>
                <w:szCs w:val="20"/>
              </w:rPr>
              <w:t xml:space="preserve">Refund-to-wallet friction is directly cited in Play Store reviews. A UPI refund partnership fixes the single most common complaint</w:t>
            </w:r>
          </w:p>
        </w:tc>
      </w:tr>
    </w:tbl>
    <w:p>
      <w:pPr>
        <w:spacing w:after="200" w:before="0"/>
        <w:jc w:val="left"/>
      </w:pPr>
      <w:r>
        <w:rPr>
          <w:rFonts w:ascii="Arial" w:cs="Arial" w:eastAsia="Arial" w:hAnsi="Arial"/>
          <w:b w:val="false"/>
          <w:bCs w:val="false"/>
          <w:i w:val="false"/>
          <w:iCs w:val="false"/>
          <w:color w:val="1E1B4B"/>
          <w:sz w:val="20"/>
          <w:szCs w:val="20"/>
        </w:rPr>
        <w:t xml:space="preserve"/>
      </w:r>
    </w:p>
    <w:p>
      <w:pPr>
        <w:pageBreakBefore/>
        <w:pBdr>
          <w:bottom w:val="single" w:color="7C3AED" w:sz="10" w:space="4"/>
        </w:pBdr>
        <w:spacing w:after="80" w:before="0"/>
        <w:jc w:val="left"/>
      </w:pPr>
      <w:r>
        <w:rPr>
          <w:rFonts w:ascii="Arial" w:cs="Arial" w:eastAsia="Arial" w:hAnsi="Arial"/>
          <w:b/>
          <w:bCs/>
          <w:i w:val="false"/>
          <w:iCs w:val="false"/>
          <w:color w:val="1E1B4B"/>
          <w:sz w:val="36"/>
          <w:szCs w:val="36"/>
        </w:rPr>
        <w:t xml:space="preserve">Prioritisation</w:t>
      </w:r>
    </w:p>
    <w:p>
      <w:pPr>
        <w:spacing w:after="80" w:before="0"/>
        <w:jc w:val="left"/>
      </w:pPr>
      <w:r>
        <w:rPr>
          <w:rFonts w:ascii="Arial" w:cs="Arial" w:eastAsia="Arial" w:hAnsi="Arial"/>
          <w:b w:val="false"/>
          <w:bCs w:val="false"/>
          <w:i w:val="false"/>
          <w:iCs w:val="false"/>
          <w:color w:val="1E1B4B"/>
          <w:sz w:val="20"/>
          <w:szCs w:val="20"/>
        </w:rPr>
        <w:t xml:space="preserve"/>
      </w:r>
    </w:p>
    <w:p>
      <w:pPr>
        <w:spacing w:after="120" w:before="0"/>
        <w:jc w:val="left"/>
      </w:pPr>
      <w:r>
        <w:rPr>
          <w:rFonts w:ascii="Arial" w:cs="Arial" w:eastAsia="Arial" w:hAnsi="Arial"/>
          <w:b w:val="false"/>
          <w:bCs w:val="false"/>
          <w:i w:val="false"/>
          <w:iCs w:val="false"/>
          <w:color w:val="1E1B4B"/>
          <w:sz w:val="20"/>
          <w:szCs w:val="20"/>
        </w:rPr>
        <w:t xml:space="preserve">If forced to sequence these five fixes, here is the logic — ranked by impact vs effort: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600"/>
        <w:gridCol w:w="3080"/>
        <w:gridCol w:w="3280"/>
      </w:tblGrid>
      <w:tr>
        <w:tc>
          <w:tcPr>
            <w:tcW w:type="dxa" w:w="400"/>
            <w:tcBorders>
              <w:top w:val="none" w:color="FFFFFF" w:sz="0"/>
              <w:left w:val="none" w:color="FFFFFF" w:sz="0"/>
              <w:bottom w:val="none" w:color="FFFFFF" w:sz="0"/>
              <w:right w:val="none" w:color="FFFFFF" w:sz="0"/>
            </w:tcBorders>
            <w:shd w:fill="7C3AED" w:val="clear"/>
            <w:tcMar>
              <w:top w:type="dxa" w:w="120"/>
              <w:left w:type="dxa" w:w="160"/>
              <w:bottom w:type="dxa" w:w="120"/>
              <w:right w:type="dxa" w:w="160"/>
            </w:tcMar>
          </w:tcPr>
          <w:p>
            <w:pPr>
              <w:spacing w:after="0" w:before="0"/>
              <w:jc w:val="center"/>
            </w:pPr>
            <w:r>
              <w:rPr>
                <w:rFonts w:ascii="Arial" w:cs="Arial" w:eastAsia="Arial" w:hAnsi="Arial"/>
                <w:b/>
                <w:bCs/>
                <w:i w:val="false"/>
                <w:iCs w:val="false"/>
                <w:color w:val="FFFFFF"/>
                <w:sz w:val="16"/>
                <w:szCs w:val="16"/>
              </w:rPr>
              <w:t xml:space="preserve">#</w:t>
            </w:r>
          </w:p>
        </w:tc>
        <w:tc>
          <w:tcPr>
            <w:tcW w:type="dxa" w:w="2600"/>
            <w:tcBorders>
              <w:top w:val="none" w:color="FFFFFF" w:sz="0"/>
              <w:left w:val="none" w:color="FFFFFF" w:sz="0"/>
              <w:bottom w:val="none" w:color="FFFFFF" w:sz="0"/>
              <w:right w:val="none" w:color="FFFFFF" w:sz="0"/>
            </w:tcBorders>
            <w:shd w:fill="7C3AED" w:val="clear"/>
            <w:tcMar>
              <w:top w:type="dxa" w:w="120"/>
              <w:left w:type="dxa" w:w="160"/>
              <w:bottom w:type="dxa" w:w="120"/>
              <w:right w:type="dxa" w:w="160"/>
            </w:tcMar>
          </w:tcPr>
          <w:p>
            <w:pPr>
              <w:spacing w:after="0" w:before="0"/>
              <w:jc w:val="left"/>
            </w:pPr>
            <w:r>
              <w:rPr>
                <w:rFonts w:ascii="Arial" w:cs="Arial" w:eastAsia="Arial" w:hAnsi="Arial"/>
                <w:b/>
                <w:bCs/>
                <w:i w:val="false"/>
                <w:iCs w:val="false"/>
                <w:color w:val="FFFFFF"/>
                <w:sz w:val="16"/>
                <w:szCs w:val="16"/>
              </w:rPr>
              <w:t xml:space="preserve">FIX</w:t>
            </w:r>
          </w:p>
        </w:tc>
        <w:tc>
          <w:tcPr>
            <w:tcW w:type="dxa" w:w="3080"/>
            <w:tcBorders>
              <w:top w:val="none" w:color="FFFFFF" w:sz="0"/>
              <w:left w:val="none" w:color="FFFFFF" w:sz="0"/>
              <w:bottom w:val="none" w:color="FFFFFF" w:sz="0"/>
              <w:right w:val="none" w:color="FFFFFF" w:sz="0"/>
            </w:tcBorders>
            <w:shd w:fill="7C3AED" w:val="clear"/>
            <w:tcMar>
              <w:top w:type="dxa" w:w="120"/>
              <w:left w:type="dxa" w:w="160"/>
              <w:bottom w:type="dxa" w:w="120"/>
              <w:right w:type="dxa" w:w="160"/>
            </w:tcMar>
          </w:tcPr>
          <w:p>
            <w:pPr>
              <w:spacing w:after="0" w:before="0"/>
              <w:jc w:val="left"/>
            </w:pPr>
            <w:r>
              <w:rPr>
                <w:rFonts w:ascii="Arial" w:cs="Arial" w:eastAsia="Arial" w:hAnsi="Arial"/>
                <w:b/>
                <w:bCs/>
                <w:i w:val="false"/>
                <w:iCs w:val="false"/>
                <w:color w:val="FFFFFF"/>
                <w:sz w:val="16"/>
                <w:szCs w:val="16"/>
              </w:rPr>
              <w:t xml:space="preserve">WHY FIRST</w:t>
            </w:r>
          </w:p>
        </w:tc>
        <w:tc>
          <w:tcPr>
            <w:tcW w:type="dxa" w:w="3280"/>
            <w:tcBorders>
              <w:top w:val="none" w:color="FFFFFF" w:sz="0"/>
              <w:left w:val="none" w:color="FFFFFF" w:sz="0"/>
              <w:bottom w:val="none" w:color="FFFFFF" w:sz="0"/>
              <w:right w:val="none" w:color="FFFFFF" w:sz="0"/>
            </w:tcBorders>
            <w:shd w:fill="7C3AED" w:val="clear"/>
            <w:tcMar>
              <w:top w:type="dxa" w:w="120"/>
              <w:left w:type="dxa" w:w="160"/>
              <w:bottom w:type="dxa" w:w="120"/>
              <w:right w:type="dxa" w:w="160"/>
            </w:tcMar>
          </w:tcPr>
          <w:p>
            <w:pPr>
              <w:spacing w:after="0" w:before="0"/>
              <w:jc w:val="left"/>
            </w:pPr>
            <w:r>
              <w:rPr>
                <w:rFonts w:ascii="Arial" w:cs="Arial" w:eastAsia="Arial" w:hAnsi="Arial"/>
                <w:b/>
                <w:bCs/>
                <w:i w:val="false"/>
                <w:iCs w:val="false"/>
                <w:color w:val="FFFFFF"/>
                <w:sz w:val="16"/>
                <w:szCs w:val="16"/>
              </w:rPr>
              <w:t xml:space="preserve">EXPECTED IMPACT</w:t>
            </w:r>
          </w:p>
        </w:tc>
      </w:tr>
      <w:tr>
        <w:tc>
          <w:tcPr>
            <w:tcW w:type="dxa" w:w="400"/>
            <w:tcBorders>
              <w:top w:val="single" w:color="E5E7EB" w:sz="1"/>
              <w:left w:val="single" w:color="E5E7EB" w:sz="1"/>
              <w:bottom w:val="single" w:color="E5E7EB" w:sz="1"/>
              <w:right w:val="single" w:color="E5E7EB" w:sz="1"/>
            </w:tcBorders>
            <w:shd w:fill="FFFFFF" w:val="clear"/>
            <w:tcMar>
              <w:top w:type="dxa" w:w="120"/>
              <w:left w:type="dxa" w:w="160"/>
              <w:bottom w:type="dxa" w:w="120"/>
              <w:right w:type="dxa" w:w="160"/>
            </w:tcMar>
          </w:tcPr>
          <w:p>
            <w:pPr>
              <w:spacing w:after="0" w:before="0"/>
              <w:jc w:val="center"/>
            </w:pPr>
            <w:r>
              <w:rPr>
                <w:rFonts w:ascii="Arial" w:cs="Arial" w:eastAsia="Arial" w:hAnsi="Arial"/>
                <w:b/>
                <w:bCs/>
                <w:i w:val="false"/>
                <w:iCs w:val="false"/>
                <w:color w:val="7C3AED"/>
                <w:sz w:val="24"/>
                <w:szCs w:val="24"/>
              </w:rPr>
              <w:t xml:space="preserve">1</w:t>
            </w:r>
          </w:p>
        </w:tc>
        <w:tc>
          <w:tcPr>
            <w:tcW w:type="dxa" w:w="2600"/>
            <w:tcBorders>
              <w:top w:val="single" w:color="E5E7EB" w:sz="1"/>
              <w:left w:val="single" w:color="E5E7EB" w:sz="1"/>
              <w:bottom w:val="single" w:color="E5E7EB" w:sz="1"/>
              <w:right w:val="single" w:color="E5E7EB" w:sz="1"/>
            </w:tcBorders>
            <w:shd w:fill="FFFFFF" w:val="clear"/>
            <w:tcMar>
              <w:top w:type="dxa" w:w="120"/>
              <w:left w:type="dxa" w:w="160"/>
              <w:bottom w:type="dxa" w:w="120"/>
              <w:right w:type="dxa" w:w="160"/>
            </w:tcMar>
          </w:tcPr>
          <w:p>
            <w:pPr>
              <w:spacing w:after="0" w:before="0"/>
              <w:jc w:val="left"/>
            </w:pPr>
            <w:r>
              <w:rPr>
                <w:rFonts w:ascii="Arial" w:cs="Arial" w:eastAsia="Arial" w:hAnsi="Arial"/>
                <w:b/>
                <w:bCs/>
                <w:i w:val="false"/>
                <w:iCs w:val="false"/>
                <w:color w:val="1E1B4B"/>
                <w:sz w:val="18"/>
                <w:szCs w:val="18"/>
              </w:rPr>
              <w:t xml:space="preserve">Surface Money Saved + add first-run onboarding + fix date bug</w:t>
            </w:r>
          </w:p>
        </w:tc>
        <w:tc>
          <w:tcPr>
            <w:tcW w:type="dxa" w:w="3080"/>
            <w:tcBorders>
              <w:top w:val="single" w:color="E5E7EB" w:sz="1"/>
              <w:left w:val="single" w:color="E5E7EB" w:sz="1"/>
              <w:bottom w:val="single" w:color="E5E7EB" w:sz="1"/>
              <w:right w:val="single" w:color="E5E7EB" w:sz="1"/>
            </w:tcBorders>
            <w:shd w:fill="FFFFFF" w:val="clear"/>
            <w:tcMar>
              <w:top w:type="dxa" w:w="120"/>
              <w:left w:type="dxa" w:w="160"/>
              <w:bottom w:type="dxa" w:w="120"/>
              <w:right w:type="dxa" w:w="160"/>
            </w:tcMar>
          </w:tcPr>
          <w:p>
            <w:pPr>
              <w:spacing w:after="0" w:before="0"/>
              <w:jc w:val="left"/>
            </w:pPr>
            <w:r>
              <w:rPr>
                <w:rFonts w:ascii="Arial" w:cs="Arial" w:eastAsia="Arial" w:hAnsi="Arial"/>
                <w:b w:val="false"/>
                <w:bCs w:val="false"/>
                <w:i w:val="false"/>
                <w:iCs w:val="false"/>
                <w:color w:val="1E1B4B"/>
                <w:sz w:val="17"/>
                <w:szCs w:val="17"/>
              </w:rPr>
              <w:t xml:space="preserve">No new infrastructure needed. Pure product. Directly proves value to every existing user from Day 1.</w:t>
            </w:r>
          </w:p>
        </w:tc>
        <w:tc>
          <w:tcPr>
            <w:tcW w:type="dxa" w:w="3280"/>
            <w:tcBorders>
              <w:top w:val="single" w:color="E5E7EB" w:sz="1"/>
              <w:left w:val="single" w:color="E5E7EB" w:sz="1"/>
              <w:bottom w:val="single" w:color="E5E7EB" w:sz="1"/>
              <w:right w:val="single" w:color="E5E7EB" w:sz="1"/>
            </w:tcBorders>
            <w:shd w:fill="FFFFFF" w:val="clear"/>
            <w:tcMar>
              <w:top w:type="dxa" w:w="120"/>
              <w:left w:type="dxa" w:w="160"/>
              <w:bottom w:type="dxa" w:w="120"/>
              <w:right w:type="dxa" w:w="160"/>
            </w:tcMar>
          </w:tcPr>
          <w:p>
            <w:pPr>
              <w:spacing w:after="0" w:before="0"/>
              <w:jc w:val="left"/>
            </w:pPr>
            <w:r>
              <w:rPr>
                <w:rFonts w:ascii="Arial" w:cs="Arial" w:eastAsia="Arial" w:hAnsi="Arial"/>
                <w:b w:val="false"/>
                <w:bCs w:val="false"/>
                <w:i w:val="false"/>
                <w:iCs w:val="false"/>
                <w:color w:val="6B7280"/>
                <w:sz w:val="17"/>
                <w:szCs w:val="17"/>
              </w:rPr>
              <w:t xml:space="preserve">Higher checkout conversion, lower bounce, proof of value at first session</w:t>
            </w:r>
          </w:p>
        </w:tc>
      </w:tr>
      <w:tr>
        <w:tc>
          <w:tcPr>
            <w:tcW w:type="dxa" w:w="400"/>
            <w:tcBorders>
              <w:top w:val="single" w:color="E5E7EB" w:sz="1"/>
              <w:left w:val="single" w:color="E5E7EB" w:sz="1"/>
              <w:bottom w:val="single" w:color="E5E7EB" w:sz="1"/>
              <w:right w:val="single" w:color="E5E7EB" w:sz="1"/>
            </w:tcBorders>
            <w:shd w:fill="F9FAFB" w:val="clear"/>
            <w:tcMar>
              <w:top w:type="dxa" w:w="120"/>
              <w:left w:type="dxa" w:w="160"/>
              <w:bottom w:type="dxa" w:w="120"/>
              <w:right w:type="dxa" w:w="160"/>
            </w:tcMar>
          </w:tcPr>
          <w:p>
            <w:pPr>
              <w:spacing w:after="0" w:before="0"/>
              <w:jc w:val="center"/>
            </w:pPr>
            <w:r>
              <w:rPr>
                <w:rFonts w:ascii="Arial" w:cs="Arial" w:eastAsia="Arial" w:hAnsi="Arial"/>
                <w:b/>
                <w:bCs/>
                <w:i w:val="false"/>
                <w:iCs w:val="false"/>
                <w:color w:val="7C3AED"/>
                <w:sz w:val="24"/>
                <w:szCs w:val="24"/>
              </w:rPr>
              <w:t xml:space="preserve">2</w:t>
            </w:r>
          </w:p>
        </w:tc>
        <w:tc>
          <w:tcPr>
            <w:tcW w:type="dxa" w:w="2600"/>
            <w:tcBorders>
              <w:top w:val="single" w:color="E5E7EB" w:sz="1"/>
              <w:left w:val="single" w:color="E5E7EB" w:sz="1"/>
              <w:bottom w:val="single" w:color="E5E7EB" w:sz="1"/>
              <w:right w:val="single" w:color="E5E7EB" w:sz="1"/>
            </w:tcBorders>
            <w:shd w:fill="F9FAFB" w:val="clear"/>
            <w:tcMar>
              <w:top w:type="dxa" w:w="120"/>
              <w:left w:type="dxa" w:w="160"/>
              <w:bottom w:type="dxa" w:w="120"/>
              <w:right w:type="dxa" w:w="160"/>
            </w:tcMar>
          </w:tcPr>
          <w:p>
            <w:pPr>
              <w:spacing w:after="0" w:before="0"/>
              <w:jc w:val="left"/>
            </w:pPr>
            <w:r>
              <w:rPr>
                <w:rFonts w:ascii="Arial" w:cs="Arial" w:eastAsia="Arial" w:hAnsi="Arial"/>
                <w:b/>
                <w:bCs/>
                <w:i w:val="false"/>
                <w:iCs w:val="false"/>
                <w:color w:val="1E1B4B"/>
                <w:sz w:val="18"/>
                <w:szCs w:val="18"/>
              </w:rPr>
              <w:t xml:space="preserve">Expand subscription catalog to 50+ services</w:t>
            </w:r>
          </w:p>
        </w:tc>
        <w:tc>
          <w:tcPr>
            <w:tcW w:type="dxa" w:w="3080"/>
            <w:tcBorders>
              <w:top w:val="single" w:color="E5E7EB" w:sz="1"/>
              <w:left w:val="single" w:color="E5E7EB" w:sz="1"/>
              <w:bottom w:val="single" w:color="E5E7EB" w:sz="1"/>
              <w:right w:val="single" w:color="E5E7EB" w:sz="1"/>
            </w:tcBorders>
            <w:shd w:fill="F9FAFB" w:val="clear"/>
            <w:tcMar>
              <w:top w:type="dxa" w:w="120"/>
              <w:left w:type="dxa" w:w="160"/>
              <w:bottom w:type="dxa" w:w="120"/>
              <w:right w:type="dxa" w:w="160"/>
            </w:tcMar>
          </w:tcPr>
          <w:p>
            <w:pPr>
              <w:spacing w:after="0" w:before="0"/>
              <w:jc w:val="left"/>
            </w:pPr>
            <w:r>
              <w:rPr>
                <w:rFonts w:ascii="Arial" w:cs="Arial" w:eastAsia="Arial" w:hAnsi="Arial"/>
                <w:b w:val="false"/>
                <w:bCs w:val="false"/>
                <w:i w:val="false"/>
                <w:iCs w:val="false"/>
                <w:color w:val="1E1B4B"/>
                <w:sz w:val="17"/>
                <w:szCs w:val="17"/>
              </w:rPr>
              <w:t xml:space="preserve">Fixes the widest gap between promise and reality. Increases DAU as users track more of their financial life.</w:t>
            </w:r>
          </w:p>
        </w:tc>
        <w:tc>
          <w:tcPr>
            <w:tcW w:type="dxa" w:w="3280"/>
            <w:tcBorders>
              <w:top w:val="single" w:color="E5E7EB" w:sz="1"/>
              <w:left w:val="single" w:color="E5E7EB" w:sz="1"/>
              <w:bottom w:val="single" w:color="E5E7EB" w:sz="1"/>
              <w:right w:val="single" w:color="E5E7EB" w:sz="1"/>
            </w:tcBorders>
            <w:shd w:fill="F9FAFB" w:val="clear"/>
            <w:tcMar>
              <w:top w:type="dxa" w:w="120"/>
              <w:left w:type="dxa" w:w="160"/>
              <w:bottom w:type="dxa" w:w="120"/>
              <w:right w:type="dxa" w:w="160"/>
            </w:tcMar>
          </w:tcPr>
          <w:p>
            <w:pPr>
              <w:spacing w:after="0" w:before="0"/>
              <w:jc w:val="left"/>
            </w:pPr>
            <w:r>
              <w:rPr>
                <w:rFonts w:ascii="Arial" w:cs="Arial" w:eastAsia="Arial" w:hAnsi="Arial"/>
                <w:b w:val="false"/>
                <w:bCs w:val="false"/>
                <w:i w:val="false"/>
                <w:iCs w:val="false"/>
                <w:color w:val="6B7280"/>
                <w:sz w:val="17"/>
                <w:szCs w:val="17"/>
              </w:rPr>
              <w:t xml:space="preserve">Core feature now works for the average Indian user</w:t>
            </w:r>
          </w:p>
        </w:tc>
      </w:tr>
      <w:tr>
        <w:tc>
          <w:tcPr>
            <w:tcW w:type="dxa" w:w="400"/>
            <w:tcBorders>
              <w:top w:val="single" w:color="E5E7EB" w:sz="1"/>
              <w:left w:val="single" w:color="E5E7EB" w:sz="1"/>
              <w:bottom w:val="single" w:color="E5E7EB" w:sz="1"/>
              <w:right w:val="single" w:color="E5E7EB" w:sz="1"/>
            </w:tcBorders>
            <w:shd w:fill="FFFFFF" w:val="clear"/>
            <w:tcMar>
              <w:top w:type="dxa" w:w="120"/>
              <w:left w:type="dxa" w:w="160"/>
              <w:bottom w:type="dxa" w:w="120"/>
              <w:right w:type="dxa" w:w="160"/>
            </w:tcMar>
          </w:tcPr>
          <w:p>
            <w:pPr>
              <w:spacing w:after="0" w:before="0"/>
              <w:jc w:val="center"/>
            </w:pPr>
            <w:r>
              <w:rPr>
                <w:rFonts w:ascii="Arial" w:cs="Arial" w:eastAsia="Arial" w:hAnsi="Arial"/>
                <w:b/>
                <w:bCs/>
                <w:i w:val="false"/>
                <w:iCs w:val="false"/>
                <w:color w:val="7C3AED"/>
                <w:sz w:val="24"/>
                <w:szCs w:val="24"/>
              </w:rPr>
              <w:t xml:space="preserve">3</w:t>
            </w:r>
          </w:p>
        </w:tc>
        <w:tc>
          <w:tcPr>
            <w:tcW w:type="dxa" w:w="2600"/>
            <w:tcBorders>
              <w:top w:val="single" w:color="E5E7EB" w:sz="1"/>
              <w:left w:val="single" w:color="E5E7EB" w:sz="1"/>
              <w:bottom w:val="single" w:color="E5E7EB" w:sz="1"/>
              <w:right w:val="single" w:color="E5E7EB" w:sz="1"/>
            </w:tcBorders>
            <w:shd w:fill="FFFFFF" w:val="clear"/>
            <w:tcMar>
              <w:top w:type="dxa" w:w="120"/>
              <w:left w:type="dxa" w:w="160"/>
              <w:bottom w:type="dxa" w:w="120"/>
              <w:right w:type="dxa" w:w="160"/>
            </w:tcMar>
          </w:tcPr>
          <w:p>
            <w:pPr>
              <w:spacing w:after="0" w:before="0"/>
              <w:jc w:val="left"/>
            </w:pPr>
            <w:r>
              <w:rPr>
                <w:rFonts w:ascii="Arial" w:cs="Arial" w:eastAsia="Arial" w:hAnsi="Arial"/>
                <w:b/>
                <w:bCs/>
                <w:i w:val="false"/>
                <w:iCs w:val="false"/>
                <w:color w:val="1E1B4B"/>
                <w:sz w:val="18"/>
                <w:szCs w:val="18"/>
              </w:rPr>
              <w:t xml:space="preserve">Launch campus ambassador program</w:t>
            </w:r>
          </w:p>
        </w:tc>
        <w:tc>
          <w:tcPr>
            <w:tcW w:type="dxa" w:w="3080"/>
            <w:tcBorders>
              <w:top w:val="single" w:color="E5E7EB" w:sz="1"/>
              <w:left w:val="single" w:color="E5E7EB" w:sz="1"/>
              <w:bottom w:val="single" w:color="E5E7EB" w:sz="1"/>
              <w:right w:val="single" w:color="E5E7EB" w:sz="1"/>
            </w:tcBorders>
            <w:shd w:fill="FFFFFF" w:val="clear"/>
            <w:tcMar>
              <w:top w:type="dxa" w:w="120"/>
              <w:left w:type="dxa" w:w="160"/>
              <w:bottom w:type="dxa" w:w="120"/>
              <w:right w:type="dxa" w:w="160"/>
            </w:tcMar>
          </w:tcPr>
          <w:p>
            <w:pPr>
              <w:spacing w:after="0" w:before="0"/>
              <w:jc w:val="left"/>
            </w:pPr>
            <w:r>
              <w:rPr>
                <w:rFonts w:ascii="Arial" w:cs="Arial" w:eastAsia="Arial" w:hAnsi="Arial"/>
                <w:b w:val="false"/>
                <w:bCs w:val="false"/>
                <w:i w:val="false"/>
                <w:iCs w:val="false"/>
                <w:color w:val="1E1B4B"/>
                <w:sz w:val="17"/>
                <w:szCs w:val="17"/>
              </w:rPr>
              <w:t xml:space="preserve">Lowest CAC channel, highest ICP fit. Can launch in 2 weeks with current product.</w:t>
            </w:r>
          </w:p>
        </w:tc>
        <w:tc>
          <w:tcPr>
            <w:tcW w:type="dxa" w:w="3280"/>
            <w:tcBorders>
              <w:top w:val="single" w:color="E5E7EB" w:sz="1"/>
              <w:left w:val="single" w:color="E5E7EB" w:sz="1"/>
              <w:bottom w:val="single" w:color="E5E7EB" w:sz="1"/>
              <w:right w:val="single" w:color="E5E7EB" w:sz="1"/>
            </w:tcBorders>
            <w:shd w:fill="FFFFFF" w:val="clear"/>
            <w:tcMar>
              <w:top w:type="dxa" w:w="120"/>
              <w:left w:type="dxa" w:w="160"/>
              <w:bottom w:type="dxa" w:w="120"/>
              <w:right w:type="dxa" w:w="160"/>
            </w:tcMar>
          </w:tcPr>
          <w:p>
            <w:pPr>
              <w:spacing w:after="0" w:before="0"/>
              <w:jc w:val="left"/>
            </w:pPr>
            <w:r>
              <w:rPr>
                <w:rFonts w:ascii="Arial" w:cs="Arial" w:eastAsia="Arial" w:hAnsi="Arial"/>
                <w:b w:val="false"/>
                <w:bCs w:val="false"/>
                <w:i w:val="false"/>
                <w:iCs w:val="false"/>
                <w:color w:val="6B7280"/>
                <w:sz w:val="17"/>
                <w:szCs w:val="17"/>
              </w:rPr>
              <w:t xml:space="preserve">New user acquisition at near-zero cost</w:t>
            </w:r>
          </w:p>
        </w:tc>
      </w:tr>
      <w:tr>
        <w:tc>
          <w:tcPr>
            <w:tcW w:type="dxa" w:w="400"/>
            <w:tcBorders>
              <w:top w:val="single" w:color="E5E7EB" w:sz="1"/>
              <w:left w:val="single" w:color="E5E7EB" w:sz="1"/>
              <w:bottom w:val="single" w:color="E5E7EB" w:sz="1"/>
              <w:right w:val="single" w:color="E5E7EB" w:sz="1"/>
            </w:tcBorders>
            <w:shd w:fill="F9FAFB" w:val="clear"/>
            <w:tcMar>
              <w:top w:type="dxa" w:w="120"/>
              <w:left w:type="dxa" w:w="160"/>
              <w:bottom w:type="dxa" w:w="120"/>
              <w:right w:type="dxa" w:w="160"/>
            </w:tcMar>
          </w:tcPr>
          <w:p>
            <w:pPr>
              <w:spacing w:after="0" w:before="0"/>
              <w:jc w:val="center"/>
            </w:pPr>
            <w:r>
              <w:rPr>
                <w:rFonts w:ascii="Arial" w:cs="Arial" w:eastAsia="Arial" w:hAnsi="Arial"/>
                <w:b/>
                <w:bCs/>
                <w:i w:val="false"/>
                <w:iCs w:val="false"/>
                <w:color w:val="7C3AED"/>
                <w:sz w:val="24"/>
                <w:szCs w:val="24"/>
              </w:rPr>
              <w:t xml:space="preserve">4</w:t>
            </w:r>
          </w:p>
        </w:tc>
        <w:tc>
          <w:tcPr>
            <w:tcW w:type="dxa" w:w="2600"/>
            <w:tcBorders>
              <w:top w:val="single" w:color="E5E7EB" w:sz="1"/>
              <w:left w:val="single" w:color="E5E7EB" w:sz="1"/>
              <w:bottom w:val="single" w:color="E5E7EB" w:sz="1"/>
              <w:right w:val="single" w:color="E5E7EB" w:sz="1"/>
            </w:tcBorders>
            <w:shd w:fill="F9FAFB" w:val="clear"/>
            <w:tcMar>
              <w:top w:type="dxa" w:w="120"/>
              <w:left w:type="dxa" w:w="160"/>
              <w:bottom w:type="dxa" w:w="120"/>
              <w:right w:type="dxa" w:w="160"/>
            </w:tcMar>
          </w:tcPr>
          <w:p>
            <w:pPr>
              <w:spacing w:after="0" w:before="0"/>
              <w:jc w:val="left"/>
            </w:pPr>
            <w:r>
              <w:rPr>
                <w:rFonts w:ascii="Arial" w:cs="Arial" w:eastAsia="Arial" w:hAnsi="Arial"/>
                <w:b/>
                <w:bCs/>
                <w:i w:val="false"/>
                <w:iCs w:val="false"/>
                <w:color w:val="1E1B4B"/>
                <w:sz w:val="18"/>
                <w:szCs w:val="18"/>
              </w:rPr>
              <w:t xml:space="preserve">Rewrite privacy policy + align T&amp;C with product</w:t>
            </w:r>
          </w:p>
        </w:tc>
        <w:tc>
          <w:tcPr>
            <w:tcW w:type="dxa" w:w="3080"/>
            <w:tcBorders>
              <w:top w:val="single" w:color="E5E7EB" w:sz="1"/>
              <w:left w:val="single" w:color="E5E7EB" w:sz="1"/>
              <w:bottom w:val="single" w:color="E5E7EB" w:sz="1"/>
              <w:right w:val="single" w:color="E5E7EB" w:sz="1"/>
            </w:tcBorders>
            <w:shd w:fill="F9FAFB" w:val="clear"/>
            <w:tcMar>
              <w:top w:type="dxa" w:w="120"/>
              <w:left w:type="dxa" w:w="160"/>
              <w:bottom w:type="dxa" w:w="120"/>
              <w:right w:type="dxa" w:w="160"/>
            </w:tcMar>
          </w:tcPr>
          <w:p>
            <w:pPr>
              <w:spacing w:after="0" w:before="0"/>
              <w:jc w:val="left"/>
            </w:pPr>
            <w:r>
              <w:rPr>
                <w:rFonts w:ascii="Arial" w:cs="Arial" w:eastAsia="Arial" w:hAnsi="Arial"/>
                <w:b w:val="false"/>
                <w:bCs w:val="false"/>
                <w:i w:val="false"/>
                <w:iCs w:val="false"/>
                <w:color w:val="1E1B4B"/>
                <w:sz w:val="17"/>
                <w:szCs w:val="17"/>
              </w:rPr>
              <w:t xml:space="preserve">DPDP Act 2023 compliance. Non-negotiable for B2B sales and long-term trust.</w:t>
            </w:r>
          </w:p>
        </w:tc>
        <w:tc>
          <w:tcPr>
            <w:tcW w:type="dxa" w:w="3280"/>
            <w:tcBorders>
              <w:top w:val="single" w:color="E5E7EB" w:sz="1"/>
              <w:left w:val="single" w:color="E5E7EB" w:sz="1"/>
              <w:bottom w:val="single" w:color="E5E7EB" w:sz="1"/>
              <w:right w:val="single" w:color="E5E7EB" w:sz="1"/>
            </w:tcBorders>
            <w:shd w:fill="F9FAFB" w:val="clear"/>
            <w:tcMar>
              <w:top w:type="dxa" w:w="120"/>
              <w:left w:type="dxa" w:w="160"/>
              <w:bottom w:type="dxa" w:w="120"/>
              <w:right w:type="dxa" w:w="160"/>
            </w:tcMar>
          </w:tcPr>
          <w:p>
            <w:pPr>
              <w:spacing w:after="0" w:before="0"/>
              <w:jc w:val="left"/>
            </w:pPr>
            <w:r>
              <w:rPr>
                <w:rFonts w:ascii="Arial" w:cs="Arial" w:eastAsia="Arial" w:hAnsi="Arial"/>
                <w:b w:val="false"/>
                <w:bCs w:val="false"/>
                <w:i w:val="false"/>
                <w:iCs w:val="false"/>
                <w:color w:val="6B7280"/>
                <w:sz w:val="17"/>
                <w:szCs w:val="17"/>
              </w:rPr>
              <w:t xml:space="preserve">Reduced legal risk, enables enterprise deals</w:t>
            </w:r>
          </w:p>
        </w:tc>
      </w:tr>
      <w:tr>
        <w:tc>
          <w:tcPr>
            <w:tcW w:type="dxa" w:w="400"/>
            <w:tcBorders>
              <w:top w:val="single" w:color="E5E7EB" w:sz="1"/>
              <w:left w:val="single" w:color="E5E7EB" w:sz="1"/>
              <w:bottom w:val="single" w:color="E5E7EB" w:sz="1"/>
              <w:right w:val="single" w:color="E5E7EB" w:sz="1"/>
            </w:tcBorders>
            <w:shd w:fill="FFFFFF" w:val="clear"/>
            <w:tcMar>
              <w:top w:type="dxa" w:w="120"/>
              <w:left w:type="dxa" w:w="160"/>
              <w:bottom w:type="dxa" w:w="120"/>
              <w:right w:type="dxa" w:w="160"/>
            </w:tcMar>
          </w:tcPr>
          <w:p>
            <w:pPr>
              <w:spacing w:after="0" w:before="0"/>
              <w:jc w:val="center"/>
            </w:pPr>
            <w:r>
              <w:rPr>
                <w:rFonts w:ascii="Arial" w:cs="Arial" w:eastAsia="Arial" w:hAnsi="Arial"/>
                <w:b/>
                <w:bCs/>
                <w:i w:val="false"/>
                <w:iCs w:val="false"/>
                <w:color w:val="7C3AED"/>
                <w:sz w:val="24"/>
                <w:szCs w:val="24"/>
              </w:rPr>
              <w:t xml:space="preserve">5</w:t>
            </w:r>
          </w:p>
        </w:tc>
        <w:tc>
          <w:tcPr>
            <w:tcW w:type="dxa" w:w="2600"/>
            <w:tcBorders>
              <w:top w:val="single" w:color="E5E7EB" w:sz="1"/>
              <w:left w:val="single" w:color="E5E7EB" w:sz="1"/>
              <w:bottom w:val="single" w:color="E5E7EB" w:sz="1"/>
              <w:right w:val="single" w:color="E5E7EB" w:sz="1"/>
            </w:tcBorders>
            <w:shd w:fill="FFFFFF" w:val="clear"/>
            <w:tcMar>
              <w:top w:type="dxa" w:w="120"/>
              <w:left w:type="dxa" w:w="160"/>
              <w:bottom w:type="dxa" w:w="120"/>
              <w:right w:type="dxa" w:w="160"/>
            </w:tcMar>
          </w:tcPr>
          <w:p>
            <w:pPr>
              <w:spacing w:after="0" w:before="0"/>
              <w:jc w:val="left"/>
            </w:pPr>
            <w:r>
              <w:rPr>
                <w:rFonts w:ascii="Arial" w:cs="Arial" w:eastAsia="Arial" w:hAnsi="Arial"/>
                <w:b/>
                <w:bCs/>
                <w:i w:val="false"/>
                <w:iCs w:val="false"/>
                <w:color w:val="1E1B4B"/>
                <w:sz w:val="18"/>
                <w:szCs w:val="18"/>
              </w:rPr>
              <w:t xml:space="preserve">Subspace Guarantee + UPI refund partnership</w:t>
            </w:r>
          </w:p>
        </w:tc>
        <w:tc>
          <w:tcPr>
            <w:tcW w:type="dxa" w:w="3080"/>
            <w:tcBorders>
              <w:top w:val="single" w:color="E5E7EB" w:sz="1"/>
              <w:left w:val="single" w:color="E5E7EB" w:sz="1"/>
              <w:bottom w:val="single" w:color="E5E7EB" w:sz="1"/>
              <w:right w:val="single" w:color="E5E7EB" w:sz="1"/>
            </w:tcBorders>
            <w:shd w:fill="FFFFFF" w:val="clear"/>
            <w:tcMar>
              <w:top w:type="dxa" w:w="120"/>
              <w:left w:type="dxa" w:w="160"/>
              <w:bottom w:type="dxa" w:w="120"/>
              <w:right w:type="dxa" w:w="160"/>
            </w:tcMar>
          </w:tcPr>
          <w:p>
            <w:pPr>
              <w:spacing w:after="0" w:before="0"/>
              <w:jc w:val="left"/>
            </w:pPr>
            <w:r>
              <w:rPr>
                <w:rFonts w:ascii="Arial" w:cs="Arial" w:eastAsia="Arial" w:hAnsi="Arial"/>
                <w:b w:val="false"/>
                <w:bCs w:val="false"/>
                <w:i w:val="false"/>
                <w:iCs w:val="false"/>
                <w:color w:val="1E1B4B"/>
                <w:sz w:val="17"/>
                <w:szCs w:val="17"/>
              </w:rPr>
              <w:t xml:space="preserve">Requires partnership work but directly attacks the WhatsApp+UPI substitute threat.</w:t>
            </w:r>
          </w:p>
        </w:tc>
        <w:tc>
          <w:tcPr>
            <w:tcW w:type="dxa" w:w="3280"/>
            <w:tcBorders>
              <w:top w:val="single" w:color="E5E7EB" w:sz="1"/>
              <w:left w:val="single" w:color="E5E7EB" w:sz="1"/>
              <w:bottom w:val="single" w:color="E5E7EB" w:sz="1"/>
              <w:right w:val="single" w:color="E5E7EB" w:sz="1"/>
            </w:tcBorders>
            <w:shd w:fill="FFFFFF" w:val="clear"/>
            <w:tcMar>
              <w:top w:type="dxa" w:w="120"/>
              <w:left w:type="dxa" w:w="160"/>
              <w:bottom w:type="dxa" w:w="120"/>
              <w:right w:type="dxa" w:w="160"/>
            </w:tcMar>
          </w:tcPr>
          <w:p>
            <w:pPr>
              <w:spacing w:after="0" w:before="0"/>
              <w:jc w:val="left"/>
            </w:pPr>
            <w:r>
              <w:rPr>
                <w:rFonts w:ascii="Arial" w:cs="Arial" w:eastAsia="Arial" w:hAnsi="Arial"/>
                <w:b w:val="false"/>
                <w:bCs w:val="false"/>
                <w:i w:val="false"/>
                <w:iCs w:val="false"/>
                <w:color w:val="6B7280"/>
                <w:sz w:val="17"/>
                <w:szCs w:val="17"/>
              </w:rPr>
              <w:t xml:space="preserve">Trust-driven conversion uplift, kills #1 user complaint</w:t>
            </w:r>
          </w:p>
        </w:tc>
      </w:tr>
    </w:tbl>
    <w:p>
      <w:pPr>
        <w:spacing w:after="160" w:before="0"/>
        <w:jc w:val="left"/>
      </w:pPr>
      <w:r>
        <w:rPr>
          <w:rFonts w:ascii="Arial" w:cs="Arial" w:eastAsia="Arial" w:hAnsi="Arial"/>
          <w:b w:val="false"/>
          <w:bCs w:val="false"/>
          <w:i w:val="false"/>
          <w:iCs w:val="false"/>
          <w:color w:val="1E1B4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C3AED" w:sz="16"/>
              <w:bottom w:val="none" w:color="FFFFFF" w:sz="0"/>
              <w:right w:val="none" w:color="FFFFFF" w:sz="0"/>
            </w:tcBorders>
            <w:shd w:fill="F5F3FF" w:val="clear"/>
            <w:tcMar>
              <w:top w:type="dxa" w:w="180"/>
              <w:left w:type="dxa" w:w="160"/>
              <w:bottom w:type="dxa" w:w="180"/>
              <w:right w:type="dxa" w:w="160"/>
            </w:tcMar>
          </w:tcPr>
          <w:p>
            <w:pPr>
              <w:spacing w:after="0" w:before="0"/>
              <w:jc w:val="left"/>
            </w:pPr>
            <w:r>
              <w:rPr>
                <w:rFonts w:ascii="Arial" w:cs="Arial" w:eastAsia="Arial" w:hAnsi="Arial"/>
                <w:b/>
                <w:bCs/>
                <w:i w:val="false"/>
                <w:iCs w:val="false"/>
                <w:color w:val="5B21B6"/>
                <w:sz w:val="22"/>
                <w:szCs w:val="22"/>
              </w:rPr>
              <w:t xml:space="preserve">Bottom Line</w:t>
            </w:r>
            <w:r>
              <w:rPr>
                <w:rFonts w:ascii="Arial" w:cs="Arial" w:eastAsia="Arial" w:hAnsi="Arial"/>
                <w:b w:val="false"/>
                <w:bCs w:val="false"/>
                <w:i w:val="false"/>
                <w:iCs w:val="false"/>
                <w:color w:val="6B7280"/>
                <w:sz w:val="22"/>
                <w:szCs w:val="22"/>
              </w:rPr>
              <w:t xml:space="preserve"> — </w:t>
            </w:r>
            <w:r>
              <w:rPr>
                <w:rFonts w:ascii="Arial" w:cs="Arial" w:eastAsia="Arial" w:hAnsi="Arial"/>
                <w:b w:val="false"/>
                <w:bCs w:val="false"/>
                <w:i w:val="false"/>
                <w:iCs w:val="false"/>
                <w:color w:val="1E1B4B"/>
                <w:sz w:val="20"/>
                <w:szCs w:val="20"/>
              </w:rPr>
              <w:t xml:space="preserve">Subspace has built something genuinely valuable on zero funding. ₹36.5 Cr ARR with 3 employees proves the model. These five gaps are not fundamental flaws — they are the natural rough edges of a lean team moving fast. Each fix is specific, executable, and within reach of a product intern with Day 1 ownership.</w:t>
            </w:r>
          </w:p>
        </w:tc>
      </w:tr>
    </w:tbl>
    <w:sectPr>
      <w:headerReference w:type="default" r:id="rId7"/>
      <w:footerReference w:type="default" r:id="rId8"/>
      <w:pgSz w:w="12240" w:h="15840" w:orient="portrait"/>
      <w:pgMar w:top="960" w:right="960" w:bottom="960" w:left="9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B4FE" w:sz="4" w:space="2"/>
      </w:pBdr>
      <w:jc w:val="center"/>
    </w:pPr>
    <w:r>
      <w:rPr>
        <w:rFonts w:ascii="Arial" w:cs="Arial" w:eastAsia="Arial" w:hAnsi="Arial"/>
        <w:b w:val="false"/>
        <w:bCs w:val="false"/>
        <w:i w:val="false"/>
        <w:iCs w:val="false"/>
        <w:color w:val="6B7280"/>
        <w:sz w:val="16"/>
        <w:szCs w:val="16"/>
      </w:rPr>
      <w:t xml:space="preserve">Product Intern Assignment · May 31 2026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B4FE" w:sz="4" w:space="2"/>
      </w:pBdr>
    </w:pPr>
    <w:r>
      <w:rPr>
        <w:rFonts w:ascii="Arial" w:cs="Arial" w:eastAsia="Arial" w:hAnsi="Arial"/>
        <w:b w:val="false"/>
        <w:bCs w:val="false"/>
        <w:i w:val="false"/>
        <w:iCs w:val="false"/>
        <w:color w:val="6B7280"/>
        <w:sz w:val="16"/>
        <w:szCs w:val="16"/>
      </w:rPr>
      <w:t xml:space="preserve">Subspace.money — Product Teardown  |  Yash Vardhan Malik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E1B4B"/>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5B21B6"/>
      <w:sz w:val="28"/>
      <w:szCs w:val="28"/>
    </w:rPr>
  </w:style>
  <w:style w:type="paragraph" w:styleId="Heading3">
    <w:name w:val="Heading 3"/>
    <w:basedOn w:val="Normal"/>
    <w:next w:val="Normal"/>
    <w:qFormat/>
    <w:pPr>
      <w:spacing w:after="80" w:before="160"/>
      <w:outlineLvl w:val="2"/>
    </w:pPr>
    <w:rPr>
      <w:rFonts w:ascii="Arial" w:cs="Arial" w:eastAsia="Arial" w:hAnsi="Arial"/>
      <w:b/>
      <w:bCs/>
      <w:color w:val="1E1B4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2026-05-31T16:30:13.705Z</dcterms:created>
  <dcterms:modified xsi:type="dcterms:W3CDTF">2026-05-31T16:30:13.705Z</dcterms:modified>
</cp:coreProperties>
</file>

<file path=docProps/custom.xml><?xml version="1.0" encoding="utf-8"?>
<Properties xmlns="http://schemas.openxmlformats.org/officeDocument/2006/custom-properties" xmlns:vt="http://schemas.openxmlformats.org/officeDocument/2006/docPropsVTypes"/>
</file>