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93AC4" w:rsidRDefault="00DC411D" w:rsidP="00E36A0C">
      <w:pPr>
        <w:spacing w:before="200" w:after="0" w:line="240" w:lineRule="auto"/>
        <w:ind w:left="-142"/>
        <w:rPr>
          <w:rFonts w:ascii="Times New Roman" w:hAnsi="Times New Roman" w:cs="Times New Roman"/>
          <w:noProof/>
          <w:color w:val="000000" w:themeColor="text1"/>
          <w:sz w:val="72"/>
          <w:szCs w:val="72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72"/>
          <w:szCs w:val="72"/>
        </w:rPr>
        <w:t>Yash Arora</w:t>
      </w:r>
    </w:p>
    <w:p w14:paraId="724069E6" w14:textId="21D76F80" w:rsidR="00DC411D" w:rsidRPr="00793AC4" w:rsidRDefault="00000000" w:rsidP="0056191D">
      <w:pPr>
        <w:spacing w:before="80" w:after="0" w:line="240" w:lineRule="auto"/>
        <w:ind w:left="-142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hyperlink r:id="rId5" w:history="1">
        <w:r w:rsidR="0013013F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yasharora0606@gmail.com</w:t>
        </w:r>
      </w:hyperlink>
      <w:r w:rsidR="00D76852" w:rsidRPr="00793AC4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</w:t>
      </w:r>
      <w:r w:rsidR="00987400" w:rsidRPr="00793AC4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D76852" w:rsidRPr="00793AC4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r w:rsidR="00D76852" w:rsidRPr="00793AC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CA"/>
        </w:rPr>
        <w:t xml:space="preserve"> •   </w:t>
      </w:r>
      <w:r w:rsidR="00987400" w:rsidRPr="00793AC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CA"/>
        </w:rPr>
        <w:t xml:space="preserve"> </w:t>
      </w:r>
      <w:r w:rsidR="00D76852" w:rsidRPr="00793AC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CA"/>
        </w:rPr>
        <w:t xml:space="preserve">  </w:t>
      </w:r>
      <w:hyperlink r:id="rId6" w:history="1">
        <w:r w:rsidR="00D76852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yasharora.com</w:t>
        </w:r>
      </w:hyperlink>
      <w:r w:rsidR="00987400" w:rsidRPr="00793AC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CA"/>
        </w:rPr>
        <w:t xml:space="preserve">      •      </w:t>
      </w:r>
      <w:hyperlink r:id="rId7" w:history="1">
        <w:r w:rsidR="00DC411D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github.com/yasharora0606</w:t>
        </w:r>
      </w:hyperlink>
      <w:r w:rsidR="00987400" w:rsidRPr="00793AC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CA"/>
        </w:rPr>
        <w:t xml:space="preserve">      •      </w:t>
      </w:r>
      <w:hyperlink r:id="rId8" w:history="1">
        <w:r w:rsidR="00DC411D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linkedin.com/</w:t>
        </w:r>
        <w:r w:rsidR="00494C65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in/</w:t>
        </w:r>
        <w:r w:rsidR="00DC411D" w:rsidRPr="00793AC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en-CA"/>
          </w:rPr>
          <w:t>yasharora0606</w:t>
        </w:r>
      </w:hyperlink>
    </w:p>
    <w:p w14:paraId="1CF8B2C5" w14:textId="77777777" w:rsidR="00C940D4" w:rsidRPr="00793AC4" w:rsidRDefault="00C940D4" w:rsidP="00C2361D">
      <w:pPr>
        <w:spacing w:before="180" w:after="0" w:line="240" w:lineRule="auto"/>
        <w:ind w:left="-142"/>
        <w:rPr>
          <w:rFonts w:ascii="Times New Roman" w:eastAsia="Avenir Next LT Pro" w:hAnsi="Times New Roman" w:cs="Times New Roman"/>
          <w:b/>
          <w:bCs/>
          <w:color w:val="000000" w:themeColor="text1"/>
          <w:sz w:val="32"/>
          <w:szCs w:val="32"/>
        </w:rPr>
      </w:pP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BEEEB70" w14:textId="1FB6CA72" w:rsidR="00C940D4" w:rsidRPr="00793AC4" w:rsidRDefault="00C940D4" w:rsidP="00C2361D">
      <w:pPr>
        <w:tabs>
          <w:tab w:val="right" w:pos="10632"/>
        </w:tabs>
        <w:spacing w:before="2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University of Waterloo</w:t>
      </w:r>
      <w:r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ab/>
      </w:r>
      <w:proofErr w:type="spellStart"/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Waterloo</w:t>
      </w:r>
      <w:proofErr w:type="spellEnd"/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, ON | Sept 2019 – Apr 2024</w:t>
      </w:r>
    </w:p>
    <w:p w14:paraId="67CAE02E" w14:textId="77777777" w:rsidR="00C940D4" w:rsidRPr="00793AC4" w:rsidRDefault="00C940D4" w:rsidP="00C940D4">
      <w:pPr>
        <w:tabs>
          <w:tab w:val="right" w:pos="10632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Bachelor of Software Engineering, Honors</w:t>
      </w:r>
      <w:r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0"/>
          <w:szCs w:val="20"/>
        </w:rPr>
        <w:t>3.9 GPA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(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0"/>
          <w:szCs w:val="20"/>
        </w:rPr>
        <w:t>90%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Cumulative Average, Dean’s Honors List)</w:t>
      </w:r>
    </w:p>
    <w:p w14:paraId="4AAC5986" w14:textId="53E4C19A" w:rsidR="00C940D4" w:rsidRPr="00793AC4" w:rsidRDefault="00C940D4" w:rsidP="00A7469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Software Engineering Valedictorian, President of Software Engineering Society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B.P. Dammizio Scholarship</w:t>
      </w:r>
      <w:r w:rsidR="00220CED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recipient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.</w:t>
      </w:r>
    </w:p>
    <w:p w14:paraId="50F35101" w14:textId="2002E756" w:rsidR="00C940D4" w:rsidRPr="00793AC4" w:rsidRDefault="00C37813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Notable coursework: 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Software Design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/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Architecture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(</w:t>
      </w:r>
      <w:r w:rsidR="00C940D4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0"/>
          <w:szCs w:val="20"/>
        </w:rPr>
        <w:t>98%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)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Differential Equations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(</w:t>
      </w:r>
      <w:r w:rsidR="00C940D4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0"/>
          <w:szCs w:val="20"/>
        </w:rPr>
        <w:t>98%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),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Software Engineering Methods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(</w:t>
      </w:r>
      <w:r w:rsidR="00C940D4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0"/>
          <w:szCs w:val="20"/>
        </w:rPr>
        <w:t>97%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)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.</w:t>
      </w:r>
    </w:p>
    <w:p w14:paraId="723D2F78" w14:textId="40CB1F51" w:rsidR="00A50592" w:rsidRPr="00793AC4" w:rsidRDefault="00C940D4" w:rsidP="00C2361D">
      <w:pPr>
        <w:spacing w:before="180" w:after="0" w:line="240" w:lineRule="auto"/>
        <w:ind w:left="-142"/>
        <w:rPr>
          <w:rFonts w:ascii="Times New Roman" w:eastAsia="Avenir Next LT Pro" w:hAnsi="Times New Roman" w:cs="Times New Roman"/>
          <w:b/>
          <w:bCs/>
          <w:color w:val="000000" w:themeColor="text1"/>
          <w:sz w:val="28"/>
          <w:szCs w:val="28"/>
        </w:rPr>
      </w:pP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8"/>
          <w:szCs w:val="28"/>
        </w:rPr>
        <w:t xml:space="preserve">Professional </w:t>
      </w:r>
      <w:r w:rsidR="00C66481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p w14:paraId="56534FB2" w14:textId="24CBDEF2" w:rsidR="00CC62F6" w:rsidRPr="00793AC4" w:rsidRDefault="00CC62F6" w:rsidP="00C2361D">
      <w:pPr>
        <w:tabs>
          <w:tab w:val="right" w:pos="10490"/>
        </w:tabs>
        <w:spacing w:before="20" w:after="0" w:line="240" w:lineRule="auto"/>
        <w:ind w:left="-142"/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Jane Street</w:t>
      </w:r>
    </w:p>
    <w:p w14:paraId="552533CF" w14:textId="302EEB7A" w:rsidR="00CC62F6" w:rsidRPr="00793AC4" w:rsidRDefault="00CC62F6" w:rsidP="00CC62F6">
      <w:pPr>
        <w:tabs>
          <w:tab w:val="right" w:pos="10490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Quantitative Trader, Full Time (Incoming)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New York, NY | Starting Aug 2024</w:t>
      </w:r>
    </w:p>
    <w:p w14:paraId="4DC583FE" w14:textId="250D8CEB" w:rsidR="00F062FE" w:rsidRPr="00793AC4" w:rsidRDefault="00F062FE" w:rsidP="005968F3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Citadel Securities</w:t>
      </w:r>
    </w:p>
    <w:p w14:paraId="2D6582EA" w14:textId="58C02173" w:rsidR="00F062FE" w:rsidRPr="00793AC4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Software Engineer Intern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New York, NY | June 2023 – Aug 202</w:t>
      </w:r>
      <w:r w:rsidR="006D6928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3</w:t>
      </w:r>
    </w:p>
    <w:p w14:paraId="4E089D91" w14:textId="6563FFE3" w:rsidR="00CC11BD" w:rsidRPr="00793AC4" w:rsidRDefault="00C940D4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Developed a custom fault-tolerant library to interface with European alternative trading systems managed by Citadel Execution Services (CES), resulting in an estimated increase in order-flow of $84,000,000 per year.</w:t>
      </w:r>
    </w:p>
    <w:p w14:paraId="28BC4594" w14:textId="641AB39B" w:rsidR="00967FFB" w:rsidRPr="00793AC4" w:rsidRDefault="00C37813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Created a visibility tool for CES traders to track the status</w:t>
      </w:r>
      <w:r w:rsidR="00F45D0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es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of trades at </w:t>
      </w:r>
      <w:r w:rsidR="00F45D0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a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granular level and collect metrics.</w:t>
      </w:r>
    </w:p>
    <w:p w14:paraId="456C9B96" w14:textId="7ED3B53D" w:rsidR="001912CB" w:rsidRPr="00793AC4" w:rsidRDefault="00BD4F99" w:rsidP="005968F3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 xml:space="preserve">Jane </w:t>
      </w:r>
      <w:r w:rsidR="001912CB"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Street</w:t>
      </w:r>
    </w:p>
    <w:p w14:paraId="4C0DB885" w14:textId="082FC946" w:rsidR="001912CB" w:rsidRPr="00793AC4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Quantitative Trad</w:t>
      </w:r>
      <w:r w:rsidR="00A0053B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er</w:t>
      </w: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 xml:space="preserve"> Intern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New York, NY | Apr 2023 – June 2023</w:t>
      </w:r>
    </w:p>
    <w:p w14:paraId="19C47032" w14:textId="7F936E27" w:rsidR="00CD2237" w:rsidRPr="00793AC4" w:rsidRDefault="001912CB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Performed quantitative research to 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develop proprietary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trading strategies as part of the 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algorithmic options trading desk.</w:t>
      </w:r>
    </w:p>
    <w:p w14:paraId="52BB7B85" w14:textId="01B21BBE" w:rsidR="00C940D4" w:rsidRPr="00793AC4" w:rsidRDefault="00C940D4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Traded mock-securities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against other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quantitative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traders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in simulation environments with various market microstructures.</w:t>
      </w:r>
    </w:p>
    <w:p w14:paraId="0935F55F" w14:textId="48BEAB68" w:rsidR="000F593E" w:rsidRPr="00793AC4" w:rsidRDefault="000F593E" w:rsidP="000F593E">
      <w:pPr>
        <w:tabs>
          <w:tab w:val="right" w:pos="10490"/>
        </w:tabs>
        <w:spacing w:before="10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Software Engineer Intern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New York, NY | Jan 2023 – Apr 2023</w:t>
      </w:r>
    </w:p>
    <w:p w14:paraId="52067A73" w14:textId="68903BFF" w:rsidR="000F593E" w:rsidRPr="00793AC4" w:rsidRDefault="00967FFB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Developed </w:t>
      </w:r>
      <w:r w:rsidR="000F593E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scalable real-time systems and trading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tools for</w:t>
      </w:r>
      <w:r w:rsidR="000F593E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the domestic (U.S.) ET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Fs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, including a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n efficient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zero-allocation </w:t>
      </w:r>
      <w:r w:rsidR="00C37813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graph-based library that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enables many of our proprietary trading strategies on the desk.</w:t>
      </w:r>
    </w:p>
    <w:p w14:paraId="6AFCDC44" w14:textId="38DC85AA" w:rsidR="00387726" w:rsidRPr="00793AC4" w:rsidRDefault="001C7F55" w:rsidP="005968F3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Bloomberg</w:t>
      </w:r>
    </w:p>
    <w:p w14:paraId="4C03B0D0" w14:textId="0B0972D0" w:rsidR="001C7F55" w:rsidRPr="00793AC4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Software Engineer Inter</w:t>
      </w:r>
      <w:r w:rsidR="001912CB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n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New York, NY | May 2022 – Aug 2022</w:t>
      </w:r>
    </w:p>
    <w:p w14:paraId="38FF56A3" w14:textId="61D9FC36" w:rsidR="00967FFB" w:rsidRPr="00793AC4" w:rsidRDefault="00DE6099" w:rsidP="00967FF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Designed</w:t>
      </w:r>
      <w:r w:rsidR="00C1050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and implemented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 s</w:t>
      </w:r>
      <w:r w:rsidR="00845C56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calable</w:t>
      </w:r>
      <w:r w:rsidR="004D510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fixed</w:t>
      </w:r>
      <w:r w:rsidR="00FA7F5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-</w:t>
      </w:r>
      <w:r w:rsidR="004D510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income ETF </w:t>
      </w:r>
      <w:r w:rsidR="00FA7F5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analytic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s engine, </w:t>
      </w:r>
      <w:r w:rsidR="00C1050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increasing throughput by ~1</w:t>
      </w:r>
      <w:r w:rsidR="0071708D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5</w:t>
      </w:r>
      <w:r w:rsidR="00C1050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00%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and serving over </w:t>
      </w:r>
      <w:r w:rsidR="00A641D7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~6</w:t>
      </w:r>
      <w:r w:rsidR="00872AF6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5,000 </w:t>
      </w:r>
      <w:r w:rsidR="00A97BB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price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/</w:t>
      </w:r>
      <w:r w:rsidR="00A97BB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yield</w:t>
      </w:r>
      <w:r w:rsidR="00B71AD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872AF6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requests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from clients per day.</w:t>
      </w:r>
    </w:p>
    <w:p w14:paraId="0BE7D52C" w14:textId="43F87EE0" w:rsidR="001C7F55" w:rsidRPr="00793AC4" w:rsidRDefault="00220CED" w:rsidP="00967FF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Migrated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fixed-income ETFs to use Bloomberg’s existing bond </w:t>
      </w:r>
      <w:r w:rsidR="0051572D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data models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enabling </w:t>
      </w:r>
      <w:r w:rsidR="000E2232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new </w:t>
      </w:r>
      <w:r w:rsidR="000E2232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set of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analytics on the asset class.</w:t>
      </w:r>
    </w:p>
    <w:p w14:paraId="5790E6E0" w14:textId="160186FB" w:rsidR="00D614EC" w:rsidRPr="00793AC4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Developed</w:t>
      </w:r>
      <w:r w:rsidR="004D7197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an anomaly detection service for bond</w:t>
      </w:r>
      <w:r w:rsidR="00B71AD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FA7F50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market-</w:t>
      </w:r>
      <w:r w:rsidR="008977FC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data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decreasing </w:t>
      </w:r>
      <w:r w:rsidR="008977FC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inaccurate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published yields by &gt; 90%.</w:t>
      </w:r>
    </w:p>
    <w:p w14:paraId="3585CF7B" w14:textId="54D468FB" w:rsidR="00387726" w:rsidRPr="00793AC4" w:rsidRDefault="00A50592" w:rsidP="005968F3">
      <w:pPr>
        <w:tabs>
          <w:tab w:val="right" w:pos="10490"/>
        </w:tabs>
        <w:spacing w:before="10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Shopify</w:t>
      </w:r>
    </w:p>
    <w:p w14:paraId="6AE5AF7F" w14:textId="73172387" w:rsidR="00A50592" w:rsidRPr="00793AC4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Software Engineer Intern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1"/>
          <w:szCs w:val="21"/>
        </w:rPr>
        <w:tab/>
      </w:r>
      <w:r w:rsidR="004D510B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T</w:t>
      </w:r>
      <w:r w:rsidR="001522A9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oronto, ON</w:t>
      </w:r>
      <w:r w:rsidR="002338E1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 xml:space="preserve">| </w:t>
      </w:r>
      <w:r w:rsidR="001522A9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Sept 2021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 xml:space="preserve"> – </w:t>
      </w:r>
      <w:r w:rsidR="001522A9"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>Dec</w:t>
      </w: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</w:rPr>
        <w:t xml:space="preserve"> 2021</w:t>
      </w:r>
    </w:p>
    <w:p w14:paraId="1F6E6657" w14:textId="5F8700DD" w:rsidR="004D7197" w:rsidRPr="00793AC4" w:rsidRDefault="00967FF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bookmarkStart w:id="0" w:name="_Hlk92841335"/>
      <w:bookmarkStart w:id="1" w:name="_Hlk92841509"/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Reduced the </w:t>
      </w:r>
      <w:r w:rsidR="005A4F1D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average verification time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for payment processing on storefronts built with Shopify Hydrogen to </w:t>
      </w:r>
      <w:r w:rsidR="005A4F1D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&lt; </w:t>
      </w:r>
      <w:r w:rsidR="004D7197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50 ms.</w:t>
      </w:r>
    </w:p>
    <w:p w14:paraId="0DF95863" w14:textId="72266B08" w:rsidR="001F1E49" w:rsidRPr="00793AC4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Deployed</w:t>
      </w:r>
      <w:r w:rsidR="001F1E49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0029D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the </w:t>
      </w:r>
      <w:hyperlink r:id="rId9" w:history="1">
        <w:r w:rsidR="001F1E49" w:rsidRPr="00793AC4">
          <w:rPr>
            <w:rStyle w:val="Hyperlink"/>
            <w:rFonts w:ascii="Times New Roman" w:eastAsia="Avenir Next LT Pro" w:hAnsi="Times New Roman" w:cs="Times New Roman"/>
            <w:color w:val="000000" w:themeColor="text1"/>
            <w:sz w:val="20"/>
            <w:szCs w:val="20"/>
            <w:u w:val="none"/>
          </w:rPr>
          <w:t>Hydrogen</w:t>
        </w:r>
        <w:r w:rsidRPr="00793AC4">
          <w:rPr>
            <w:rStyle w:val="Hyperlink"/>
            <w:rFonts w:ascii="Times New Roman" w:eastAsia="Avenir Next LT Pro" w:hAnsi="Times New Roman" w:cs="Times New Roman"/>
            <w:color w:val="000000" w:themeColor="text1"/>
            <w:sz w:val="20"/>
            <w:szCs w:val="20"/>
            <w:u w:val="none"/>
          </w:rPr>
          <w:t xml:space="preserve"> Developer Preview</w:t>
        </w:r>
      </w:hyperlink>
      <w:r w:rsidR="00C37813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,</w:t>
      </w:r>
      <w:r w:rsidR="001F1E49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currently used by </w:t>
      </w:r>
      <w:proofErr w:type="spellStart"/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Allbirds</w:t>
      </w:r>
      <w:proofErr w:type="spellEnd"/>
      <w:r w:rsidR="00967FFB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SKIMS, </w:t>
      </w:r>
      <w:r w:rsidR="00C37813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and</w:t>
      </w:r>
      <w:r w:rsidR="004A6DEF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73719F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many</w:t>
      </w:r>
      <w:r w:rsidR="00C37813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other Shopify Plus Merchants.</w:t>
      </w:r>
    </w:p>
    <w:bookmarkEnd w:id="0"/>
    <w:bookmarkEnd w:id="1"/>
    <w:p w14:paraId="0634541D" w14:textId="678ABA86" w:rsidR="009A1F27" w:rsidRPr="00793AC4" w:rsidRDefault="00C940D4" w:rsidP="00C2361D">
      <w:pPr>
        <w:spacing w:before="180" w:after="0" w:line="240" w:lineRule="auto"/>
        <w:ind w:left="-142"/>
        <w:rPr>
          <w:rFonts w:ascii="Times New Roman" w:eastAsia="Avenir Next LT Pro" w:hAnsi="Times New Roman" w:cs="Times New Roman"/>
          <w:b/>
          <w:bCs/>
          <w:color w:val="000000" w:themeColor="text1"/>
          <w:sz w:val="32"/>
          <w:szCs w:val="32"/>
        </w:rPr>
      </w:pPr>
      <w:r w:rsidRPr="00793AC4">
        <w:rPr>
          <w:rFonts w:ascii="Times New Roman" w:eastAsia="Avenir Next LT Pro" w:hAnsi="Times New Roman" w:cs="Times New Roman"/>
          <w:b/>
          <w:bCs/>
          <w:color w:val="000000" w:themeColor="text1"/>
          <w:sz w:val="28"/>
          <w:szCs w:val="28"/>
        </w:rPr>
        <w:t>Leadership</w:t>
      </w:r>
    </w:p>
    <w:p w14:paraId="6BAC3B25" w14:textId="7C9AB78D" w:rsidR="00C940D4" w:rsidRPr="00793AC4" w:rsidRDefault="00C37813" w:rsidP="00C2361D">
      <w:pPr>
        <w:tabs>
          <w:tab w:val="right" w:pos="10632"/>
        </w:tabs>
        <w:spacing w:before="2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Tether</w:t>
      </w:r>
      <w:r w:rsidR="00A74698" w:rsidRPr="00793AC4"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  <w:t xml:space="preserve"> 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 xml:space="preserve">– </w:t>
      </w: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Co</w:t>
      </w:r>
      <w:r w:rsidR="00A74698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-F</w:t>
      </w: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ounder</w:t>
      </w:r>
      <w:r w:rsidR="004675C1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, CEO</w:t>
      </w:r>
      <w:r w:rsidR="00C940D4"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ab/>
      </w:r>
      <w:hyperlink r:id="rId10" w:history="1">
        <w:proofErr w:type="spellStart"/>
        <w:r w:rsidR="00C940D4" w:rsidRPr="00793AC4">
          <w:rPr>
            <w:rStyle w:val="Hyperlink"/>
            <w:rFonts w:ascii="Times New Roman" w:eastAsia="Avenir Next LT Pro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jointether.app</w:t>
        </w:r>
        <w:proofErr w:type="spellEnd"/>
      </w:hyperlink>
      <w:r w:rsidR="00793AC4">
        <w:rPr>
          <w:rStyle w:val="Hyperlink"/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  <w:u w:val="none"/>
        </w:rPr>
        <w:t xml:space="preserve"> | Aug 2023 - Present</w:t>
      </w:r>
    </w:p>
    <w:p w14:paraId="75810DE9" w14:textId="544E8A41" w:rsidR="00DB4C1C" w:rsidRPr="00793AC4" w:rsidRDefault="00DB4C1C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L</w:t>
      </w:r>
      <w:r w:rsidR="004675C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ead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ing</w:t>
      </w:r>
      <w:r w:rsidR="004675C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 team of </w:t>
      </w:r>
      <w:r w:rsidR="00220CED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6</w:t>
      </w:r>
      <w:r w:rsidR="004675C1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incredible engineers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as we build the homepage for long distance relationships, available for free on iOS.</w:t>
      </w:r>
    </w:p>
    <w:p w14:paraId="52A55FF1" w14:textId="323D2860" w:rsidR="00DB4C1C" w:rsidRPr="00793AC4" w:rsidRDefault="00DB4C1C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Responsible for growth, product direction, user research, and overseeing our engineering efforts.</w:t>
      </w:r>
    </w:p>
    <w:p w14:paraId="574F626F" w14:textId="38918380" w:rsidR="00C37813" w:rsidRPr="00793AC4" w:rsidRDefault="00C37813" w:rsidP="005968F3">
      <w:pPr>
        <w:tabs>
          <w:tab w:val="right" w:pos="10632"/>
        </w:tabs>
        <w:spacing w:before="10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Waterloo Software</w:t>
      </w:r>
      <w:r w:rsidRPr="00793AC4"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  <w:t xml:space="preserve"> Engineering Society</w:t>
      </w:r>
      <w:r w:rsidRPr="00793AC4">
        <w:rPr>
          <w:rStyle w:val="Hyperlink"/>
          <w:rFonts w:ascii="Times New Roman" w:eastAsia="Avenir Next LT Pro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 xml:space="preserve">– </w:t>
      </w:r>
      <w:r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President</w:t>
      </w:r>
      <w:r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ab/>
      </w:r>
      <w:hyperlink r:id="rId11" w:history="1">
        <w:r w:rsidRPr="00793AC4">
          <w:rPr>
            <w:rStyle w:val="Hyperlink"/>
            <w:rFonts w:ascii="Times New Roman" w:eastAsia="Avenir Next LT Pro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sesoc.uwaterloo.ca</w:t>
        </w:r>
      </w:hyperlink>
      <w:r w:rsidR="00793AC4">
        <w:rPr>
          <w:rStyle w:val="Hyperlink"/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  <w:u w:val="none"/>
        </w:rPr>
        <w:t xml:space="preserve"> | Sept 2019 – Apr 2024</w:t>
      </w:r>
    </w:p>
    <w:p w14:paraId="1B8015DE" w14:textId="4F147D5A" w:rsidR="00C37813" w:rsidRPr="00793AC4" w:rsidRDefault="00DB4C1C" w:rsidP="00C3781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Proposed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and deliver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ed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changes in our academic curriculum,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taught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the introductory software engineering seminar course (SE102), and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led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an amazing team </w:t>
      </w:r>
      <w:r w:rsidR="00584C5F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of students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that plans sports competitions,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recreational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events, interview workshops</w:t>
      </w:r>
      <w:r w:rsidR="00CA3EFE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, and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resume critiques</w:t>
      </w:r>
      <w:r w:rsidR="00CA3EFE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for 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over 600 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Software Engineering students</w:t>
      </w:r>
      <w:r w:rsidR="00A74698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.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 xml:space="preserve"> </w:t>
      </w:r>
      <w:r w:rsidR="00584C5F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I p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reviously served as Vice President.</w:t>
      </w:r>
    </w:p>
    <w:p w14:paraId="0CBA71A1" w14:textId="492B7BF7" w:rsidR="00F30529" w:rsidRPr="00793AC4" w:rsidRDefault="00C940D4" w:rsidP="005968F3">
      <w:pPr>
        <w:tabs>
          <w:tab w:val="right" w:pos="10632"/>
        </w:tabs>
        <w:spacing w:before="100" w:after="0" w:line="240" w:lineRule="auto"/>
        <w:ind w:left="-142"/>
        <w:rPr>
          <w:rFonts w:ascii="Times New Roman" w:eastAsia="Avenir Next LT Pro" w:hAnsi="Times New Roman" w:cs="Times New Roman"/>
          <w:color w:val="000000" w:themeColor="text1"/>
          <w:sz w:val="24"/>
          <w:szCs w:val="24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Waterloo</w:t>
      </w:r>
      <w:r w:rsidR="00F30529"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 xml:space="preserve"> Aqua</w:t>
      </w:r>
      <w:r w:rsidR="00C37813"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tic D</w:t>
      </w:r>
      <w:r w:rsidR="00F30529" w:rsidRPr="00793AC4">
        <w:rPr>
          <w:rFonts w:ascii="Times New Roman" w:eastAsia="Avenir Next LT Pro" w:hAnsi="Times New Roman" w:cs="Times New Roman"/>
          <w:color w:val="000000" w:themeColor="text1"/>
          <w:sz w:val="26"/>
          <w:szCs w:val="26"/>
        </w:rPr>
        <w:t>rone</w:t>
      </w:r>
      <w:r w:rsidR="00C37813" w:rsidRPr="00793AC4">
        <w:rPr>
          <w:rStyle w:val="Hyperlink"/>
          <w:rFonts w:ascii="Times New Roman" w:eastAsia="Avenir Next LT Pro" w:hAnsi="Times New Roman" w:cs="Times New Roman"/>
          <w:color w:val="000000" w:themeColor="text1"/>
          <w:sz w:val="26"/>
          <w:szCs w:val="26"/>
          <w:u w:val="none"/>
        </w:rPr>
        <w:t xml:space="preserve"> Design Team</w:t>
      </w:r>
      <w:r w:rsidR="00F30529"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 xml:space="preserve"> </w:t>
      </w:r>
      <w:r w:rsidR="00196C6C"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>–</w:t>
      </w:r>
      <w:r w:rsid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 xml:space="preserve"> </w:t>
      </w:r>
      <w:r w:rsidR="00793AC4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 xml:space="preserve">Vision </w:t>
      </w:r>
      <w:r w:rsidR="00DB4C1C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 xml:space="preserve">Team </w:t>
      </w:r>
      <w:r w:rsidR="00C37813" w:rsidRPr="005968F3">
        <w:rPr>
          <w:rFonts w:ascii="Times New Roman" w:eastAsia="Avenir Next LT Pro" w:hAnsi="Times New Roman" w:cs="Times New Roman"/>
          <w:i/>
          <w:iCs/>
          <w:color w:val="000000" w:themeColor="text1"/>
          <w:sz w:val="23"/>
          <w:szCs w:val="23"/>
        </w:rPr>
        <w:t>Lead</w:t>
      </w:r>
      <w:r w:rsidR="00F30529" w:rsidRPr="00793AC4">
        <w:rPr>
          <w:rFonts w:ascii="Times New Roman" w:eastAsia="Avenir Next LT Pro" w:hAnsi="Times New Roman" w:cs="Times New Roman"/>
          <w:color w:val="000000" w:themeColor="text1"/>
          <w:sz w:val="21"/>
          <w:szCs w:val="21"/>
        </w:rPr>
        <w:tab/>
      </w:r>
      <w:hyperlink r:id="rId12" w:history="1">
        <w:r w:rsidR="00F30529" w:rsidRPr="00793AC4">
          <w:rPr>
            <w:rStyle w:val="Hyperlink"/>
            <w:rFonts w:ascii="Times New Roman" w:eastAsia="Avenir Next LT Pro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github.com/waterloo-aquadrone</w:t>
        </w:r>
      </w:hyperlink>
      <w:r w:rsidR="00793AC4">
        <w:rPr>
          <w:rStyle w:val="Hyperlink"/>
          <w:rFonts w:ascii="Times New Roman" w:eastAsia="Avenir Next LT Pro" w:hAnsi="Times New Roman" w:cs="Times New Roman"/>
          <w:b/>
          <w:bCs/>
          <w:color w:val="000000" w:themeColor="text1"/>
          <w:sz w:val="18"/>
          <w:szCs w:val="18"/>
          <w:u w:val="none"/>
        </w:rPr>
        <w:t xml:space="preserve"> | Sept 2019 – Dec 2023</w:t>
      </w:r>
    </w:p>
    <w:p w14:paraId="777D2702" w14:textId="1B233C8B" w:rsidR="00173D56" w:rsidRPr="00793AC4" w:rsidRDefault="00A7469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Led a team of developers on the computer vision team to build cognitive neural networks for underwater object recognition</w:t>
      </w:r>
      <w:r w:rsidR="001E4083"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.</w:t>
      </w:r>
    </w:p>
    <w:p w14:paraId="11DE7E11" w14:textId="12A108CD" w:rsidR="0061556D" w:rsidRPr="0061556D" w:rsidRDefault="00A74698" w:rsidP="0061556D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</w:pP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Wrote data augmentation frameworks to collect training data for real-time image classifiers so our drone could “</w:t>
      </w:r>
      <w:r w:rsidRPr="00793AC4">
        <w:rPr>
          <w:rFonts w:ascii="Times New Roman" w:eastAsia="Avenir Next LT Pro" w:hAnsi="Times New Roman" w:cs="Times New Roman"/>
          <w:i/>
          <w:iCs/>
          <w:color w:val="000000" w:themeColor="text1"/>
          <w:sz w:val="20"/>
          <w:szCs w:val="20"/>
        </w:rPr>
        <w:t>see</w:t>
      </w:r>
      <w:r w:rsidRPr="00793AC4">
        <w:rPr>
          <w:rFonts w:ascii="Times New Roman" w:eastAsia="Avenir Next LT Pro" w:hAnsi="Times New Roman" w:cs="Times New Roman"/>
          <w:color w:val="000000" w:themeColor="text1"/>
          <w:sz w:val="20"/>
          <w:szCs w:val="20"/>
        </w:rPr>
        <w:t>.”</w:t>
      </w:r>
    </w:p>
    <w:sectPr w:rsidR="0061556D" w:rsidRPr="0061556D" w:rsidSect="00F6585B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640.15pt;height:641.2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3893"/>
    <w:rsid w:val="000767A3"/>
    <w:rsid w:val="00091747"/>
    <w:rsid w:val="0009460F"/>
    <w:rsid w:val="000A543A"/>
    <w:rsid w:val="000B1A68"/>
    <w:rsid w:val="000D45FD"/>
    <w:rsid w:val="000D6618"/>
    <w:rsid w:val="000E2232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837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0C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502A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3A9E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43B03"/>
    <w:rsid w:val="0045178C"/>
    <w:rsid w:val="00453D6B"/>
    <w:rsid w:val="0046375A"/>
    <w:rsid w:val="004675C1"/>
    <w:rsid w:val="004826B8"/>
    <w:rsid w:val="00483F72"/>
    <w:rsid w:val="0048546D"/>
    <w:rsid w:val="004904DB"/>
    <w:rsid w:val="00494C65"/>
    <w:rsid w:val="004A475D"/>
    <w:rsid w:val="004A6DEF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0202A"/>
    <w:rsid w:val="00507FF8"/>
    <w:rsid w:val="00515619"/>
    <w:rsid w:val="0051572D"/>
    <w:rsid w:val="0051680C"/>
    <w:rsid w:val="00521F1F"/>
    <w:rsid w:val="005303D2"/>
    <w:rsid w:val="005319E6"/>
    <w:rsid w:val="00535F93"/>
    <w:rsid w:val="00536A9A"/>
    <w:rsid w:val="005409A4"/>
    <w:rsid w:val="00541140"/>
    <w:rsid w:val="005442CD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84C5F"/>
    <w:rsid w:val="0059422C"/>
    <w:rsid w:val="0059539F"/>
    <w:rsid w:val="005961B4"/>
    <w:rsid w:val="005968F3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556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6928"/>
    <w:rsid w:val="006D7565"/>
    <w:rsid w:val="006E0BC6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3719F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7781B"/>
    <w:rsid w:val="00780B71"/>
    <w:rsid w:val="00782950"/>
    <w:rsid w:val="00784046"/>
    <w:rsid w:val="00784CD7"/>
    <w:rsid w:val="00785001"/>
    <w:rsid w:val="0078746D"/>
    <w:rsid w:val="00793AC4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B7C85"/>
    <w:rsid w:val="008C1943"/>
    <w:rsid w:val="008C2815"/>
    <w:rsid w:val="008C6B53"/>
    <w:rsid w:val="008E00EA"/>
    <w:rsid w:val="008E691B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67FFB"/>
    <w:rsid w:val="009710E8"/>
    <w:rsid w:val="0097268B"/>
    <w:rsid w:val="00987400"/>
    <w:rsid w:val="009A0A4D"/>
    <w:rsid w:val="009A1F27"/>
    <w:rsid w:val="009A5FBA"/>
    <w:rsid w:val="009B259B"/>
    <w:rsid w:val="009B300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12E97"/>
    <w:rsid w:val="00A256CF"/>
    <w:rsid w:val="00A27B86"/>
    <w:rsid w:val="00A33B17"/>
    <w:rsid w:val="00A34D3B"/>
    <w:rsid w:val="00A42794"/>
    <w:rsid w:val="00A50592"/>
    <w:rsid w:val="00A641D7"/>
    <w:rsid w:val="00A64AD3"/>
    <w:rsid w:val="00A730C5"/>
    <w:rsid w:val="00A74698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B17CA"/>
    <w:rsid w:val="00AC61BF"/>
    <w:rsid w:val="00AD2D9D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53B05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09E2"/>
    <w:rsid w:val="00BA4531"/>
    <w:rsid w:val="00BB2AC0"/>
    <w:rsid w:val="00BB33F8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2361D"/>
    <w:rsid w:val="00C32EF0"/>
    <w:rsid w:val="00C33E77"/>
    <w:rsid w:val="00C37813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940D4"/>
    <w:rsid w:val="00CA3EFE"/>
    <w:rsid w:val="00CA66C8"/>
    <w:rsid w:val="00CA6A38"/>
    <w:rsid w:val="00CB0E09"/>
    <w:rsid w:val="00CB2187"/>
    <w:rsid w:val="00CB3F4E"/>
    <w:rsid w:val="00CB7303"/>
    <w:rsid w:val="00CC11BD"/>
    <w:rsid w:val="00CC5969"/>
    <w:rsid w:val="00CC62F6"/>
    <w:rsid w:val="00CC757B"/>
    <w:rsid w:val="00CD2237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32B9E"/>
    <w:rsid w:val="00D42D9E"/>
    <w:rsid w:val="00D614EC"/>
    <w:rsid w:val="00D6594B"/>
    <w:rsid w:val="00D76852"/>
    <w:rsid w:val="00D84F45"/>
    <w:rsid w:val="00D90DF7"/>
    <w:rsid w:val="00DA18B3"/>
    <w:rsid w:val="00DA2DBB"/>
    <w:rsid w:val="00DA4462"/>
    <w:rsid w:val="00DB0EE8"/>
    <w:rsid w:val="00DB275E"/>
    <w:rsid w:val="00DB4C1C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00C"/>
    <w:rsid w:val="00E54875"/>
    <w:rsid w:val="00E61226"/>
    <w:rsid w:val="00E622A6"/>
    <w:rsid w:val="00E634E2"/>
    <w:rsid w:val="00E71AC9"/>
    <w:rsid w:val="00E74150"/>
    <w:rsid w:val="00E75BAB"/>
    <w:rsid w:val="00E847F8"/>
    <w:rsid w:val="00E86053"/>
    <w:rsid w:val="00E86648"/>
    <w:rsid w:val="00E87EFE"/>
    <w:rsid w:val="00E90D02"/>
    <w:rsid w:val="00E9238A"/>
    <w:rsid w:val="00E9543A"/>
    <w:rsid w:val="00EA027B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0EBB"/>
    <w:rsid w:val="00F0146A"/>
    <w:rsid w:val="00F062FE"/>
    <w:rsid w:val="00F06F3D"/>
    <w:rsid w:val="00F15D1B"/>
    <w:rsid w:val="00F21627"/>
    <w:rsid w:val="00F22A70"/>
    <w:rsid w:val="00F30529"/>
    <w:rsid w:val="00F30B01"/>
    <w:rsid w:val="00F45D01"/>
    <w:rsid w:val="00F62004"/>
    <w:rsid w:val="00F6469F"/>
    <w:rsid w:val="00F6585B"/>
    <w:rsid w:val="00F6650C"/>
    <w:rsid w:val="00F721A2"/>
    <w:rsid w:val="00F7317A"/>
    <w:rsid w:val="00F73EF9"/>
    <w:rsid w:val="00F77751"/>
    <w:rsid w:val="00F92498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://www.github.com/waterloo-aquadr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sesoc.uwaterloo.ca/" TargetMode="External"/><Relationship Id="rId5" Type="http://schemas.openxmlformats.org/officeDocument/2006/relationships/hyperlink" Target="mailto:yasharora0606@gmail.com" TargetMode="External"/><Relationship Id="rId10" Type="http://schemas.openxmlformats.org/officeDocument/2006/relationships/hyperlink" Target="https://jointeth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drogen.shopify.dev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48</cp:revision>
  <cp:lastPrinted>2022-01-16T21:49:00Z</cp:lastPrinted>
  <dcterms:created xsi:type="dcterms:W3CDTF">2023-05-30T19:26:00Z</dcterms:created>
  <dcterms:modified xsi:type="dcterms:W3CDTF">2024-04-16T19:51:00Z</dcterms:modified>
</cp:coreProperties>
</file>