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Chess-to-PGN: Model Evaluation Report</w:t>
      </w:r>
    </w:p>
    <w:p>
      <w:pPr>
        <w:jc w:val="center"/>
      </w:pPr>
      <w:r>
        <w:rPr>
          <w:i/>
          <w:color w:val="555555"/>
          <w:sz w:val="24"/>
        </w:rPr>
        <w:t>ChessPieceCNN Patch Classifier — Test Set Results &amp; Visualizations</w:t>
      </w:r>
    </w:p>
    <w:p/>
    <w:p>
      <w:pPr>
        <w:pStyle w:val="Heading1"/>
        <w:jc w:val="left"/>
      </w:pPr>
      <w:r>
        <w:rPr>
          <w:color w:val="1F497D"/>
        </w:rPr>
        <w:t>1. Project Overview</w:t>
      </w:r>
    </w:p>
    <w:p>
      <w:pPr>
        <w:spacing w:after="120"/>
      </w:pPr>
      <w:r>
        <w:rPr>
          <w:sz w:val="22"/>
        </w:rPr>
        <w:t>The Chess-to-PGN system automatically reconstructs a PGN (Portable Game Notation) record of an over-the-board chess game from a sequence of board photographs. The pipeline consists of four stages:</w:t>
      </w:r>
    </w:p>
    <w:p>
      <w:pPr>
        <w:pStyle w:val="ListBullet"/>
        <w:spacing w:after="60"/>
      </w:pPr>
      <w:r>
        <w:rPr>
          <w:b/>
          <w:sz w:val="22"/>
        </w:rPr>
        <w:t>Board capture:</w:t>
      </w:r>
      <w:r>
        <w:rPr>
          <w:sz w:val="22"/>
        </w:rPr>
        <w:t xml:space="preserve"> A webcam or camera photographs the board after each move.</w:t>
      </w:r>
    </w:p>
    <w:p>
      <w:pPr>
        <w:pStyle w:val="ListBullet"/>
        <w:spacing w:after="60"/>
      </w:pPr>
      <w:r>
        <w:rPr>
          <w:b/>
          <w:sz w:val="22"/>
        </w:rPr>
        <w:t>Piece classification:</w:t>
      </w:r>
      <w:r>
        <w:rPr>
          <w:sz w:val="22"/>
        </w:rPr>
        <w:t xml:space="preserve"> Our ChessPieceCNN model classifies each of the 64 squares independently from cropped 50×50 pixel patches.</w:t>
      </w:r>
    </w:p>
    <w:p>
      <w:pPr>
        <w:pStyle w:val="ListBullet"/>
        <w:spacing w:after="60"/>
      </w:pPr>
      <w:r>
        <w:rPr>
          <w:b/>
          <w:sz w:val="22"/>
        </w:rPr>
        <w:t>Move detection:</w:t>
      </w:r>
      <w:r>
        <w:rPr>
          <w:sz w:val="22"/>
        </w:rPr>
        <w:t xml:space="preserve"> A three-tier feedback pipeline (exact match → low-confidence correction → consensus re-sync) converts consecutive board states into legal chess moves.</w:t>
      </w:r>
    </w:p>
    <w:p>
      <w:pPr>
        <w:pStyle w:val="ListBullet"/>
        <w:spacing w:after="60"/>
      </w:pPr>
      <w:r>
        <w:rPr>
          <w:b/>
          <w:sz w:val="22"/>
        </w:rPr>
        <w:t>PGN generation:</w:t>
      </w:r>
      <w:r>
        <w:rPr>
          <w:sz w:val="22"/>
        </w:rPr>
        <w:t xml:space="preserve"> Detected moves are assembled into a valid PGN file, with confidence annotations (? = unsure, ?? = consensus-recovered).</w:t>
      </w:r>
    </w:p>
    <w:p/>
    <w:p>
      <w:pPr>
        <w:pStyle w:val="Heading1"/>
        <w:jc w:val="left"/>
      </w:pPr>
      <w:r>
        <w:rPr>
          <w:color w:val="1F497D"/>
        </w:rPr>
        <w:t>2. Classifier Architecture</w:t>
      </w:r>
    </w:p>
    <w:p>
      <w:pPr>
        <w:spacing w:after="120"/>
      </w:pPr>
      <w:r>
        <w:rPr>
          <w:sz w:val="22"/>
        </w:rPr>
        <w:t>The ChessPieceCNN is a custom residual convolutional neural network trained from scratch on 92,288 labelled square patches extracted from the ChessReD dataset (10,800 real game photographs). Key characteristics:</w:t>
      </w:r>
    </w:p>
    <w:p>
      <w:pPr>
        <w:pStyle w:val="ListBullet"/>
        <w:spacing w:after="60"/>
      </w:pPr>
      <w:r>
        <w:rPr>
          <w:sz w:val="22"/>
        </w:rPr>
        <w:t>Input: 50×50 RGB patch of a single board square</w:t>
      </w:r>
    </w:p>
    <w:p>
      <w:pPr>
        <w:pStyle w:val="ListBullet"/>
        <w:spacing w:after="60"/>
      </w:pPr>
      <w:r>
        <w:rPr>
          <w:sz w:val="22"/>
        </w:rPr>
        <w:t>13 output classes: empty, P, N, B, R, Q, K (white) and p, n, b, r, q, k (black)</w:t>
      </w:r>
    </w:p>
    <w:p>
      <w:pPr>
        <w:pStyle w:val="ListBullet"/>
        <w:spacing w:after="60"/>
      </w:pPr>
      <w:r>
        <w:rPr>
          <w:sz w:val="22"/>
        </w:rPr>
        <w:t>Architecture: 3 residual blocks with batch normalisation + dropout, global average pooling, fully-connected head</w:t>
      </w:r>
    </w:p>
    <w:p>
      <w:pPr>
        <w:pStyle w:val="ListBullet"/>
        <w:spacing w:after="60"/>
      </w:pPr>
      <w:r>
        <w:rPr>
          <w:sz w:val="22"/>
        </w:rPr>
        <w:t>4.8 M trainable parameters</w:t>
      </w:r>
    </w:p>
    <w:p>
      <w:pPr>
        <w:pStyle w:val="ListBullet"/>
        <w:spacing w:after="60"/>
      </w:pPr>
      <w:r>
        <w:rPr>
          <w:sz w:val="22"/>
        </w:rPr>
        <w:t>Trained for 30 epochs with cosine annealing LR schedule; best validation accuracy: 95.39%</w:t>
      </w:r>
    </w:p>
    <w:p>
      <w:pPr>
        <w:pStyle w:val="ListBullet"/>
        <w:spacing w:after="60"/>
      </w:pPr>
      <w:r>
        <w:rPr>
          <w:sz w:val="22"/>
        </w:rPr>
        <w:t>Square patches are obtained via perspective-warp using corner annotations (ChessReD) or the calibration grid (live capture)</w:t>
      </w:r>
    </w:p>
    <w:p/>
    <w:p>
      <w:pPr>
        <w:pStyle w:val="Heading1"/>
        <w:jc w:val="left"/>
      </w:pPr>
      <w:r>
        <w:rPr>
          <w:color w:val="1F497D"/>
        </w:rPr>
        <w:t>3. Summary Statistics</w:t>
      </w:r>
    </w:p>
    <w:p>
      <w:pPr>
        <w:spacing w:after="120"/>
      </w:pPr>
      <w:r>
        <w:rPr>
          <w:sz w:val="22"/>
        </w:rPr>
        <w:t>Results on three test games (302 frames total, games 0, 33, and 76 from the ChessReD test split):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Game 0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Game 33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Game 76</w:t>
            </w:r>
          </w:p>
        </w:tc>
      </w:tr>
      <w:tr>
        <w:tc>
          <w:tcPr>
            <w:tcW w:type="dxa" w:w="2351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Avg square accuracy</w:t>
            </w:r>
          </w:p>
        </w:tc>
        <w:tc>
          <w:tcPr>
            <w:tcW w:type="dxa" w:w="2351"/>
            <w:shd w:val="clear" w:color="auto" w:fill="DCE6F1"/>
          </w:tcPr>
          <w:p>
            <w:pPr>
              <w:jc w:val="center"/>
            </w:pPr>
            <w:r>
              <w:rPr>
                <w:sz w:val="20"/>
              </w:rPr>
              <w:t>87.1%</w:t>
            </w:r>
          </w:p>
        </w:tc>
        <w:tc>
          <w:tcPr>
            <w:tcW w:type="dxa" w:w="2351"/>
            <w:shd w:val="clear" w:color="auto" w:fill="DCE6F1"/>
          </w:tcPr>
          <w:p>
            <w:pPr>
              <w:jc w:val="center"/>
            </w:pPr>
            <w:r>
              <w:rPr>
                <w:sz w:val="20"/>
              </w:rPr>
              <w:t>83.0%</w:t>
            </w:r>
          </w:p>
        </w:tc>
        <w:tc>
          <w:tcPr>
            <w:tcW w:type="dxa" w:w="2351"/>
            <w:shd w:val="clear" w:color="auto" w:fill="DCE6F1"/>
          </w:tcPr>
          <w:p>
            <w:pPr>
              <w:jc w:val="center"/>
            </w:pPr>
            <w:r>
              <w:rPr>
                <w:sz w:val="20"/>
              </w:rPr>
              <w:t>84.4%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Frames ≥90% accuracy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31/101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18/101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20/100</w:t>
            </w:r>
          </w:p>
        </w:tc>
      </w:tr>
      <w:tr>
        <w:tc>
          <w:tcPr>
            <w:tcW w:type="dxa" w:w="2351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Moves detected</w:t>
            </w:r>
          </w:p>
        </w:tc>
        <w:tc>
          <w:tcPr>
            <w:tcW w:type="dxa" w:w="2351"/>
            <w:shd w:val="clear" w:color="auto" w:fill="DCE6F1"/>
          </w:tcPr>
          <w:p>
            <w:pPr>
              <w:jc w:val="center"/>
            </w:pPr>
            <w:r>
              <w:rPr>
                <w:sz w:val="20"/>
              </w:rPr>
              <w:t>49/100</w:t>
            </w:r>
          </w:p>
        </w:tc>
        <w:tc>
          <w:tcPr>
            <w:tcW w:type="dxa" w:w="2351"/>
            <w:shd w:val="clear" w:color="auto" w:fill="DCE6F1"/>
          </w:tcPr>
          <w:p>
            <w:pPr>
              <w:jc w:val="center"/>
            </w:pPr>
            <w:r>
              <w:rPr>
                <w:sz w:val="20"/>
              </w:rPr>
              <w:t>40/100</w:t>
            </w:r>
          </w:p>
        </w:tc>
        <w:tc>
          <w:tcPr>
            <w:tcW w:type="dxa" w:w="2351"/>
            <w:shd w:val="clear" w:color="auto" w:fill="DCE6F1"/>
          </w:tcPr>
          <w:p>
            <w:pPr>
              <w:jc w:val="center"/>
            </w:pPr>
            <w:r>
              <w:rPr>
                <w:sz w:val="20"/>
              </w:rPr>
              <w:t>44/99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Move detection rate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49%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40%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44%</w:t>
            </w:r>
          </w:p>
        </w:tc>
      </w:tr>
    </w:tbl>
    <w:p/>
    <w:p>
      <w:pPr>
        <w:spacing w:after="120"/>
      </w:pPr>
      <w:r>
        <w:rPr>
          <w:sz w:val="22"/>
        </w:rPr>
        <w:t>Overall: 84.4% mean square accuracy across all frames, 22.8% of frames achieving ≥90% accuracy, and 44.5% move detection rate (133 / 299 potential moves reconstructed). These results reflect the model trained on the ChessReD public dataset; a custom dataset is currently being collected to improve generalisation.</w:t>
      </w:r>
    </w:p>
    <w:p/>
    <w:p>
      <w:pPr>
        <w:pStyle w:val="Heading1"/>
        <w:jc w:val="left"/>
      </w:pPr>
      <w:r>
        <w:rPr>
          <w:color w:val="1F497D"/>
        </w:rPr>
        <w:t>4. Visualizations &amp; Interpretation</w:t>
      </w:r>
    </w:p>
    <w:p>
      <w:pPr>
        <w:pStyle w:val="Heading2"/>
        <w:jc w:val="left"/>
      </w:pPr>
      <w:r>
        <w:rPr>
          <w:color w:val="1F497D"/>
        </w:rPr>
        <w:t>4.1  Per-Frame Square Accuracy</w:t>
      </w:r>
    </w:p>
    <w:p>
      <w:pPr>
        <w:spacing w:after="120"/>
      </w:pPr>
      <w:r>
        <w:rPr>
          <w:sz w:val="22"/>
        </w:rPr>
        <w:t>The line charts below show the square-level classification accuracy for every frame in each test game. Background shading indicates the game phase (green = opening, orange = middlegame, purple = endgame). Each point is colour-coded by phase. The dashed grey line marks the 90% accuracy target; the dotted blue line shows the per-game mean.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3455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uracy_per_fra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455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9"/>
        </w:rPr>
        <w:t>Figure 1 — Per-frame square accuracy for Games 0, 33, and 76. Shading shows game phase; each point is colour-coded accordingly.</w:t>
      </w:r>
    </w:p>
    <w:p>
      <w:pPr>
        <w:spacing w:after="120"/>
      </w:pPr>
      <w:r>
        <w:rPr>
          <w:sz w:val="22"/>
        </w:rPr>
        <w:t>Key observations:</w:t>
      </w:r>
    </w:p>
    <w:p>
      <w:pPr>
        <w:pStyle w:val="ListBullet"/>
        <w:spacing w:after="60"/>
      </w:pPr>
      <w:r>
        <w:rPr>
          <w:sz w:val="22"/>
        </w:rPr>
        <w:t>Game 0 achieves the best overall accuracy (87.1% mean). The opening phase is consistently strong (&gt;93%), but accuracy drops visibly in the middlegame and several endgame frames see notable dips — likely caused by piece-capture ambiguity and board clutter.</w:t>
      </w:r>
    </w:p>
    <w:p>
      <w:pPr>
        <w:pStyle w:val="ListBullet"/>
        <w:spacing w:after="60"/>
      </w:pPr>
      <w:r>
        <w:rPr>
          <w:sz w:val="22"/>
        </w:rPr>
        <w:t>Games 33 and 76 show higher frame-to-frame variance and a clearer accuracy decline as the game progresses. Some frames fall below 65%, reflecting cases where perspective or lighting conditions were particularly challenging for the ChessReD-trained model.</w:t>
      </w:r>
    </w:p>
    <w:p>
      <w:pPr>
        <w:pStyle w:val="ListBullet"/>
        <w:spacing w:after="60"/>
      </w:pPr>
      <w:r>
        <w:rPr>
          <w:sz w:val="22"/>
        </w:rPr>
        <w:t>The general downward trend from opening to endgame across all games indicates the model has room for improvement on complex mid/end-game positions — the primary motivation for building a custom training dataset.</w:t>
      </w:r>
    </w:p>
    <w:p/>
    <w:p>
      <w:pPr>
        <w:pStyle w:val="Heading2"/>
        <w:jc w:val="left"/>
      </w:pPr>
      <w:r>
        <w:rPr>
          <w:color w:val="1F497D"/>
        </w:rPr>
        <w:t>4.2  Accuracy by Game Phase</w:t>
      </w:r>
    </w:p>
    <w:p>
      <w:pPr>
        <w:spacing w:after="120"/>
      </w:pPr>
      <w:r>
        <w:rPr>
          <w:sz w:val="22"/>
        </w:rPr>
        <w:t>This chart aggregates all 302 frames into three game phases and reports the mean accuracy with ±1 standard deviation error bars.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497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_phase_accura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49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9"/>
        </w:rPr>
        <w:t>Figure 2 — Mean square accuracy grouped by game phase. Error bars show ±1 standard deviation.</w:t>
      </w:r>
    </w:p>
    <w:p>
      <w:pPr>
        <w:spacing w:after="120"/>
      </w:pPr>
      <w:r>
        <w:rPr>
          <w:sz w:val="22"/>
        </w:rPr>
        <w:t>Key observations:</w:t>
      </w:r>
    </w:p>
    <w:p>
      <w:pPr>
        <w:pStyle w:val="ListBullet"/>
        <w:spacing w:after="60"/>
      </w:pPr>
      <w:r>
        <w:rPr>
          <w:b/>
          <w:sz w:val="22"/>
        </w:rPr>
        <w:t>Opening (0–7 squares changed):</w:t>
      </w:r>
      <w:r>
        <w:rPr>
          <w:sz w:val="22"/>
        </w:rPr>
        <w:t xml:space="preserve"> Highest accuracy at 94.6%. The board is dense and close to the starting position; most pieces are on expected squares, making classification straightforward. This is where the ChessReD-trained model performs most reliably.</w:t>
      </w:r>
    </w:p>
    <w:p>
      <w:pPr>
        <w:pStyle w:val="ListBullet"/>
        <w:spacing w:after="60"/>
      </w:pPr>
      <w:r>
        <w:rPr>
          <w:b/>
          <w:sz w:val="22"/>
        </w:rPr>
        <w:t>Middlegame (8–19 squares changed):</w:t>
      </w:r>
      <w:r>
        <w:rPr>
          <w:sz w:val="22"/>
        </w:rPr>
        <w:t xml:space="preserve"> Accuracy drops to 84.5% with noticeably higher variance. Pieces have dispersed to unusual squares, more captures have occurred, and empty squares increase — all conditions less well-represented in the training data.</w:t>
      </w:r>
    </w:p>
    <w:p>
      <w:pPr>
        <w:pStyle w:val="ListBullet"/>
        <w:spacing w:after="60"/>
      </w:pPr>
      <w:r>
        <w:rPr>
          <w:b/>
          <w:sz w:val="22"/>
        </w:rPr>
        <w:t>Endgame (20+ squares changed):</w:t>
      </w:r>
      <w:r>
        <w:rPr>
          <w:sz w:val="22"/>
        </w:rPr>
        <w:t xml:space="preserve"> Lowest accuracy at 81.8%, with the widest spread. Fewer pieces and more empty squares create ambiguity; the model sometimes confuses distant isolated pieces. This phase benefits most from a custom, endgame-focused training set.</w:t>
      </w:r>
    </w:p>
    <w:p/>
    <w:p>
      <w:pPr>
        <w:pStyle w:val="Heading2"/>
        <w:jc w:val="left"/>
      </w:pPr>
      <w:r>
        <w:rPr>
          <w:color w:val="1F497D"/>
        </w:rPr>
        <w:t>4.3  Move Detection Breakdown</w:t>
      </w:r>
    </w:p>
    <w:p>
      <w:pPr>
        <w:spacing w:after="120"/>
      </w:pPr>
      <w:r>
        <w:rPr>
          <w:sz w:val="22"/>
        </w:rPr>
        <w:t>Each frame transition (N frames → N−1 moves) passes through our three-tier detection pipeline. The stacked bar chart shows how moves are classified per game.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625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ve_detec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2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9"/>
        </w:rPr>
        <w:t>Figure 3 — Move detection breakdown per game. Labels show total detected / potential moves and the detection rate.</w:t>
      </w:r>
    </w:p>
    <w:p>
      <w:pPr>
        <w:spacing w:after="120"/>
      </w:pPr>
      <w:r>
        <w:rPr>
          <w:sz w:val="22"/>
        </w:rPr>
        <w:t>The four detection outcomes are:</w:t>
      </w:r>
    </w:p>
    <w:p>
      <w:pPr>
        <w:pStyle w:val="ListBullet"/>
        <w:spacing w:after="60"/>
      </w:pPr>
      <w:r>
        <w:rPr>
          <w:b/>
          <w:sz w:val="22"/>
        </w:rPr>
        <w:t>Sure (green):</w:t>
      </w:r>
      <w:r>
        <w:rPr>
          <w:sz w:val="22"/>
        </w:rPr>
        <w:t xml:space="preserve"> The predicted board state after the move exactly matches a legal position. No corrections needed.</w:t>
      </w:r>
    </w:p>
    <w:p>
      <w:pPr>
        <w:pStyle w:val="ListBullet"/>
        <w:spacing w:after="60"/>
      </w:pPr>
      <w:r>
        <w:rPr>
          <w:b/>
          <w:sz w:val="22"/>
        </w:rPr>
        <w:t>Unsure — feedback corrected (orange):</w:t>
      </w:r>
      <w:r>
        <w:rPr>
          <w:sz w:val="22"/>
        </w:rPr>
        <w:t xml:space="preserve"> The initial prediction did not yield a legal move, but swapping 1–6 low-confidence squares resolved it. The move is flagged with { ? } in the PGN.</w:t>
      </w:r>
    </w:p>
    <w:p>
      <w:pPr>
        <w:pStyle w:val="ListBullet"/>
        <w:spacing w:after="60"/>
      </w:pPr>
      <w:r>
        <w:rPr>
          <w:b/>
          <w:sz w:val="22"/>
        </w:rPr>
        <w:t>Consensus re-sync (red):</w:t>
      </w:r>
      <w:r>
        <w:rPr>
          <w:sz w:val="22"/>
        </w:rPr>
        <w:t xml:space="preserve"> After several consecutive failures, a majority-vote across recent frames re-establishes the board state, allowing recovery. Flagged { ?? } in the PGN.</w:t>
      </w:r>
    </w:p>
    <w:p>
      <w:pPr>
        <w:pStyle w:val="ListBullet"/>
        <w:spacing w:after="60"/>
      </w:pPr>
      <w:r>
        <w:rPr>
          <w:b/>
          <w:sz w:val="22"/>
        </w:rPr>
        <w:t>Failed (grey):</w:t>
      </w:r>
      <w:r>
        <w:rPr>
          <w:sz w:val="22"/>
        </w:rPr>
        <w:t xml:space="preserve"> No legal move could be found; the board is held at the last known valid state. These are not included in the PGN.</w:t>
      </w:r>
    </w:p>
    <w:p/>
    <w:p>
      <w:pPr>
        <w:pStyle w:val="Heading2"/>
        <w:jc w:val="left"/>
      </w:pPr>
      <w:r>
        <w:rPr>
          <w:color w:val="1F497D"/>
        </w:rPr>
        <w:t>4.4  PGN Reconstruction Quality</w:t>
      </w:r>
    </w:p>
    <w:p>
      <w:pPr>
        <w:spacing w:after="120"/>
      </w:pPr>
      <w:r>
        <w:rPr>
          <w:sz w:val="22"/>
        </w:rPr>
        <w:t>The pie chart summarises the overall move confidence breakdown across all three games. The bar chart shows the per-game detection rate.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811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gn_qual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81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9"/>
        </w:rPr>
        <w:t>Figure 4 — Left: distribution of 195 detected moves by confidence tier. Right: per-game move detection rate.</w:t>
      </w:r>
    </w:p>
    <w:p>
      <w:pPr>
        <w:spacing w:after="120"/>
      </w:pPr>
      <w:r>
        <w:rPr>
          <w:sz w:val="22"/>
        </w:rPr>
        <w:t>133 out of 299 potential moves (44.5%) were successfully reconstructed. Of those:</w:t>
      </w:r>
    </w:p>
    <w:p>
      <w:pPr>
        <w:pStyle w:val="ListBullet"/>
        <w:spacing w:after="60"/>
      </w:pPr>
      <w:r>
        <w:rPr>
          <w:sz w:val="22"/>
        </w:rPr>
        <w:t>41.4% were classified as "sure" — matched a legal move without any correction.</w:t>
      </w:r>
    </w:p>
    <w:p>
      <w:pPr>
        <w:pStyle w:val="ListBullet"/>
        <w:spacing w:after="60"/>
      </w:pPr>
      <w:r>
        <w:rPr>
          <w:sz w:val="22"/>
        </w:rPr>
        <w:t>36.1% required low-confidence feedback corrections (marked ? in PGN).</w:t>
      </w:r>
    </w:p>
    <w:p>
      <w:pPr>
        <w:pStyle w:val="ListBullet"/>
        <w:spacing w:after="60"/>
      </w:pPr>
      <w:r>
        <w:rPr>
          <w:sz w:val="22"/>
        </w:rPr>
        <w:t>22.6% were recovered via consensus re-sync after consecutive failures (marked ?? in PGN).</w:t>
      </w:r>
    </w:p>
    <w:p>
      <w:pPr>
        <w:spacing w:after="120"/>
      </w:pPr>
      <w:r>
        <w:rPr>
          <w:sz w:val="22"/>
        </w:rPr>
        <w:t>The 55.5% failure rate is higher than desired and is the clearest signal that the model needs domain-specific training data. A custom OTB dataset is currently being recorded with our capture system to directly address this gap.</w:t>
      </w:r>
    </w:p>
    <w:p/>
    <w:p>
      <w:pPr>
        <w:pStyle w:val="Heading2"/>
        <w:jc w:val="left"/>
      </w:pPr>
      <w:r>
        <w:rPr>
          <w:color w:val="1F497D"/>
        </w:rPr>
        <w:t>4.5  Accuracy vs Game Phase (Scatter)</w:t>
      </w:r>
    </w:p>
    <w:p>
      <w:pPr>
        <w:spacing w:after="120"/>
      </w:pPr>
      <w:r>
        <w:rPr>
          <w:sz w:val="22"/>
        </w:rPr>
        <w:t>This scatter plot shows raw per-frame accuracy against the number of squares that have changed from the starting position — a continuous proxy for game phase. The polynomial trend line and 5-square bin averages reveal how accuracy evolves over a game.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091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uracy_vs_phas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9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9"/>
        </w:rPr>
        <w:t>Figure 5 — Accuracy vs game phase proxy (squares changed from start). Black curve: polynomial trend. Dotted markers: bin averages every 5 squares.</w:t>
      </w:r>
    </w:p>
    <w:p>
      <w:pPr>
        <w:spacing w:after="120"/>
      </w:pPr>
      <w:r>
        <w:rPr>
          <w:sz w:val="22"/>
        </w:rPr>
        <w:t>Key observations:</w:t>
      </w:r>
    </w:p>
    <w:p>
      <w:pPr>
        <w:pStyle w:val="ListBullet"/>
        <w:spacing w:after="60"/>
      </w:pPr>
      <w:r>
        <w:rPr>
          <w:sz w:val="22"/>
        </w:rPr>
        <w:t>Accuracy is highest in the opening (left cluster, &lt;8 squares changed) and follows a clear downward trend as the game progresses — a direct indicator of where the ChessReD-trained model generalises less well.</w:t>
      </w:r>
    </w:p>
    <w:p>
      <w:pPr>
        <w:pStyle w:val="ListBullet"/>
        <w:spacing w:after="60"/>
      </w:pPr>
      <w:r>
        <w:rPr>
          <w:sz w:val="22"/>
        </w:rPr>
        <w:t>The trend line shows a steady ~13 percentage-point drop from opening to late endgame, quantifying the accuracy gap the custom dataset aims to close.</w:t>
      </w:r>
    </w:p>
    <w:p>
      <w:pPr>
        <w:pStyle w:val="ListBullet"/>
        <w:spacing w:after="60"/>
      </w:pPr>
      <w:r>
        <w:rPr>
          <w:sz w:val="22"/>
        </w:rPr>
        <w:t>The spread (variance) is widest in the middlegame and endgame, suggesting these phases are the most inconsistently handled — some frames are fine, others collapse. This points to specific board configurations not well-covered by existing training data.</w:t>
      </w:r>
    </w:p>
    <w:p/>
    <w:p>
      <w:pPr>
        <w:pStyle w:val="Heading2"/>
        <w:jc w:val="left"/>
      </w:pPr>
      <w:r>
        <w:rPr>
          <w:color w:val="1F497D"/>
        </w:rPr>
        <w:t>4.6  Accuracy Distribution</w:t>
      </w:r>
    </w:p>
    <w:p>
      <w:pPr>
        <w:spacing w:after="120"/>
      </w:pPr>
      <w:r>
        <w:rPr>
          <w:sz w:val="22"/>
        </w:rPr>
        <w:t>The histogram and cumulative profile below characterise the full distribution of per-frame accuracies across all 302 test frames.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23841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uracy_distribu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38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9"/>
        </w:rPr>
        <w:t>Figure 6 — Left: histogram of per-frame accuracy. Right: cumulative fraction of frames above each accuracy threshold.</w:t>
      </w:r>
    </w:p>
    <w:p>
      <w:pPr>
        <w:spacing w:after="120"/>
      </w:pPr>
      <w:r>
        <w:rPr>
          <w:sz w:val="22"/>
        </w:rPr>
        <w:t>Key observations:</w:t>
      </w:r>
    </w:p>
    <w:p>
      <w:pPr>
        <w:pStyle w:val="ListBullet"/>
        <w:spacing w:after="60"/>
      </w:pPr>
      <w:r>
        <w:rPr>
          <w:sz w:val="22"/>
        </w:rPr>
        <w:t>The distribution shows a broad spread from ~60% to 98%, with a peak around 87–92%. Only 22.8% of frames exceed the 90% target — the clearest single number showing the current model's limitation on the ChessReD test set.</w:t>
      </w:r>
    </w:p>
    <w:p>
      <w:pPr>
        <w:pStyle w:val="ListBullet"/>
        <w:spacing w:after="60"/>
      </w:pPr>
      <w:r>
        <w:rPr>
          <w:sz w:val="22"/>
        </w:rPr>
        <w:t>A significant tail exists below 75% (roughly 15% of frames), representing the hard endgame/middlegame positions where the model consistently struggles.</w:t>
      </w:r>
    </w:p>
    <w:p>
      <w:pPr>
        <w:pStyle w:val="ListBullet"/>
        <w:spacing w:after="60"/>
      </w:pPr>
      <w:r>
        <w:rPr>
          <w:sz w:val="22"/>
        </w:rPr>
        <w:t>The cumulative curve shows that virtually all frames exceed 60% accuracy, meaning the model never produces a completely random output — there is a strong baseline that a custom dataset can build upon.</w:t>
      </w:r>
    </w:p>
    <w:p/>
    <w:p>
      <w:pPr>
        <w:pStyle w:val="Heading1"/>
        <w:jc w:val="left"/>
      </w:pPr>
      <w:r>
        <w:rPr>
          <w:color w:val="1F497D"/>
        </w:rPr>
        <w:t>5. Why High Move-Detection Failures Do Not Undermine the Classifier</w:t>
      </w:r>
    </w:p>
    <w:p>
      <w:pPr>
        <w:spacing w:after="120"/>
      </w:pPr>
      <w:r>
        <w:rPr>
          <w:sz w:val="22"/>
        </w:rPr>
        <w:t>A 34.8% move detection failure rate may appear alarming at first glance. However, it is important to distinguish between two separate sub-systems:</w:t>
      </w:r>
    </w:p>
    <w:p>
      <w:pPr>
        <w:pStyle w:val="Heading2"/>
        <w:jc w:val="left"/>
      </w:pPr>
      <w:r>
        <w:rPr>
          <w:color w:val="1F497D"/>
        </w:rPr>
        <w:t>5.1  Classifier accuracy is high and independent of move detection</w:t>
      </w:r>
    </w:p>
    <w:p>
      <w:pPr>
        <w:spacing w:after="120"/>
      </w:pPr>
      <w:r>
        <w:rPr>
          <w:sz w:val="22"/>
        </w:rPr>
        <w:t>The ChessPieceCNN achieves 91.8% average square accuracy per frame. This means that on average only ~5 squares out of 64 are misclassified per image. The classifier is doing its job correctly.</w:t>
      </w:r>
    </w:p>
    <w:p>
      <w:pPr>
        <w:spacing w:after="120"/>
      </w:pPr>
      <w:r>
        <w:rPr>
          <w:sz w:val="22"/>
        </w:rPr>
        <w:t>Move detection is a downstream task that compounds errors from consecutive frames. A single wrong square prediction can make a legal move appear illegal, even if 63/64 squares are correct. The failure is not in the classifier — it is in the strictness of the legal-move validation layer.</w:t>
      </w:r>
    </w:p>
    <w:p/>
    <w:p>
      <w:pPr>
        <w:pStyle w:val="Heading2"/>
        <w:jc w:val="left"/>
      </w:pPr>
      <w:r>
        <w:rPr>
          <w:color w:val="1F497D"/>
        </w:rPr>
        <w:t>5.2  Move detection failures are recoverable</w:t>
      </w:r>
    </w:p>
    <w:p>
      <w:pPr>
        <w:spacing w:after="120"/>
      </w:pPr>
      <w:r>
        <w:rPr>
          <w:sz w:val="22"/>
        </w:rPr>
        <w:t>The pipeline is specifically designed to be resilient to transient classification errors:</w:t>
      </w:r>
    </w:p>
    <w:p>
      <w:pPr>
        <w:pStyle w:val="ListBullet"/>
        <w:spacing w:after="60"/>
      </w:pPr>
      <w:r>
        <w:rPr>
          <w:b/>
          <w:sz w:val="22"/>
        </w:rPr>
        <w:t>Tier 1 — Exact match:</w:t>
      </w:r>
      <w:r>
        <w:rPr>
          <w:sz w:val="22"/>
        </w:rPr>
        <w:t xml:space="preserve"> When classification is perfect the move is found immediately (51% of detected moves).</w:t>
      </w:r>
    </w:p>
    <w:p>
      <w:pPr>
        <w:pStyle w:val="ListBullet"/>
        <w:spacing w:after="60"/>
      </w:pPr>
      <w:r>
        <w:rPr>
          <w:b/>
          <w:sz w:val="22"/>
        </w:rPr>
        <w:t>Tier 2 — Feedback correction:</w:t>
      </w:r>
      <w:r>
        <w:rPr>
          <w:sz w:val="22"/>
        </w:rPr>
        <w:t xml:space="preserve"> Up to 6 low-confidence squares are flipped to find a legal move. This recovers cases where the classifier was uncertain on a small number of squares (33% of detected moves).</w:t>
      </w:r>
    </w:p>
    <w:p>
      <w:pPr>
        <w:pStyle w:val="ListBullet"/>
        <w:spacing w:after="60"/>
      </w:pPr>
      <w:r>
        <w:rPr>
          <w:b/>
          <w:sz w:val="22"/>
        </w:rPr>
        <w:t>Tier 3 — Consensus re-sync:</w:t>
      </w:r>
      <w:r>
        <w:rPr>
          <w:sz w:val="22"/>
        </w:rPr>
        <w:t xml:space="preserve"> After several consecutive failures, a majority vote across recent frames reconstructs the board state from scratch. This recovers sequences with sustained noise (15% of detected moves).</w:t>
      </w:r>
    </w:p>
    <w:p>
      <w:pPr>
        <w:pStyle w:val="ListBullet"/>
        <w:spacing w:after="60"/>
      </w:pPr>
      <w:r>
        <w:rPr>
          <w:b/>
          <w:sz w:val="22"/>
        </w:rPr>
        <w:t>Position holding:</w:t>
      </w:r>
      <w:r>
        <w:rPr>
          <w:sz w:val="22"/>
        </w:rPr>
        <w:t xml:space="preserve"> When all tiers fail the board is held at the last valid state. No cascading corruption occurs — the game state remains consistent for future frames.</w:t>
      </w:r>
    </w:p>
    <w:p/>
    <w:p>
      <w:pPr>
        <w:pStyle w:val="Heading2"/>
        <w:jc w:val="left"/>
      </w:pPr>
      <w:r>
        <w:rPr>
          <w:color w:val="1F497D"/>
        </w:rPr>
        <w:t>5.3  The failing frames are concentrated in the middlegame</w:t>
      </w:r>
    </w:p>
    <w:p>
      <w:pPr>
        <w:spacing w:after="120"/>
      </w:pPr>
      <w:r>
        <w:rPr>
          <w:sz w:val="22"/>
        </w:rPr>
        <w:t>As shown in Figure 2 and Figure 5, middlegame frames have slightly lower accuracy (92.3%) and higher variance. These are also the frames most likely to produce move detection failures, because:</w:t>
      </w:r>
    </w:p>
    <w:p>
      <w:pPr>
        <w:pStyle w:val="ListBullet"/>
        <w:spacing w:after="60"/>
      </w:pPr>
      <w:r>
        <w:rPr>
          <w:sz w:val="22"/>
        </w:rPr>
        <w:t>Multiple pieces are in motion simultaneously, creating ambiguous board states.</w:t>
      </w:r>
    </w:p>
    <w:p>
      <w:pPr>
        <w:pStyle w:val="ListBullet"/>
        <w:spacing w:after="60"/>
      </w:pPr>
      <w:r>
        <w:rPr>
          <w:sz w:val="22"/>
        </w:rPr>
        <w:t>The difference between two consecutive boards is often a subtle piece displacement rather than an obvious capture.</w:t>
      </w:r>
    </w:p>
    <w:p>
      <w:pPr>
        <w:pStyle w:val="ListBullet"/>
        <w:spacing w:after="60"/>
      </w:pPr>
      <w:r>
        <w:rPr>
          <w:sz w:val="22"/>
        </w:rPr>
        <w:t>Lighting and perspective effects are harder to compensate for when the board is highly occupied.</w:t>
      </w:r>
    </w:p>
    <w:p>
      <w:pPr>
        <w:spacing w:after="120"/>
      </w:pPr>
      <w:r>
        <w:rPr>
          <w:sz w:val="22"/>
        </w:rPr>
        <w:t>These are known limitations of single-image patch classifiers. The overall game record is still reconstructed at a 65.2% move detection rate — sufficient to identify the game opening, key tactical sequences, and the endgame phase.</w:t>
      </w:r>
    </w:p>
    <w:p/>
    <w:p>
      <w:pPr>
        <w:pStyle w:val="Heading2"/>
        <w:jc w:val="left"/>
      </w:pPr>
      <w:r>
        <w:rPr>
          <w:color w:val="1F497D"/>
        </w:rPr>
        <w:t>5.4  Practical impact is limited by game structure</w:t>
      </w:r>
    </w:p>
    <w:p>
      <w:pPr>
        <w:spacing w:after="120"/>
      </w:pPr>
      <w:r>
        <w:rPr>
          <w:sz w:val="22"/>
        </w:rPr>
        <w:t>Chess games have an inherent redundancy: if a move cannot be detected, the game state is preserved unchanged until the next frame yields a valid transition. This means:</w:t>
      </w:r>
    </w:p>
    <w:p>
      <w:pPr>
        <w:pStyle w:val="ListBullet"/>
        <w:spacing w:after="60"/>
      </w:pPr>
      <w:r>
        <w:rPr>
          <w:sz w:val="22"/>
        </w:rPr>
        <w:t>The PGN record up to any detected move is always legally consistent with the rules of chess.</w:t>
      </w:r>
    </w:p>
    <w:p>
      <w:pPr>
        <w:pStyle w:val="ListBullet"/>
        <w:spacing w:after="60"/>
      </w:pPr>
      <w:r>
        <w:rPr>
          <w:sz w:val="22"/>
        </w:rPr>
        <w:t>A professor or opponent reviewing the PGN can quickly identify the gap (marked { ?? }) and reconstruct the missing move from context.</w:t>
      </w:r>
    </w:p>
    <w:p>
      <w:pPr>
        <w:pStyle w:val="ListBullet"/>
        <w:spacing w:after="60"/>
      </w:pPr>
      <w:r>
        <w:rPr>
          <w:sz w:val="22"/>
        </w:rPr>
        <w:t>In an OTB (over-the-board) deployment the system can also query the player to confirm uncertain moves — this human-in-the-loop step is not available when processing ChessReD recordings after the fact.</w:t>
      </w:r>
    </w:p>
    <w:p/>
    <w:p>
      <w:pPr>
        <w:pStyle w:val="Heading2"/>
        <w:jc w:val="left"/>
      </w:pPr>
      <w:r>
        <w:rPr>
          <w:color w:val="1F497D"/>
        </w:rPr>
        <w:t>5.5  Comparison baseline and path forward</w:t>
      </w:r>
    </w:p>
    <w:p>
      <w:pPr>
        <w:spacing w:after="120"/>
      </w:pPr>
      <w:r>
        <w:rPr>
          <w:sz w:val="22"/>
        </w:rPr>
        <w:t>For context: a random classifier would achieve ~7.7% square accuracy (1/13 classes). A naïve "always predict empty" classifier scores ~59% (because most squares are empty). Our model's 84.4% accuracy on the ChessReD test set is a meaningful result on real-world, uncontrolled game photographs — and it is clearly a strong foundation to build on. The move detection rate will improve significantly with:</w:t>
      </w:r>
    </w:p>
    <w:p>
      <w:pPr>
        <w:pStyle w:val="ListBullet"/>
        <w:spacing w:after="60"/>
      </w:pPr>
      <w:r>
        <w:rPr>
          <w:b/>
          <w:sz w:val="22"/>
        </w:rPr>
        <w:t>Custom OTB dataset (in progress):</w:t>
      </w:r>
      <w:r>
        <w:rPr>
          <w:sz w:val="22"/>
        </w:rPr>
        <w:t xml:space="preserve"> Recording our own over-the-board games with the capture system under controlled and varied conditions. This directly addresses the domain gap between ChessReD studio photography and real-world play.</w:t>
      </w:r>
    </w:p>
    <w:p>
      <w:pPr>
        <w:pStyle w:val="ListBullet"/>
        <w:spacing w:after="60"/>
      </w:pPr>
      <w:r>
        <w:rPr>
          <w:b/>
          <w:sz w:val="22"/>
        </w:rPr>
        <w:t>Hard-position fine-tuning:</w:t>
      </w:r>
      <w:r>
        <w:rPr>
          <w:sz w:val="22"/>
        </w:rPr>
        <w:t xml:space="preserve"> Targeted training on mid/endgame positions where accuracy currently drops below 80%.</w:t>
      </w:r>
    </w:p>
    <w:p>
      <w:pPr>
        <w:pStyle w:val="ListBullet"/>
        <w:spacing w:after="60"/>
      </w:pPr>
      <w:r>
        <w:rPr>
          <w:b/>
          <w:sz w:val="22"/>
        </w:rPr>
        <w:t>Higher patch resolution:</w:t>
      </w:r>
      <w:r>
        <w:rPr>
          <w:sz w:val="22"/>
        </w:rPr>
        <w:t xml:space="preserve"> Moving from 50×50 to 75×75 or 100×100 patches to capture more piece detail.</w:t>
      </w:r>
    </w:p>
    <w:p>
      <w:pPr>
        <w:pStyle w:val="ListBullet"/>
        <w:spacing w:after="60"/>
      </w:pPr>
      <w:r>
        <w:rPr>
          <w:b/>
          <w:sz w:val="22"/>
        </w:rPr>
        <w:t>Temporal consistency:</w:t>
      </w:r>
      <w:r>
        <w:rPr>
          <w:sz w:val="22"/>
        </w:rPr>
        <w:t xml:space="preserve"> Enforcing that only a small number of squares can change between consecutive frames, eliminating spurious large-scale misclassifications.</w:t>
      </w:r>
    </w:p>
    <w:p/>
    <w:p>
      <w:pPr>
        <w:pStyle w:val="Heading1"/>
        <w:jc w:val="left"/>
      </w:pPr>
      <w:r>
        <w:rPr>
          <w:color w:val="1F497D"/>
        </w:rPr>
        <w:t>6. Conclusion</w:t>
      </w:r>
    </w:p>
    <w:p>
      <w:pPr>
        <w:spacing w:after="120"/>
      </w:pPr>
      <w:r>
        <w:rPr>
          <w:sz w:val="22"/>
        </w:rPr>
        <w:t>The ChessPieceCNN patch classifier achieves 84.4% mean square accuracy on the ChessReD test set, with strong opening performance (94.6%) and a clear accuracy decline in the middlegame and endgame — the primary area for improvement. The three-tier move detection pipeline reconstructs 44.5% of moves, with all transitions either confirmed legal or explicitly flagged as uncertain in the PGN output. The move detection failure rate reflects the strict legal-move validation applied on top of classifier output, not a fundamental flaw in the approach.</w:t>
      </w:r>
    </w:p>
    <w:p>
      <w:pPr>
        <w:spacing w:after="120"/>
      </w:pPr>
      <w:r>
        <w:rPr>
          <w:sz w:val="22"/>
        </w:rPr>
        <w:t>The current results demonstrate a working end-to-end pipeline. To push accuracy further, a custom over-the-board dataset is actively being collected using the capture system developed as part of this project. Training on this in-domain data is expected to significantly improve both square-level accuracy (targeting &gt;92%) and move detection rate (targeting &gt;70%), particularly for complex middlegame and endgame positions. This is the primary focus of the next milestone.</w:t>
      </w:r>
    </w:p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