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6127583"/>
        <w:docPartObj>
          <w:docPartGallery w:val="Cover Pages"/>
          <w:docPartUnique/>
        </w:docPartObj>
      </w:sdtPr>
      <w:sdtContent>
        <w:p w:rsidR="00D41B58" w:rsidRDefault="00D41B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rebuchet MS" w:hAnsi="Trebuchet MS"/>
                                    <w:caps/>
                                    <w:color w:val="000000" w:themeColor="text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41B58" w:rsidRDefault="005C23B5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5C23B5">
                                      <w:rPr>
                                        <w:rFonts w:ascii="Trebuchet MS" w:hAnsi="Trebuchet MS"/>
                                        <w:caps/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t>Loan Default Risk Analysis &amp; Portfolio Insights</w:t>
                                    </w:r>
                                  </w:p>
                                </w:sdtContent>
                              </w:sdt>
                              <w:p w:rsidR="00D41B58" w:rsidRDefault="00D41B5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41B58" w:rsidRDefault="00DC2F2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rebuchet MS" w:hAnsi="Trebuchet MS"/>
                              <w:caps/>
                              <w:color w:val="000000" w:themeColor="text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41B58" w:rsidRDefault="005C23B5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5C23B5">
                                <w:rPr>
                                  <w:rFonts w:ascii="Trebuchet MS" w:hAnsi="Trebuchet MS"/>
                                  <w:caps/>
                                  <w:color w:val="000000" w:themeColor="text1"/>
                                  <w:sz w:val="80"/>
                                  <w:szCs w:val="80"/>
                                </w:rPr>
                                <w:t>Loan Default Risk Analysis &amp; Portfolio Insights</w:t>
                              </w:r>
                            </w:p>
                          </w:sdtContent>
                        </w:sdt>
                        <w:p w:rsidR="00D41B58" w:rsidRDefault="00D41B5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41B58" w:rsidRDefault="00DC2F2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rebuchet MS" w:hAnsi="Trebuchet MS"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41B58" w:rsidRDefault="00DC2F2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DC2F20">
                                      <w:rPr>
                                        <w:rFonts w:ascii="Trebuchet MS" w:hAnsi="Trebuchet MS" w:cstheme="minorBidi"/>
                                        <w:color w:val="FFFFFF" w:themeColor="background1"/>
                                      </w:rPr>
                                      <w:t>A Comprehensive Data-Driven Approach to Identifying Risk Segments, Improving Credit Decisions, and Enhancing Loan Performance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rebuchet MS" w:hAnsi="Trebuchet MS"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41B58" w:rsidRDefault="00DC2F2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DC2F20">
                                <w:rPr>
                                  <w:rFonts w:ascii="Trebuchet MS" w:hAnsi="Trebuchet MS" w:cstheme="minorBidi"/>
                                  <w:color w:val="FFFFFF" w:themeColor="background1"/>
                                </w:rPr>
                                <w:t>A Comprehensive Data-Driven Approach to Identifying Risk Segments, Improving Credit Decisions, and Enhancing Loan Performance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41B58" w:rsidRDefault="00D41B58"/>
        <w:p w:rsidR="00D41B58" w:rsidRDefault="00D41B58">
          <w:r>
            <w:br w:type="page"/>
          </w:r>
        </w:p>
      </w:sdtContent>
    </w:sdt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lastRenderedPageBreak/>
        <w:t>Business Problem</w:t>
      </w:r>
    </w:p>
    <w:p w:rsidR="00D41B58" w:rsidRPr="00D41B58" w:rsidRDefault="00D41B58" w:rsidP="00D41B58">
      <w:r w:rsidRPr="00D41B58">
        <w:t>Effective credit risk and loan portfolio management are crucial for profitability in financial services. This report provides insights into high-risk borrower segments, default behavior, loan purpose performance, and trends over time to guide better credit approval processes and reduce non-performing assets.</w:t>
      </w:r>
    </w:p>
    <w:p w:rsidR="00D41B58" w:rsidRPr="00D41B58" w:rsidRDefault="00D41B58" w:rsidP="00D41B58">
      <w:r w:rsidRPr="00D41B58">
        <w:pict>
          <v:rect id="_x0000_i1055" style="width:0;height:1.5pt" o:hralign="center" o:hrstd="t" o:hr="t" fillcolor="#a0a0a0" stroked="f"/>
        </w:pict>
      </w:r>
    </w:p>
    <w:p w:rsidR="00D41B58" w:rsidRPr="00D41B58" w:rsidRDefault="00D41B58" w:rsidP="00D41B5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D41B58">
        <w:rPr>
          <w:b/>
          <w:bCs/>
        </w:rPr>
        <w:t xml:space="preserve"> 1. Identify High-Risk Borrower Segments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Key Indicators Used:</w:t>
      </w:r>
    </w:p>
    <w:p w:rsidR="00D41B58" w:rsidRPr="00D41B58" w:rsidRDefault="00D41B58" w:rsidP="00D41B58">
      <w:pPr>
        <w:numPr>
          <w:ilvl w:val="0"/>
          <w:numId w:val="1"/>
        </w:numPr>
      </w:pPr>
      <w:r w:rsidRPr="00D41B58">
        <w:rPr>
          <w:b/>
          <w:bCs/>
        </w:rPr>
        <w:t>Credit Score</w:t>
      </w:r>
    </w:p>
    <w:p w:rsidR="00D41B58" w:rsidRPr="00D41B58" w:rsidRDefault="00D41B58" w:rsidP="00D41B58">
      <w:pPr>
        <w:numPr>
          <w:ilvl w:val="0"/>
          <w:numId w:val="1"/>
        </w:numPr>
      </w:pPr>
      <w:r w:rsidRPr="00D41B58">
        <w:rPr>
          <w:b/>
          <w:bCs/>
        </w:rPr>
        <w:t>Debt-to-Income (DTI) Ratio</w:t>
      </w:r>
    </w:p>
    <w:p w:rsidR="00D41B58" w:rsidRPr="00D41B58" w:rsidRDefault="00D41B58" w:rsidP="00D41B58">
      <w:pPr>
        <w:numPr>
          <w:ilvl w:val="0"/>
          <w:numId w:val="1"/>
        </w:numPr>
      </w:pPr>
      <w:r w:rsidRPr="00D41B58">
        <w:rPr>
          <w:b/>
          <w:bCs/>
        </w:rPr>
        <w:t>Income</w:t>
      </w:r>
    </w:p>
    <w:p w:rsidR="00D41B58" w:rsidRPr="00D41B58" w:rsidRDefault="00D41B58" w:rsidP="00D41B58">
      <w:pPr>
        <w:numPr>
          <w:ilvl w:val="0"/>
          <w:numId w:val="1"/>
        </w:numPr>
      </w:pPr>
      <w:r w:rsidRPr="00D41B58">
        <w:rPr>
          <w:b/>
          <w:bCs/>
        </w:rPr>
        <w:t>Loan Amount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Findings:</w:t>
      </w:r>
    </w:p>
    <w:p w:rsidR="00D41B58" w:rsidRPr="00D41B58" w:rsidRDefault="00D41B58" w:rsidP="00D41B58">
      <w:pPr>
        <w:numPr>
          <w:ilvl w:val="0"/>
          <w:numId w:val="2"/>
        </w:numPr>
      </w:pPr>
      <w:r w:rsidRPr="00D41B58">
        <w:t>Borrowers with low credit scores and high loan amounts are more likely to default.</w:t>
      </w:r>
    </w:p>
    <w:p w:rsidR="00D41B58" w:rsidRPr="00D41B58" w:rsidRDefault="00D41B58" w:rsidP="00D41B58">
      <w:pPr>
        <w:numPr>
          <w:ilvl w:val="0"/>
          <w:numId w:val="2"/>
        </w:numPr>
      </w:pPr>
      <w:r w:rsidRPr="00D41B58">
        <w:t>A higher DTI ratio is associated with increased default risk.</w:t>
      </w:r>
    </w:p>
    <w:p w:rsidR="00D41B58" w:rsidRPr="00D41B58" w:rsidRDefault="00D41B58" w:rsidP="00D41B58">
      <w:pPr>
        <w:numPr>
          <w:ilvl w:val="0"/>
          <w:numId w:val="2"/>
        </w:numPr>
      </w:pPr>
      <w:r w:rsidRPr="00D41B58">
        <w:t>Borrowers with lower income fall into the higher-risk category when combined with large loans.</w:t>
      </w:r>
    </w:p>
    <w:p w:rsidR="00D41B58" w:rsidRPr="00D41B58" w:rsidRDefault="00D41B58" w:rsidP="00D41B58">
      <w:pPr>
        <w:numPr>
          <w:ilvl w:val="0"/>
          <w:numId w:val="2"/>
        </w:numPr>
      </w:pPr>
      <w:r w:rsidRPr="00D41B58">
        <w:t>The correlation between loan amount and default is clearly positive — larger loans show a higher chance of non-repayment.</w:t>
      </w:r>
    </w:p>
    <w:p w:rsidR="00A85065" w:rsidRDefault="00D41B58" w:rsidP="00D41B58">
      <w:pPr>
        <w:rPr>
          <w:b/>
          <w:bCs/>
        </w:rPr>
      </w:pPr>
      <w:r w:rsidRPr="00D41B58">
        <w:rPr>
          <w:b/>
          <w:bCs/>
        </w:rPr>
        <w:t>Visuals Used:</w:t>
      </w:r>
    </w:p>
    <w:p w:rsidR="00DC2F20" w:rsidRPr="00DC2F20" w:rsidRDefault="00DC2F20" w:rsidP="00DC2F20"/>
    <w:tbl>
      <w:tblPr>
        <w:tblW w:w="86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6"/>
      </w:tblGrid>
      <w:tr w:rsidR="00A85065" w:rsidTr="00A850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85065" w:rsidRPr="00A85065" w:rsidRDefault="00A85065">
            <w:pPr>
              <w:rPr>
                <w:b/>
                <w:bCs/>
                <w:u w:val="single"/>
              </w:rPr>
            </w:pPr>
            <w:r w:rsidRPr="00A85065">
              <w:rPr>
                <w:rStyle w:val="Hyperlink"/>
                <w:b/>
                <w:bCs/>
                <w:color w:val="auto"/>
              </w:rPr>
              <w:lastRenderedPageBreak/>
              <w:drawing>
                <wp:inline distT="0" distB="0" distL="0" distR="0">
                  <wp:extent cx="5433060" cy="3040380"/>
                  <wp:effectExtent l="0" t="0" r="0" b="7620"/>
                  <wp:docPr id="1386055941" name="Picture 9" descr="Defaults by Age &amp; EmploymentTyp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efaults by Age &amp; EmploymentTy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304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065" w:rsidTr="00A850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85065" w:rsidRPr="00A85065" w:rsidRDefault="00A85065">
            <w:pPr>
              <w:rPr>
                <w:b/>
                <w:bCs/>
                <w:u w:val="single"/>
              </w:rPr>
            </w:pPr>
          </w:p>
        </w:tc>
      </w:tr>
      <w:tr w:rsidR="00A85065" w:rsidRPr="00A85065" w:rsidTr="00A850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85065" w:rsidRPr="00A85065" w:rsidRDefault="00A85065" w:rsidP="00A85065">
            <w:pPr>
              <w:rPr>
                <w:b/>
                <w:bCs/>
              </w:rPr>
            </w:pPr>
            <w:r w:rsidRPr="00A85065">
              <w:rPr>
                <w:b/>
                <w:bCs/>
                <w:u w:val="single"/>
              </w:rPr>
              <w:drawing>
                <wp:inline distT="0" distB="0" distL="0" distR="0">
                  <wp:extent cx="4922520" cy="3040380"/>
                  <wp:effectExtent l="0" t="0" r="0" b="7620"/>
                  <wp:docPr id="317534329" name="Picture 8" descr="Defaults by Age &amp; Credit Scor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efaults by Age &amp; Credit Sc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304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065" w:rsidRPr="00A85065" w:rsidTr="00A850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85065" w:rsidRPr="00A85065" w:rsidRDefault="00A85065" w:rsidP="00A85065">
            <w:pPr>
              <w:rPr>
                <w:b/>
                <w:bCs/>
              </w:rPr>
            </w:pPr>
          </w:p>
        </w:tc>
      </w:tr>
    </w:tbl>
    <w:p w:rsidR="00D41B58" w:rsidRPr="00D41B58" w:rsidRDefault="00D41B58" w:rsidP="00D41B58">
      <w:r w:rsidRPr="00D41B58">
        <w:pict>
          <v:rect id="_x0000_i1056" style="width:0;height:1.5pt" o:hralign="center" o:hrstd="t" o:hr="t" fillcolor="#a0a0a0" stroked="f"/>
        </w:pict>
      </w:r>
    </w:p>
    <w:p w:rsidR="00D41B58" w:rsidRPr="00D41B58" w:rsidRDefault="007B3CD7" w:rsidP="00D41B5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D41B58" w:rsidRPr="00D41B58">
        <w:rPr>
          <w:b/>
          <w:bCs/>
        </w:rPr>
        <w:t xml:space="preserve"> 2. Determine Key Factors Contributing to Loan Defaults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Findings:</w:t>
      </w:r>
    </w:p>
    <w:p w:rsidR="00D41B58" w:rsidRPr="00D41B58" w:rsidRDefault="00D41B58" w:rsidP="00D41B58">
      <w:pPr>
        <w:numPr>
          <w:ilvl w:val="0"/>
          <w:numId w:val="4"/>
        </w:numPr>
      </w:pPr>
      <w:r w:rsidRPr="00D41B58">
        <w:t>Credit Score emerged as the strongest indicator. Borrowers with scores below</w:t>
      </w:r>
      <w:r w:rsidR="00DC2F20">
        <w:t xml:space="preserve"> 600</w:t>
      </w:r>
      <w:r w:rsidRPr="00D41B58">
        <w:t xml:space="preserve"> </w:t>
      </w:r>
      <w:r w:rsidR="00DC2F20">
        <w:t>and low income</w:t>
      </w:r>
      <w:r w:rsidRPr="00D41B58">
        <w:t xml:space="preserve"> had disproportionately higher default rates.</w:t>
      </w:r>
    </w:p>
    <w:p w:rsidR="00D41B58" w:rsidRPr="00D41B58" w:rsidRDefault="00D41B58" w:rsidP="00D41B58">
      <w:pPr>
        <w:numPr>
          <w:ilvl w:val="0"/>
          <w:numId w:val="4"/>
        </w:numPr>
      </w:pPr>
      <w:r w:rsidRPr="00D41B58">
        <w:lastRenderedPageBreak/>
        <w:t xml:space="preserve">Loan amount </w:t>
      </w:r>
      <w:proofErr w:type="gramStart"/>
      <w:r w:rsidRPr="00D41B58">
        <w:t xml:space="preserve">and </w:t>
      </w:r>
      <w:r w:rsidR="00861640">
        <w:t xml:space="preserve"> </w:t>
      </w:r>
      <w:proofErr w:type="spellStart"/>
      <w:r w:rsidR="00DC2F20">
        <w:t>DTIRatio</w:t>
      </w:r>
      <w:proofErr w:type="spellEnd"/>
      <w:proofErr w:type="gramEnd"/>
      <w:r w:rsidR="00DC2F20">
        <w:t>(Debt-to-Income)</w:t>
      </w:r>
      <w:r w:rsidRPr="00D41B58">
        <w:t xml:space="preserve"> also play critical roles — as both </w:t>
      </w:r>
      <w:proofErr w:type="gramStart"/>
      <w:r w:rsidRPr="00D41B58">
        <w:t>increase</w:t>
      </w:r>
      <w:proofErr w:type="gramEnd"/>
      <w:r w:rsidRPr="00D41B58">
        <w:t>, so does the likelihood of default.</w:t>
      </w:r>
    </w:p>
    <w:p w:rsidR="00D41B58" w:rsidRPr="00D41B58" w:rsidRDefault="00D41B58" w:rsidP="00D41B58">
      <w:pPr>
        <w:numPr>
          <w:ilvl w:val="0"/>
          <w:numId w:val="4"/>
        </w:numPr>
      </w:pPr>
      <w:r w:rsidRPr="00D41B58">
        <w:t>Missing values and outliers in fields like interest rate and loan term were cleaned using a 5-number summary, improving data quality for analysis.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Impact:</w:t>
      </w:r>
    </w:p>
    <w:p w:rsidR="00A85065" w:rsidRPr="00D41B58" w:rsidRDefault="00D41B58" w:rsidP="00A85065">
      <w:pPr>
        <w:numPr>
          <w:ilvl w:val="0"/>
          <w:numId w:val="5"/>
        </w:numPr>
      </w:pPr>
      <w:r w:rsidRPr="00D41B58">
        <w:rPr>
          <w:b/>
          <w:bCs/>
        </w:rPr>
        <w:t>Enhancing credit scoring thresholds</w:t>
      </w:r>
      <w:r w:rsidRPr="00D41B58">
        <w:t xml:space="preserve"> and introducing stricter evaluation of DTI and loan amount can reduce defaults.</w:t>
      </w:r>
    </w:p>
    <w:p w:rsidR="00D41B58" w:rsidRPr="00D41B58" w:rsidRDefault="00D41B58" w:rsidP="00D41B58">
      <w:r w:rsidRPr="00D41B58">
        <w:pict>
          <v:rect id="_x0000_i1057" style="width:0;height:1.5pt" o:hralign="center" o:hrstd="t" o:hr="t" fillcolor="#a0a0a0" stroked="f"/>
        </w:pict>
      </w:r>
    </w:p>
    <w:p w:rsidR="00D41B58" w:rsidRPr="00D41B58" w:rsidRDefault="007B3CD7" w:rsidP="00D41B5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D41B58" w:rsidRPr="00D41B58">
        <w:rPr>
          <w:b/>
          <w:bCs/>
        </w:rPr>
        <w:t xml:space="preserve"> 3. Analyze the Impact of Co-signers, Dependents, and Existing Mortgages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Findings:</w:t>
      </w:r>
    </w:p>
    <w:p w:rsidR="00D41B58" w:rsidRPr="00D41B58" w:rsidRDefault="00D41B58" w:rsidP="00D41B58">
      <w:pPr>
        <w:numPr>
          <w:ilvl w:val="0"/>
          <w:numId w:val="6"/>
        </w:numPr>
      </w:pPr>
      <w:r w:rsidRPr="00D41B58">
        <w:t>Borrowers without co-signers exhibited higher default rates, suggesting co-signers improve repayment behavior.</w:t>
      </w:r>
    </w:p>
    <w:p w:rsidR="00D41B58" w:rsidRPr="00D41B58" w:rsidRDefault="00D41B58" w:rsidP="00D41B58">
      <w:pPr>
        <w:numPr>
          <w:ilvl w:val="0"/>
          <w:numId w:val="6"/>
        </w:numPr>
      </w:pPr>
      <w:r w:rsidRPr="00D41B58">
        <w:t>Higher number of dependents increases financial burden, slightly raising the default probability.</w:t>
      </w:r>
    </w:p>
    <w:p w:rsidR="00D41B58" w:rsidRPr="00D41B58" w:rsidRDefault="00D41B58" w:rsidP="00D41B58">
      <w:pPr>
        <w:numPr>
          <w:ilvl w:val="0"/>
          <w:numId w:val="6"/>
        </w:numPr>
      </w:pPr>
      <w:r w:rsidRPr="00D41B58">
        <w:t>Borrowers with existing mortgages are at greater risk of defaulting on additional loans.</w:t>
      </w:r>
    </w:p>
    <w:p w:rsidR="00861640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Visuals Used: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640" w:rsidRPr="00861640" w:rsidTr="008616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61640" w:rsidRPr="00861640" w:rsidRDefault="00861640" w:rsidP="00861640">
            <w:pPr>
              <w:rPr>
                <w:b/>
                <w:bCs/>
              </w:rPr>
            </w:pPr>
            <w:r w:rsidRPr="00861640">
              <w:rPr>
                <w:b/>
                <w:bCs/>
                <w:u w:val="single"/>
              </w:rPr>
              <w:lastRenderedPageBreak/>
              <w:drawing>
                <wp:inline distT="0" distB="0" distL="0" distR="0">
                  <wp:extent cx="5943600" cy="3366770"/>
                  <wp:effectExtent l="0" t="0" r="0" b="5080"/>
                  <wp:docPr id="1849996699" name="Picture 13" descr="Default Rate (%) &amp; HasDependents by HasCoSigner &amp; HasMortgag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efault Rate (%) &amp; HasDependents by HasCoSigner &amp; HasMortg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6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B58" w:rsidRPr="00D41B58" w:rsidRDefault="00D41B58" w:rsidP="00D41B58">
      <w:pPr>
        <w:rPr>
          <w:b/>
          <w:bCs/>
        </w:rPr>
      </w:pPr>
    </w:p>
    <w:p w:rsidR="00D41B58" w:rsidRPr="00D41B58" w:rsidRDefault="00D41B58" w:rsidP="00D41B58">
      <w:r w:rsidRPr="00D41B58">
        <w:pict>
          <v:rect id="_x0000_i1058" style="width:0;height:1.5pt" o:hralign="center" o:hrstd="t" o:hr="t" fillcolor="#a0a0a0" stroked="f"/>
        </w:pict>
      </w:r>
    </w:p>
    <w:p w:rsidR="00D41B58" w:rsidRPr="00D41B58" w:rsidRDefault="007B3CD7" w:rsidP="00D41B5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D41B58" w:rsidRPr="00D41B58">
        <w:rPr>
          <w:b/>
          <w:bCs/>
        </w:rPr>
        <w:t xml:space="preserve"> 4. Assess Performance of Loan Purposes &amp; Employment Types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Findings from Your Table:</w:t>
      </w:r>
    </w:p>
    <w:p w:rsidR="00D41B58" w:rsidRPr="00D41B58" w:rsidRDefault="00D41B58" w:rsidP="00D41B58">
      <w:pPr>
        <w:numPr>
          <w:ilvl w:val="0"/>
          <w:numId w:val="8"/>
        </w:numPr>
      </w:pPr>
      <w:r w:rsidRPr="00D41B58">
        <w:rPr>
          <w:b/>
          <w:bCs/>
        </w:rPr>
        <w:t>Loan Purposes</w:t>
      </w:r>
      <w:r w:rsidRPr="00D41B58">
        <w:t>:</w:t>
      </w:r>
    </w:p>
    <w:p w:rsidR="00D41B58" w:rsidRPr="00D41B58" w:rsidRDefault="00D41B58" w:rsidP="00D41B58">
      <w:pPr>
        <w:numPr>
          <w:ilvl w:val="1"/>
          <w:numId w:val="8"/>
        </w:numPr>
      </w:pPr>
      <w:r w:rsidRPr="00D41B58">
        <w:t>Home loans had the lowest default rates (~10.23%) and highest repayment success (~89.77%).</w:t>
      </w:r>
    </w:p>
    <w:p w:rsidR="00D41B58" w:rsidRPr="00D41B58" w:rsidRDefault="00D41B58" w:rsidP="00D41B58">
      <w:pPr>
        <w:numPr>
          <w:ilvl w:val="1"/>
          <w:numId w:val="8"/>
        </w:numPr>
      </w:pPr>
      <w:r w:rsidRPr="00D41B58">
        <w:t>Business and Education loans had the highest default rates, especially among unemployed borrowers.</w:t>
      </w:r>
    </w:p>
    <w:p w:rsidR="00D41B58" w:rsidRPr="00D41B58" w:rsidRDefault="00D41B58" w:rsidP="00D41B58">
      <w:pPr>
        <w:numPr>
          <w:ilvl w:val="0"/>
          <w:numId w:val="8"/>
        </w:numPr>
      </w:pPr>
      <w:r w:rsidRPr="00D41B58">
        <w:rPr>
          <w:b/>
          <w:bCs/>
        </w:rPr>
        <w:t>Employment Types</w:t>
      </w:r>
      <w:r w:rsidRPr="00D41B58">
        <w:t>:</w:t>
      </w:r>
    </w:p>
    <w:p w:rsidR="00D41B58" w:rsidRPr="00D41B58" w:rsidRDefault="00D41B58" w:rsidP="00D41B58">
      <w:pPr>
        <w:numPr>
          <w:ilvl w:val="1"/>
          <w:numId w:val="8"/>
        </w:numPr>
      </w:pPr>
      <w:r w:rsidRPr="00D41B58">
        <w:t>Full-time employees had the lowest default rate (~9.46%) and highest repayment rate (~90.54%).</w:t>
      </w:r>
    </w:p>
    <w:p w:rsidR="00D41B58" w:rsidRPr="00D41B58" w:rsidRDefault="00D41B58" w:rsidP="00D41B58">
      <w:pPr>
        <w:numPr>
          <w:ilvl w:val="1"/>
          <w:numId w:val="8"/>
        </w:numPr>
      </w:pPr>
      <w:r w:rsidRPr="00D41B58">
        <w:t>Unemployed borrowers showed the highest risk with a ~13.55% default rate.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Insights:</w:t>
      </w:r>
    </w:p>
    <w:p w:rsidR="00861640" w:rsidRPr="00D41B58" w:rsidRDefault="00D41B58" w:rsidP="00861640">
      <w:pPr>
        <w:numPr>
          <w:ilvl w:val="0"/>
          <w:numId w:val="9"/>
        </w:numPr>
      </w:pPr>
      <w:r w:rsidRPr="00D41B58">
        <w:t xml:space="preserve">Prioritize </w:t>
      </w:r>
      <w:r w:rsidRPr="00D41B58">
        <w:rPr>
          <w:b/>
          <w:bCs/>
        </w:rPr>
        <w:t>Home loan applicants with full-time employment</w:t>
      </w:r>
      <w:r w:rsidRPr="00D41B58">
        <w:t xml:space="preserve"> for lower risk.</w:t>
      </w:r>
    </w:p>
    <w:p w:rsidR="00D41B58" w:rsidRDefault="00D41B58" w:rsidP="00D41B58">
      <w:pPr>
        <w:numPr>
          <w:ilvl w:val="0"/>
          <w:numId w:val="9"/>
        </w:numPr>
      </w:pPr>
      <w:r w:rsidRPr="00D41B58">
        <w:lastRenderedPageBreak/>
        <w:t xml:space="preserve">Consider </w:t>
      </w:r>
      <w:r w:rsidRPr="00D41B58">
        <w:rPr>
          <w:b/>
          <w:bCs/>
        </w:rPr>
        <w:t>revising approval criteria</w:t>
      </w:r>
      <w:r w:rsidRPr="00D41B58">
        <w:t xml:space="preserve"> for unemployed or self-employed applicants, especially in business loan categories.</w:t>
      </w:r>
    </w:p>
    <w:p w:rsidR="00861640" w:rsidRDefault="00861640" w:rsidP="00861640"/>
    <w:p w:rsidR="00861640" w:rsidRPr="00D41B58" w:rsidRDefault="00861640" w:rsidP="00861640">
      <w:pPr>
        <w:rPr>
          <w:b/>
          <w:bCs/>
        </w:rPr>
      </w:pPr>
      <w:r w:rsidRPr="00D41B58">
        <w:rPr>
          <w:b/>
          <w:bCs/>
        </w:rPr>
        <w:t>Visualization Used: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640" w:rsidRPr="00861640" w:rsidTr="008616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61640" w:rsidRPr="00861640" w:rsidRDefault="00861640" w:rsidP="00861640">
            <w:pPr>
              <w:rPr>
                <w:b/>
                <w:bCs/>
              </w:rPr>
            </w:pPr>
            <w:r w:rsidRPr="00861640">
              <w:rPr>
                <w:b/>
                <w:bCs/>
                <w:u w:val="single"/>
              </w:rPr>
              <w:drawing>
                <wp:inline distT="0" distB="0" distL="0" distR="0">
                  <wp:extent cx="5943600" cy="3239135"/>
                  <wp:effectExtent l="0" t="0" r="0" b="0"/>
                  <wp:docPr id="1753481668" name="Picture 15" descr="A Power BI visua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A Power BI vis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40" w:rsidRPr="00861640" w:rsidTr="008616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61640" w:rsidRPr="00861640" w:rsidRDefault="00861640" w:rsidP="00861640">
            <w:pPr>
              <w:rPr>
                <w:b/>
                <w:bCs/>
              </w:rPr>
            </w:pPr>
          </w:p>
        </w:tc>
      </w:tr>
    </w:tbl>
    <w:p w:rsidR="00D41B58" w:rsidRPr="00D41B58" w:rsidRDefault="00D41B58" w:rsidP="00D41B58">
      <w:r w:rsidRPr="00D41B58">
        <w:pict>
          <v:rect id="_x0000_i1059" style="width:0;height:1.5pt" o:hralign="center" o:hrstd="t" o:hr="t" fillcolor="#a0a0a0" stroked="f"/>
        </w:pict>
      </w:r>
    </w:p>
    <w:p w:rsidR="00D41B58" w:rsidRPr="00D41B58" w:rsidRDefault="007B3CD7" w:rsidP="00D41B5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D41B58" w:rsidRPr="00D41B58">
        <w:rPr>
          <w:b/>
          <w:bCs/>
        </w:rPr>
        <w:t xml:space="preserve"> 5. Investigate Trends in Loan Defaults Over Time</w:t>
      </w:r>
    </w:p>
    <w:p w:rsidR="00861640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Visualization Used: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640" w:rsidRPr="00861640" w:rsidTr="008616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61640" w:rsidRPr="00861640" w:rsidRDefault="00861640" w:rsidP="00861640">
            <w:pPr>
              <w:rPr>
                <w:b/>
                <w:bCs/>
              </w:rPr>
            </w:pPr>
            <w:r w:rsidRPr="00861640">
              <w:rPr>
                <w:b/>
                <w:bCs/>
                <w:u w:val="single"/>
              </w:rPr>
              <w:drawing>
                <wp:inline distT="0" distB="0" distL="0" distR="0">
                  <wp:extent cx="5943600" cy="1426210"/>
                  <wp:effectExtent l="0" t="0" r="0" b="2540"/>
                  <wp:docPr id="1680015737" name="Picture 17" descr="Loan Default Rate by Year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an Default Rate by Y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40" w:rsidRPr="00861640" w:rsidTr="0086164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61640" w:rsidRPr="00861640" w:rsidRDefault="00861640" w:rsidP="00861640">
            <w:pPr>
              <w:rPr>
                <w:b/>
                <w:bCs/>
              </w:rPr>
            </w:pPr>
          </w:p>
        </w:tc>
      </w:tr>
    </w:tbl>
    <w:p w:rsidR="00861640" w:rsidRDefault="00861640" w:rsidP="00D41B58">
      <w:pPr>
        <w:rPr>
          <w:b/>
          <w:bCs/>
        </w:rPr>
      </w:pP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Findings:</w:t>
      </w:r>
    </w:p>
    <w:p w:rsidR="00D41B58" w:rsidRPr="00D41B58" w:rsidRDefault="00D41B58" w:rsidP="00D41B58">
      <w:pPr>
        <w:numPr>
          <w:ilvl w:val="0"/>
          <w:numId w:val="11"/>
        </w:numPr>
      </w:pPr>
      <w:r w:rsidRPr="00D41B58">
        <w:rPr>
          <w:b/>
          <w:bCs/>
        </w:rPr>
        <w:lastRenderedPageBreak/>
        <w:t>2016</w:t>
      </w:r>
      <w:r w:rsidRPr="00D41B58">
        <w:t xml:space="preserve"> had the highest default rate (~11.75%) — possibly due to relaxed lending policies or macroeconomic factors.</w:t>
      </w:r>
    </w:p>
    <w:p w:rsidR="00D41B58" w:rsidRPr="00D41B58" w:rsidRDefault="00D41B58" w:rsidP="00D41B58">
      <w:pPr>
        <w:numPr>
          <w:ilvl w:val="0"/>
          <w:numId w:val="11"/>
        </w:numPr>
      </w:pPr>
      <w:r w:rsidRPr="00D41B58">
        <w:rPr>
          <w:b/>
          <w:bCs/>
        </w:rPr>
        <w:t>2017</w:t>
      </w:r>
      <w:r w:rsidRPr="00D41B58">
        <w:t xml:space="preserve"> showed a significant improvement with the lowest default rate (~11.50%).</w:t>
      </w:r>
    </w:p>
    <w:p w:rsidR="00D41B58" w:rsidRPr="00D41B58" w:rsidRDefault="00D41B58" w:rsidP="00D41B58">
      <w:pPr>
        <w:numPr>
          <w:ilvl w:val="0"/>
          <w:numId w:val="11"/>
        </w:numPr>
      </w:pPr>
      <w:r w:rsidRPr="00D41B58">
        <w:rPr>
          <w:b/>
          <w:bCs/>
        </w:rPr>
        <w:t>2018</w:t>
      </w:r>
      <w:r w:rsidRPr="00D41B58">
        <w:t xml:space="preserve"> marked a slight uptick in defaults (~11.59%), suggesting early warning signs that need monitoring.</w:t>
      </w:r>
    </w:p>
    <w:p w:rsidR="00D41B58" w:rsidRPr="00D41B58" w:rsidRDefault="00D41B58" w:rsidP="00D41B58">
      <w:pPr>
        <w:rPr>
          <w:b/>
          <w:bCs/>
        </w:rPr>
      </w:pPr>
      <w:r w:rsidRPr="00D41B58">
        <w:rPr>
          <w:b/>
          <w:bCs/>
        </w:rPr>
        <w:t>Recommendations:</w:t>
      </w:r>
    </w:p>
    <w:p w:rsidR="00D41B58" w:rsidRPr="00D41B58" w:rsidRDefault="00D41B58" w:rsidP="00D41B58">
      <w:pPr>
        <w:numPr>
          <w:ilvl w:val="0"/>
          <w:numId w:val="12"/>
        </w:numPr>
      </w:pPr>
      <w:r w:rsidRPr="00D41B58">
        <w:t>Investigate 2015–2016 lending criteria for risky patterns.</w:t>
      </w:r>
    </w:p>
    <w:p w:rsidR="00D41B58" w:rsidRPr="00D41B58" w:rsidRDefault="00D41B58" w:rsidP="00D41B58">
      <w:pPr>
        <w:numPr>
          <w:ilvl w:val="0"/>
          <w:numId w:val="12"/>
        </w:numPr>
      </w:pPr>
      <w:r w:rsidRPr="00D41B58">
        <w:t>Reinforce policies implemented after 2016 that led to lower defaults.</w:t>
      </w:r>
    </w:p>
    <w:p w:rsidR="00D41B58" w:rsidRPr="00D41B58" w:rsidRDefault="00D41B58" w:rsidP="00D41B58">
      <w:pPr>
        <w:numPr>
          <w:ilvl w:val="0"/>
          <w:numId w:val="12"/>
        </w:numPr>
      </w:pPr>
      <w:r w:rsidRPr="00D41B58">
        <w:t>Monitor post-2018 uptick to avoid another peak.</w:t>
      </w:r>
    </w:p>
    <w:p w:rsidR="00974DD4" w:rsidRDefault="00974DD4"/>
    <w:sectPr w:rsidR="00974DD4" w:rsidSect="00D41B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383F" w:rsidRDefault="0071383F" w:rsidP="00A85065">
      <w:pPr>
        <w:spacing w:after="0" w:line="240" w:lineRule="auto"/>
      </w:pPr>
      <w:r>
        <w:separator/>
      </w:r>
    </w:p>
  </w:endnote>
  <w:endnote w:type="continuationSeparator" w:id="0">
    <w:p w:rsidR="0071383F" w:rsidRDefault="0071383F" w:rsidP="00A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383F" w:rsidRDefault="0071383F" w:rsidP="00A85065">
      <w:pPr>
        <w:spacing w:after="0" w:line="240" w:lineRule="auto"/>
      </w:pPr>
      <w:r>
        <w:separator/>
      </w:r>
    </w:p>
  </w:footnote>
  <w:footnote w:type="continuationSeparator" w:id="0">
    <w:p w:rsidR="0071383F" w:rsidRDefault="0071383F" w:rsidP="00A8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C16"/>
    <w:multiLevelType w:val="multilevel"/>
    <w:tmpl w:val="A93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EA9"/>
    <w:multiLevelType w:val="multilevel"/>
    <w:tmpl w:val="FD8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385"/>
    <w:multiLevelType w:val="multilevel"/>
    <w:tmpl w:val="7A7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037CE"/>
    <w:multiLevelType w:val="multilevel"/>
    <w:tmpl w:val="36E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A192C"/>
    <w:multiLevelType w:val="multilevel"/>
    <w:tmpl w:val="DFF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9666E"/>
    <w:multiLevelType w:val="multilevel"/>
    <w:tmpl w:val="C8C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92437"/>
    <w:multiLevelType w:val="multilevel"/>
    <w:tmpl w:val="308E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334DB"/>
    <w:multiLevelType w:val="multilevel"/>
    <w:tmpl w:val="F392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618E4"/>
    <w:multiLevelType w:val="multilevel"/>
    <w:tmpl w:val="23D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16BD9"/>
    <w:multiLevelType w:val="multilevel"/>
    <w:tmpl w:val="5EB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14CBB"/>
    <w:multiLevelType w:val="multilevel"/>
    <w:tmpl w:val="C11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767EC"/>
    <w:multiLevelType w:val="multilevel"/>
    <w:tmpl w:val="414E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98369">
    <w:abstractNumId w:val="0"/>
  </w:num>
  <w:num w:numId="2" w16cid:durableId="1239747902">
    <w:abstractNumId w:val="9"/>
  </w:num>
  <w:num w:numId="3" w16cid:durableId="298919810">
    <w:abstractNumId w:val="5"/>
  </w:num>
  <w:num w:numId="4" w16cid:durableId="523439399">
    <w:abstractNumId w:val="10"/>
  </w:num>
  <w:num w:numId="5" w16cid:durableId="2002848176">
    <w:abstractNumId w:val="4"/>
  </w:num>
  <w:num w:numId="6" w16cid:durableId="541134281">
    <w:abstractNumId w:val="8"/>
  </w:num>
  <w:num w:numId="7" w16cid:durableId="1204712694">
    <w:abstractNumId w:val="2"/>
  </w:num>
  <w:num w:numId="8" w16cid:durableId="556742052">
    <w:abstractNumId w:val="7"/>
  </w:num>
  <w:num w:numId="9" w16cid:durableId="2034841549">
    <w:abstractNumId w:val="3"/>
  </w:num>
  <w:num w:numId="10" w16cid:durableId="1521044099">
    <w:abstractNumId w:val="11"/>
  </w:num>
  <w:num w:numId="11" w16cid:durableId="1668749730">
    <w:abstractNumId w:val="6"/>
  </w:num>
  <w:num w:numId="12" w16cid:durableId="70721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58"/>
    <w:rsid w:val="001B05F0"/>
    <w:rsid w:val="004026B2"/>
    <w:rsid w:val="005C23B5"/>
    <w:rsid w:val="0063002D"/>
    <w:rsid w:val="0071383F"/>
    <w:rsid w:val="007B3CD7"/>
    <w:rsid w:val="00861640"/>
    <w:rsid w:val="008A3344"/>
    <w:rsid w:val="00974DD4"/>
    <w:rsid w:val="00A85065"/>
    <w:rsid w:val="00C9110F"/>
    <w:rsid w:val="00D41B58"/>
    <w:rsid w:val="00D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B38B"/>
  <w15:chartTrackingRefBased/>
  <w15:docId w15:val="{CF7E3550-8D71-480C-B9B0-8AD7DD8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B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0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65"/>
  </w:style>
  <w:style w:type="paragraph" w:styleId="Footer">
    <w:name w:val="footer"/>
    <w:basedOn w:val="Normal"/>
    <w:link w:val="FooterChar"/>
    <w:uiPriority w:val="99"/>
    <w:unhideWhenUsed/>
    <w:rsid w:val="00A8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pp.powerbi.com/MobileRedirect.html?action=OpenReport&amp;reportObjectId=a7d48278-746f-4d85-b235-8b01fe720513&amp;ctid=19e0bd4d-fca8-4ec7-8e50-04218d65eae9&amp;reportPage=aee1fba9d9920872779e&amp;pbi_source=copyvisualimag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.powerbi.com/MobileRedirect.html?action=OpenReport&amp;reportObjectId=a7d48278-746f-4d85-b235-8b01fe720513&amp;ctid=19e0bd4d-fca8-4ec7-8e50-04218d65eae9&amp;reportPage=2b01659711751a198201&amp;pbi_source=copyvisual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Default Risk Analysis &amp; Portfolio Insights</dc:title>
  <dc:subject>A Comprehensive Data-Driven Approach to Identifying Risk Segments, Improving Credit Decisions, and Enhancing Loan Performance</dc:subject>
  <dc:creator>wolf47work xyzlmn</dc:creator>
  <cp:keywords/>
  <dc:description/>
  <cp:lastModifiedBy>wolf47work xyzlmn</cp:lastModifiedBy>
  <cp:revision>1</cp:revision>
  <dcterms:created xsi:type="dcterms:W3CDTF">2025-06-17T03:15:00Z</dcterms:created>
  <dcterms:modified xsi:type="dcterms:W3CDTF">2025-06-17T04:46:00Z</dcterms:modified>
</cp:coreProperties>
</file>