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E396" w14:textId="77777777" w:rsidR="00F71928" w:rsidRPr="00B57A77" w:rsidRDefault="00000000">
      <w:pPr>
        <w:spacing w:after="40"/>
        <w:jc w:val="center"/>
        <w:rPr>
          <w:sz w:val="28"/>
          <w:szCs w:val="28"/>
        </w:rPr>
      </w:pPr>
      <w:r w:rsidRPr="00B57A77">
        <w:rPr>
          <w:b/>
          <w:bCs/>
          <w:sz w:val="36"/>
          <w:szCs w:val="36"/>
        </w:rPr>
        <w:t>Clinical Decision Making and Pattern Recognition in Health Care:</w:t>
      </w:r>
    </w:p>
    <w:p w14:paraId="2B60B00F" w14:textId="77777777" w:rsidR="00F71928" w:rsidRPr="00B57A77" w:rsidRDefault="00000000">
      <w:pPr>
        <w:spacing w:after="120"/>
        <w:jc w:val="center"/>
        <w:rPr>
          <w:sz w:val="28"/>
          <w:szCs w:val="28"/>
        </w:rPr>
      </w:pPr>
      <w:r w:rsidRPr="00B57A77">
        <w:rPr>
          <w:b/>
          <w:bCs/>
          <w:sz w:val="32"/>
          <w:szCs w:val="32"/>
        </w:rPr>
        <w:t>Agentic AI, Chain Reasoning, and Anomaly Detection for Treatment, Payment, and Operations (TPO)</w:t>
      </w:r>
    </w:p>
    <w:p w14:paraId="374EFCA0" w14:textId="2F811235" w:rsidR="00F71928" w:rsidRPr="00B57A77" w:rsidRDefault="00000000" w:rsidP="00B57A77">
      <w:pPr>
        <w:pBdr>
          <w:bottom w:val="single" w:sz="6" w:space="6" w:color="7A4FA3"/>
        </w:pBdr>
        <w:spacing w:after="30"/>
        <w:rPr>
          <w:sz w:val="28"/>
          <w:szCs w:val="28"/>
        </w:rPr>
      </w:pPr>
      <w:r w:rsidRPr="00B57A77">
        <w:rPr>
          <w:color w:val="555555"/>
          <w:sz w:val="21"/>
          <w:szCs w:val="21"/>
        </w:rPr>
        <w:t>Yash Bhamore, M.S. Data Science, University of North Texas</w:t>
      </w:r>
      <w:r w:rsidR="00B57A77">
        <w:rPr>
          <w:color w:val="555555"/>
          <w:sz w:val="21"/>
          <w:szCs w:val="21"/>
        </w:rPr>
        <w:t xml:space="preserve"> | </w:t>
      </w:r>
      <w:r w:rsidR="00B57A77" w:rsidRPr="00B57A77">
        <w:rPr>
          <w:color w:val="555555"/>
          <w:sz w:val="21"/>
          <w:szCs w:val="21"/>
        </w:rPr>
        <w:t>Cotiviti  — GenAI Internship Assessment</w:t>
      </w:r>
    </w:p>
    <w:p w14:paraId="6C3E6369" w14:textId="77777777" w:rsidR="00F71928" w:rsidRDefault="00F71928">
      <w:pPr>
        <w:spacing w:after="80"/>
      </w:pPr>
    </w:p>
    <w:p w14:paraId="30789274" w14:textId="77777777" w:rsidR="00F71928" w:rsidRPr="00B57A77" w:rsidRDefault="00000000">
      <w:pPr>
        <w:pStyle w:val="Heading1"/>
        <w:spacing w:before="160" w:after="90"/>
        <w:rPr>
          <w:sz w:val="36"/>
          <w:szCs w:val="36"/>
        </w:rPr>
      </w:pPr>
      <w:r w:rsidRPr="00B57A77">
        <w:rPr>
          <w:b/>
          <w:bCs/>
          <w:sz w:val="28"/>
          <w:szCs w:val="28"/>
        </w:rPr>
        <w:t>1.  Defining the Concept</w:t>
      </w:r>
    </w:p>
    <w:p w14:paraId="1C9747C8" w14:textId="15A18CCA" w:rsidR="00F71928" w:rsidRPr="00B57A77" w:rsidRDefault="00B57A77">
      <w:pPr>
        <w:spacing w:after="120" w:line="264" w:lineRule="auto"/>
        <w:jc w:val="both"/>
        <w:rPr>
          <w:sz w:val="24"/>
          <w:szCs w:val="24"/>
        </w:rPr>
      </w:pPr>
      <w:r w:rsidRPr="00B57A77">
        <w:rPr>
          <w:sz w:val="24"/>
          <w:szCs w:val="24"/>
        </w:rPr>
        <w:t xml:space="preserve">The difference between a language model and an agent is what happens after the first answer. </w:t>
      </w:r>
      <w:r w:rsidR="00000000" w:rsidRPr="00B57A77">
        <w:rPr>
          <w:sz w:val="24"/>
          <w:szCs w:val="24"/>
        </w:rPr>
        <w:t xml:space="preserve"> An agentic system does more. It plans a sequence of steps, calls outside tools to carry them out, and works toward a goal with limited human prompting, all inside a defined set of guardrails (Grand View Research, 2025). A clinical example makes the difference </w:t>
      </w:r>
      <w:proofErr w:type="gramStart"/>
      <w:r w:rsidR="00000000" w:rsidRPr="00B57A77">
        <w:rPr>
          <w:sz w:val="24"/>
          <w:szCs w:val="24"/>
        </w:rPr>
        <w:t>concrete:</w:t>
      </w:r>
      <w:proofErr w:type="gramEnd"/>
      <w:r w:rsidR="00000000" w:rsidRPr="00B57A77">
        <w:rPr>
          <w:sz w:val="24"/>
          <w:szCs w:val="24"/>
        </w:rPr>
        <w:t xml:space="preserve"> given a patient’s symptoms, history, and vitals, an agent can pull the relevant guidelines, reason through a differential diagnosis, attach likely billing codes, and flag anything that looks wrong, much the way a clinician runs a workup.</w:t>
      </w:r>
    </w:p>
    <w:p w14:paraId="72A97CC0" w14:textId="77777777" w:rsidR="00F71928" w:rsidRPr="00B57A77" w:rsidRDefault="00000000">
      <w:pPr>
        <w:spacing w:after="120" w:line="264" w:lineRule="auto"/>
        <w:jc w:val="both"/>
        <w:rPr>
          <w:sz w:val="24"/>
          <w:szCs w:val="24"/>
        </w:rPr>
      </w:pPr>
      <w:r w:rsidRPr="00B57A77">
        <w:rPr>
          <w:sz w:val="24"/>
          <w:szCs w:val="24"/>
        </w:rPr>
        <w:t xml:space="preserve">What lets a model reason in steps rather than guess in one shot is chain-of-thought prompting. Wei et al. (2022) showed that asking a model to write out its intermediate reasoning sharply improves its performance on multi-step problems. The side effect is the part that matters in healthcare: the model leaves behind a reasoning trail that a person can </w:t>
      </w:r>
      <w:proofErr w:type="gramStart"/>
      <w:r w:rsidRPr="00B57A77">
        <w:rPr>
          <w:sz w:val="24"/>
          <w:szCs w:val="24"/>
        </w:rPr>
        <w:t>actually read</w:t>
      </w:r>
      <w:proofErr w:type="gramEnd"/>
      <w:r w:rsidRPr="00B57A77">
        <w:rPr>
          <w:sz w:val="24"/>
          <w:szCs w:val="24"/>
        </w:rPr>
        <w:t xml:space="preserve"> and check. When a clinician, a coder, and an auditor may each need to follow the same logic, that visibility is the point.</w:t>
      </w:r>
    </w:p>
    <w:p w14:paraId="6B23BB52" w14:textId="77777777" w:rsidR="00F71928" w:rsidRPr="00B57A77" w:rsidRDefault="00000000">
      <w:pPr>
        <w:pStyle w:val="Heading1"/>
        <w:spacing w:before="160" w:after="90"/>
        <w:rPr>
          <w:sz w:val="36"/>
          <w:szCs w:val="36"/>
        </w:rPr>
      </w:pPr>
      <w:r w:rsidRPr="00B57A77">
        <w:rPr>
          <w:b/>
          <w:bCs/>
          <w:sz w:val="28"/>
          <w:szCs w:val="28"/>
        </w:rPr>
        <w:t>2.  Three Market Trends (2025–2026)</w:t>
      </w:r>
    </w:p>
    <w:p w14:paraId="54D63671" w14:textId="77777777" w:rsidR="00F71928" w:rsidRPr="00B57A77" w:rsidRDefault="00000000">
      <w:pPr>
        <w:spacing w:after="120" w:line="264" w:lineRule="auto"/>
        <w:jc w:val="both"/>
        <w:rPr>
          <w:sz w:val="24"/>
          <w:szCs w:val="24"/>
        </w:rPr>
      </w:pPr>
      <w:r w:rsidRPr="00B57A77">
        <w:rPr>
          <w:b/>
          <w:bCs/>
          <w:sz w:val="24"/>
          <w:szCs w:val="24"/>
        </w:rPr>
        <w:t xml:space="preserve">Money is moving into healthcare-specific agents. </w:t>
      </w:r>
      <w:r w:rsidRPr="00B57A77">
        <w:rPr>
          <w:sz w:val="24"/>
          <w:szCs w:val="24"/>
        </w:rPr>
        <w:t>The agentic AI in healthcare market sat near USD 0.54–0.80 billion in 2024–2025 and is forecast to grow at roughly a 44–46% annual rate through 2030, on its way to about USD 5 billion. The wider AI-in-healthcare market was around USD 36.7 billion in 2025 (Grand View Research, 2025). Most of that demand sits in diagnosis and clinical decision-making, which is the Treatment side of TPO.</w:t>
      </w:r>
    </w:p>
    <w:p w14:paraId="38F37E6B" w14:textId="77777777" w:rsidR="00F71928" w:rsidRPr="00B57A77" w:rsidRDefault="00000000">
      <w:pPr>
        <w:spacing w:after="120" w:line="264" w:lineRule="auto"/>
        <w:jc w:val="both"/>
        <w:rPr>
          <w:sz w:val="24"/>
          <w:szCs w:val="24"/>
        </w:rPr>
      </w:pPr>
      <w:r w:rsidRPr="00B57A77">
        <w:rPr>
          <w:b/>
          <w:bCs/>
          <w:sz w:val="24"/>
          <w:szCs w:val="24"/>
        </w:rPr>
        <w:t xml:space="preserve">Adoption just crossed the halfway mark. </w:t>
      </w:r>
      <w:r w:rsidRPr="00B57A77">
        <w:rPr>
          <w:sz w:val="24"/>
          <w:szCs w:val="24"/>
        </w:rPr>
        <w:t>In McKinsey’s fourth-quarter 2025 survey, half of the healthcare organizations polled had put generative AI into production, up from a quarter in 2023, and 19% had moved further into agentic AI (McKinsey &amp; Company, 2026). The area leaders named most often was administrative efficiency, which is exactly where payment-integrity work lives.</w:t>
      </w:r>
    </w:p>
    <w:p w14:paraId="7045A1E4" w14:textId="77777777" w:rsidR="00F71928" w:rsidRPr="00B57A77" w:rsidRDefault="00000000">
      <w:pPr>
        <w:spacing w:after="120" w:line="264" w:lineRule="auto"/>
        <w:jc w:val="both"/>
        <w:rPr>
          <w:sz w:val="24"/>
          <w:szCs w:val="24"/>
        </w:rPr>
      </w:pPr>
      <w:r w:rsidRPr="00B57A77">
        <w:rPr>
          <w:b/>
          <w:bCs/>
          <w:sz w:val="24"/>
          <w:szCs w:val="24"/>
        </w:rPr>
        <w:t xml:space="preserve">The savings at stake are concentrated in operations. </w:t>
      </w:r>
      <w:r w:rsidRPr="00B57A77">
        <w:rPr>
          <w:sz w:val="24"/>
          <w:szCs w:val="24"/>
        </w:rPr>
        <w:t>Broader AI adoption could cut U.S. health spending by 5 to 10 percent, somewhere between USD 200 and 360 billion a year. Payers are projected to capture USD 80–110 billion of that, mostly by automating claims, catching fraud, and sharpening care management (Sahni et al., 2023).</w:t>
      </w:r>
    </w:p>
    <w:p w14:paraId="3A608B8F" w14:textId="77777777" w:rsidR="00F71928" w:rsidRPr="00B57A77" w:rsidRDefault="00000000">
      <w:pPr>
        <w:pStyle w:val="Heading1"/>
        <w:spacing w:before="160" w:after="90"/>
        <w:rPr>
          <w:sz w:val="36"/>
          <w:szCs w:val="36"/>
        </w:rPr>
      </w:pPr>
      <w:r w:rsidRPr="00B57A77">
        <w:rPr>
          <w:b/>
          <w:bCs/>
          <w:sz w:val="28"/>
          <w:szCs w:val="28"/>
        </w:rPr>
        <w:t>3.  From Rule-Based to Hybrid, AI-Governed Systems</w:t>
      </w:r>
    </w:p>
    <w:p w14:paraId="24D6BDCD" w14:textId="77777777" w:rsidR="00F71928" w:rsidRPr="00B57A77" w:rsidRDefault="00000000">
      <w:pPr>
        <w:spacing w:after="120" w:line="264" w:lineRule="auto"/>
        <w:jc w:val="both"/>
        <w:rPr>
          <w:sz w:val="24"/>
          <w:szCs w:val="24"/>
        </w:rPr>
      </w:pPr>
      <w:r w:rsidRPr="00B57A77">
        <w:rPr>
          <w:sz w:val="24"/>
          <w:szCs w:val="24"/>
        </w:rPr>
        <w:t xml:space="preserve">For years, payment integrity and clinical screening ran on fixed rule engines. Rules are precise and easy to audit, but they break down on coding patterns no one anticipated and on the messy free text that fills real medical records. The newer designs are hybrid: they keep the deterministic rules and </w:t>
      </w:r>
      <w:r w:rsidRPr="00B57A77">
        <w:rPr>
          <w:sz w:val="24"/>
          <w:szCs w:val="24"/>
        </w:rPr>
        <w:lastRenderedPageBreak/>
        <w:t>validators, wrap them around language-model agents that can read unstructured text, and then add retrieval grounding, confidence scores, and a human reviewer in the loop.</w:t>
      </w:r>
    </w:p>
    <w:p w14:paraId="5D3C1493" w14:textId="77777777" w:rsidR="00F71928" w:rsidRPr="00B57A77" w:rsidRDefault="00000000">
      <w:pPr>
        <w:spacing w:after="120" w:line="264" w:lineRule="auto"/>
        <w:jc w:val="both"/>
        <w:rPr>
          <w:sz w:val="24"/>
          <w:szCs w:val="24"/>
        </w:rPr>
      </w:pPr>
      <w:r w:rsidRPr="00B57A77">
        <w:rPr>
          <w:sz w:val="24"/>
          <w:szCs w:val="24"/>
        </w:rPr>
        <w:t xml:space="preserve">This is happening under closer regulatory watch, not </w:t>
      </w:r>
      <w:proofErr w:type="gramStart"/>
      <w:r w:rsidRPr="00B57A77">
        <w:rPr>
          <w:sz w:val="24"/>
          <w:szCs w:val="24"/>
        </w:rPr>
        <w:t>in spite of</w:t>
      </w:r>
      <w:proofErr w:type="gramEnd"/>
      <w:r w:rsidRPr="00B57A77">
        <w:rPr>
          <w:sz w:val="24"/>
          <w:szCs w:val="24"/>
        </w:rPr>
        <w:t xml:space="preserve"> it. The FDA’s 2025 draft guidance lays out a total-product-lifecycle approach with pre-approved change-control plans, and the CMS Interoperability and Prior Authorization Final Rule, in effect since January 2026, is pushing payers to automate whether they planned to or not. For a company like Cotiviti, governance is turning into less of an obstacle and more of the thing that makes deployment possible at all (McKinsey &amp; Company, 2026).</w:t>
      </w:r>
    </w:p>
    <w:p w14:paraId="1E655537" w14:textId="77777777" w:rsidR="00F71928" w:rsidRPr="00B57A77" w:rsidRDefault="00000000">
      <w:pPr>
        <w:pStyle w:val="Heading1"/>
        <w:spacing w:before="160" w:after="90"/>
        <w:rPr>
          <w:sz w:val="36"/>
          <w:szCs w:val="36"/>
        </w:rPr>
      </w:pPr>
      <w:r w:rsidRPr="00B57A77">
        <w:rPr>
          <w:b/>
          <w:bCs/>
          <w:sz w:val="28"/>
          <w:szCs w:val="28"/>
        </w:rPr>
        <w:t>4.  Opportunities</w:t>
      </w:r>
    </w:p>
    <w:p w14:paraId="3082EB55" w14:textId="77777777" w:rsidR="00F71928" w:rsidRPr="00B57A77" w:rsidRDefault="00000000">
      <w:pPr>
        <w:spacing w:after="120" w:line="264" w:lineRule="auto"/>
        <w:jc w:val="both"/>
        <w:rPr>
          <w:sz w:val="24"/>
          <w:szCs w:val="24"/>
        </w:rPr>
      </w:pPr>
      <w:r w:rsidRPr="00B57A77">
        <w:rPr>
          <w:b/>
          <w:bCs/>
          <w:sz w:val="24"/>
          <w:szCs w:val="24"/>
        </w:rPr>
        <w:t xml:space="preserve">Payment integrity. </w:t>
      </w:r>
      <w:r w:rsidRPr="00B57A77">
        <w:rPr>
          <w:sz w:val="24"/>
          <w:szCs w:val="24"/>
        </w:rPr>
        <w:t>The numbers are large enough to define the opportunity on their own. In FY2024 the Medicare Fee-for-Service improper-payment rate was 7.66%, or USD 31.7 billion (CMS, 2024), and improper payments across all CMS programs reached USD 87.1 billion (KFF, 2025). Most of those errors trace back to insufficient documentation rather than outright fraud (CMS, 2024). That detail matters. If the problem is mostly missing or mismatched paperwork, then an agent that can retrieve records, check a claim against policy, and assemble the supporting evidence is aimed straight at the cause. It is also the closest fit to what Cotiviti already does.</w:t>
      </w:r>
    </w:p>
    <w:p w14:paraId="298AF93E" w14:textId="77777777" w:rsidR="00F71928" w:rsidRPr="00B57A77" w:rsidRDefault="00000000">
      <w:pPr>
        <w:spacing w:after="120" w:line="264" w:lineRule="auto"/>
        <w:jc w:val="both"/>
        <w:rPr>
          <w:sz w:val="24"/>
          <w:szCs w:val="24"/>
        </w:rPr>
      </w:pPr>
      <w:r w:rsidRPr="00B57A77">
        <w:rPr>
          <w:b/>
          <w:bCs/>
          <w:sz w:val="24"/>
          <w:szCs w:val="24"/>
        </w:rPr>
        <w:t xml:space="preserve">Clinical decision support. </w:t>
      </w:r>
      <w:r w:rsidRPr="00B57A77">
        <w:rPr>
          <w:sz w:val="24"/>
          <w:szCs w:val="24"/>
        </w:rPr>
        <w:t>A chain-of-thought agent can lay out a triage or differential-diagnosis path that a clinician can then check line by line. The technology is good but not finished. Bedi et al. (2025) found real gaps in how faithfully large language models reason through medical cases, a useful reminder that these systems belong under clinician supervision rather than on their own.</w:t>
      </w:r>
    </w:p>
    <w:p w14:paraId="53887F70" w14:textId="77777777" w:rsidR="00F71928" w:rsidRPr="00B57A77" w:rsidRDefault="00000000">
      <w:pPr>
        <w:spacing w:after="120" w:line="264" w:lineRule="auto"/>
        <w:jc w:val="both"/>
        <w:rPr>
          <w:sz w:val="24"/>
          <w:szCs w:val="24"/>
        </w:rPr>
      </w:pPr>
      <w:r w:rsidRPr="00B57A77">
        <w:rPr>
          <w:b/>
          <w:bCs/>
          <w:sz w:val="24"/>
          <w:szCs w:val="24"/>
        </w:rPr>
        <w:t xml:space="preserve">Fraud and anomaly detection. </w:t>
      </w:r>
      <w:r w:rsidRPr="00B57A77">
        <w:rPr>
          <w:sz w:val="24"/>
          <w:szCs w:val="24"/>
        </w:rPr>
        <w:t>Pattern-recognition and time-series agents can catch unusual billing and emerging waste while it is still small. Medicare’s recent experience with skin-substitute products is a good illustration. Spending jumped from USD 1.6 billion in 2022 to more than USD 10 billion in 2024 (KFF, 2025). A monitor watching for that kind of curve would have flagged it well before the total reached ten figures.</w:t>
      </w:r>
    </w:p>
    <w:p w14:paraId="368DC334" w14:textId="77777777" w:rsidR="00F71928" w:rsidRPr="00B57A77" w:rsidRDefault="00000000">
      <w:pPr>
        <w:pStyle w:val="Heading1"/>
        <w:spacing w:before="160" w:after="90"/>
        <w:rPr>
          <w:sz w:val="36"/>
          <w:szCs w:val="36"/>
        </w:rPr>
      </w:pPr>
      <w:r w:rsidRPr="00B57A77">
        <w:rPr>
          <w:b/>
          <w:bCs/>
          <w:sz w:val="28"/>
          <w:szCs w:val="28"/>
        </w:rPr>
        <w:t>5.  Threats</w:t>
      </w:r>
    </w:p>
    <w:p w14:paraId="778681B9" w14:textId="77777777" w:rsidR="00F71928" w:rsidRPr="00B57A77" w:rsidRDefault="00000000">
      <w:pPr>
        <w:spacing w:after="120" w:line="264" w:lineRule="auto"/>
        <w:jc w:val="both"/>
        <w:rPr>
          <w:sz w:val="24"/>
          <w:szCs w:val="24"/>
        </w:rPr>
      </w:pPr>
      <w:r w:rsidRPr="00B57A77">
        <w:rPr>
          <w:b/>
          <w:bCs/>
          <w:sz w:val="24"/>
          <w:szCs w:val="24"/>
        </w:rPr>
        <w:t xml:space="preserve">Hallucination. </w:t>
      </w:r>
      <w:r w:rsidRPr="00B57A77">
        <w:rPr>
          <w:sz w:val="24"/>
          <w:szCs w:val="24"/>
        </w:rPr>
        <w:t xml:space="preserve">This is the threat that should worry a payment-integrity vendor most. In a study of six leading models, researchers wrote 300 physician-reviewed vignettes and planted a single fake detail in each. The models repeated or built on that false detail in 50 to 82 percent of cases, and a mitigation prompt cut the rate by about half without ever eliminating it (Omar et al., 2025). A made-up code or a fabricated finding is not a minor error in this setting, which is why retrieval grounding and a human check </w:t>
      </w:r>
      <w:proofErr w:type="gramStart"/>
      <w:r w:rsidRPr="00B57A77">
        <w:rPr>
          <w:sz w:val="24"/>
          <w:szCs w:val="24"/>
        </w:rPr>
        <w:t>have to</w:t>
      </w:r>
      <w:proofErr w:type="gramEnd"/>
      <w:r w:rsidRPr="00B57A77">
        <w:rPr>
          <w:sz w:val="24"/>
          <w:szCs w:val="24"/>
        </w:rPr>
        <w:t xml:space="preserve"> stay in the design.</w:t>
      </w:r>
    </w:p>
    <w:p w14:paraId="7E2B7C42" w14:textId="77777777" w:rsidR="00F71928" w:rsidRPr="00B57A77" w:rsidRDefault="00000000">
      <w:pPr>
        <w:spacing w:after="120" w:line="264" w:lineRule="auto"/>
        <w:jc w:val="both"/>
        <w:rPr>
          <w:sz w:val="24"/>
          <w:szCs w:val="24"/>
        </w:rPr>
      </w:pPr>
      <w:r w:rsidRPr="00B57A77">
        <w:rPr>
          <w:b/>
          <w:bCs/>
          <w:sz w:val="24"/>
          <w:szCs w:val="24"/>
        </w:rPr>
        <w:t xml:space="preserve">HIPAA and regulatory exposure. </w:t>
      </w:r>
      <w:r w:rsidRPr="00B57A77">
        <w:rPr>
          <w:sz w:val="24"/>
          <w:szCs w:val="24"/>
        </w:rPr>
        <w:t>Sending protected health information to a language model brings HIPAA obligations with it: business-associate agreements, de-identification, and audit logging. The rules are still moving, too, between evolving FDA guidance on AI and the CMS prior-authorization mandate. A vendor that cannot show compliant infrastructure will struggle to get in the door at all.</w:t>
      </w:r>
    </w:p>
    <w:p w14:paraId="654AD8F3" w14:textId="77777777" w:rsidR="00F71928" w:rsidRPr="00B57A77" w:rsidRDefault="00000000">
      <w:pPr>
        <w:spacing w:after="120" w:line="264" w:lineRule="auto"/>
        <w:jc w:val="both"/>
        <w:rPr>
          <w:sz w:val="24"/>
          <w:szCs w:val="24"/>
        </w:rPr>
      </w:pPr>
      <w:r w:rsidRPr="00B57A77">
        <w:rPr>
          <w:b/>
          <w:bCs/>
          <w:sz w:val="24"/>
          <w:szCs w:val="24"/>
        </w:rPr>
        <w:t xml:space="preserve">Model bias in underrepresented populations. </w:t>
      </w:r>
      <w:r w:rsidRPr="00B57A77">
        <w:rPr>
          <w:sz w:val="24"/>
          <w:szCs w:val="24"/>
        </w:rPr>
        <w:t xml:space="preserve">The clearest warning comes from Obermeyer et al. (2019). A widely used risk algorithm, applied to roughly 200 million Americans, kept rating Black </w:t>
      </w:r>
      <w:r w:rsidRPr="00B57A77">
        <w:rPr>
          <w:sz w:val="24"/>
          <w:szCs w:val="24"/>
        </w:rPr>
        <w:lastRenderedPageBreak/>
        <w:t xml:space="preserve">patients as healthier than they </w:t>
      </w:r>
      <w:proofErr w:type="gramStart"/>
      <w:r w:rsidRPr="00B57A77">
        <w:rPr>
          <w:sz w:val="24"/>
          <w:szCs w:val="24"/>
        </w:rPr>
        <w:t>actually were</w:t>
      </w:r>
      <w:proofErr w:type="gramEnd"/>
      <w:r w:rsidRPr="00B57A77">
        <w:rPr>
          <w:sz w:val="24"/>
          <w:szCs w:val="24"/>
        </w:rPr>
        <w:t xml:space="preserve"> because it used past spending as a stand-in for need. When the researchers corrected the target variable, the share of Black patients flagged for extra care rose from 17.7% to 46.5%. Any payment or decision model trained on uneven utilization data can repeat that mistake.</w:t>
      </w:r>
    </w:p>
    <w:p w14:paraId="0371CE8E" w14:textId="77777777" w:rsidR="00F71928" w:rsidRPr="00B57A77" w:rsidRDefault="00000000">
      <w:pPr>
        <w:pStyle w:val="Heading1"/>
        <w:spacing w:before="160" w:after="90"/>
        <w:rPr>
          <w:sz w:val="36"/>
          <w:szCs w:val="36"/>
        </w:rPr>
      </w:pPr>
      <w:r w:rsidRPr="00B57A77">
        <w:rPr>
          <w:b/>
          <w:bCs/>
          <w:sz w:val="28"/>
          <w:szCs w:val="28"/>
        </w:rPr>
        <w:t>6.  Strategic Recommendations for Cotiviti</w:t>
      </w:r>
    </w:p>
    <w:p w14:paraId="400DBCC2" w14:textId="77777777" w:rsidR="00F71928" w:rsidRPr="00B57A77" w:rsidRDefault="00000000">
      <w:pPr>
        <w:spacing w:after="120" w:line="264" w:lineRule="auto"/>
        <w:jc w:val="both"/>
        <w:rPr>
          <w:sz w:val="24"/>
          <w:szCs w:val="24"/>
        </w:rPr>
      </w:pPr>
      <w:r w:rsidRPr="00B57A77">
        <w:rPr>
          <w:b/>
          <w:bCs/>
          <w:sz w:val="24"/>
          <w:szCs w:val="24"/>
        </w:rPr>
        <w:t xml:space="preserve">Recommendation 1: Build a hybrid, governed payment-integrity agent. </w:t>
      </w:r>
      <w:r w:rsidRPr="00B57A77">
        <w:rPr>
          <w:sz w:val="24"/>
          <w:szCs w:val="24"/>
        </w:rPr>
        <w:t>Keep Cotiviti’s existing rules and put retrieval-grounded LLM agents on top of them, with confidence scoring and an automatic handoff to a human reviewer on any high-dollar or low-confidence claim, and audit logging throughout. A design like this goes after the USD 31.7 billion improper-payment figure while keeping hallucination contained, and it gives the AI Governance Program named in the job description something concrete to run.</w:t>
      </w:r>
    </w:p>
    <w:p w14:paraId="6A0F2788" w14:textId="77777777" w:rsidR="00F71928" w:rsidRPr="00B57A77" w:rsidRDefault="00000000">
      <w:pPr>
        <w:spacing w:after="120" w:line="264" w:lineRule="auto"/>
        <w:jc w:val="both"/>
        <w:rPr>
          <w:sz w:val="24"/>
          <w:szCs w:val="24"/>
        </w:rPr>
      </w:pPr>
      <w:r w:rsidRPr="00B57A77">
        <w:rPr>
          <w:b/>
          <w:bCs/>
          <w:sz w:val="24"/>
          <w:szCs w:val="24"/>
        </w:rPr>
        <w:t xml:space="preserve">Recommendation 2: Make assurance and fairness a product, not a checkbox. </w:t>
      </w:r>
      <w:r w:rsidRPr="00B57A77">
        <w:rPr>
          <w:sz w:val="24"/>
          <w:szCs w:val="24"/>
        </w:rPr>
        <w:t>Bake a standing evaluation harness into every model: adversarial hallucination tests along the lines of Omar et al. (2025), plus subgroup fairness audits in the spirit of Obermeyer et al. (2019), with results written up in plain model cards. As payers scramble to meet the CMS prior-authorization rule that took effect in January 2026, being able to prove a model is safe and fair is both a compliance requirement and an edge most competitors will not have yet (McKinsey &amp; Company, 2026).</w:t>
      </w:r>
    </w:p>
    <w:p w14:paraId="626C6A11" w14:textId="77777777" w:rsidR="00F71928" w:rsidRPr="00B57A77" w:rsidRDefault="00000000">
      <w:pPr>
        <w:pStyle w:val="Heading1"/>
        <w:pageBreakBefore/>
        <w:spacing w:after="160"/>
        <w:jc w:val="center"/>
        <w:rPr>
          <w:sz w:val="40"/>
          <w:szCs w:val="40"/>
        </w:rPr>
      </w:pPr>
      <w:r w:rsidRPr="00B57A77">
        <w:rPr>
          <w:b/>
          <w:bCs/>
        </w:rPr>
        <w:lastRenderedPageBreak/>
        <w:t>References</w:t>
      </w:r>
    </w:p>
    <w:p w14:paraId="742DE9F6" w14:textId="47BE7501" w:rsidR="00F71928" w:rsidRPr="00B57A77" w:rsidRDefault="00000000">
      <w:pPr>
        <w:spacing w:after="120" w:line="264" w:lineRule="auto"/>
        <w:ind w:left="720" w:hanging="720"/>
        <w:rPr>
          <w:sz w:val="28"/>
          <w:szCs w:val="28"/>
        </w:rPr>
      </w:pPr>
      <w:r w:rsidRPr="00B57A77">
        <w:rPr>
          <w:sz w:val="28"/>
          <w:szCs w:val="28"/>
        </w:rPr>
        <w:t xml:space="preserve">Bedi, S., Jiang, Y., Chung, P., </w:t>
      </w:r>
      <w:proofErr w:type="spellStart"/>
      <w:r w:rsidRPr="00B57A77">
        <w:rPr>
          <w:sz w:val="28"/>
          <w:szCs w:val="28"/>
        </w:rPr>
        <w:t>Koyejo</w:t>
      </w:r>
      <w:proofErr w:type="spellEnd"/>
      <w:r w:rsidRPr="00B57A77">
        <w:rPr>
          <w:sz w:val="28"/>
          <w:szCs w:val="28"/>
        </w:rPr>
        <w:t xml:space="preserve">, S., &amp; Shah, N. (2025). Fidelity of medical reasoning in large language models. </w:t>
      </w:r>
      <w:r w:rsidRPr="00B57A77">
        <w:rPr>
          <w:i/>
          <w:iCs/>
          <w:sz w:val="28"/>
          <w:szCs w:val="28"/>
        </w:rPr>
        <w:t>JAMA Network Open, 8</w:t>
      </w:r>
      <w:r w:rsidRPr="00B57A77">
        <w:rPr>
          <w:sz w:val="28"/>
          <w:szCs w:val="28"/>
        </w:rPr>
        <w:t>(8), e2526021.</w:t>
      </w:r>
      <w:r w:rsidR="00B57A77">
        <w:rPr>
          <w:sz w:val="28"/>
          <w:szCs w:val="28"/>
        </w:rPr>
        <w:t xml:space="preserve"> </w:t>
      </w:r>
    </w:p>
    <w:p w14:paraId="20756FC4" w14:textId="77777777" w:rsidR="00F71928" w:rsidRPr="00B57A77" w:rsidRDefault="00000000">
      <w:pPr>
        <w:spacing w:after="120" w:line="264" w:lineRule="auto"/>
        <w:ind w:left="720" w:hanging="720"/>
        <w:rPr>
          <w:sz w:val="28"/>
          <w:szCs w:val="28"/>
        </w:rPr>
      </w:pPr>
      <w:r w:rsidRPr="00B57A77">
        <w:rPr>
          <w:sz w:val="28"/>
          <w:szCs w:val="28"/>
        </w:rPr>
        <w:t xml:space="preserve">Centers for Medicare &amp; Medicaid Services. (2024, November 22). </w:t>
      </w:r>
      <w:r w:rsidRPr="00B57A77">
        <w:rPr>
          <w:i/>
          <w:iCs/>
          <w:sz w:val="28"/>
          <w:szCs w:val="28"/>
        </w:rPr>
        <w:t>Fiscal year 2024 improper payments fact sheet.</w:t>
      </w:r>
      <w:r w:rsidRPr="00B57A77">
        <w:rPr>
          <w:sz w:val="28"/>
          <w:szCs w:val="28"/>
        </w:rPr>
        <w:t xml:space="preserve"> </w:t>
      </w:r>
      <w:hyperlink r:id="rId7" w:history="1">
        <w:r w:rsidRPr="00B57A77">
          <w:rPr>
            <w:rStyle w:val="Hyperlink"/>
            <w:sz w:val="28"/>
            <w:szCs w:val="28"/>
          </w:rPr>
          <w:t>https://www.cms.gov/newsroom/fact-sheets/fiscal-year-2024-improper-payments-fact-sheet</w:t>
        </w:r>
      </w:hyperlink>
    </w:p>
    <w:p w14:paraId="544D6D2C" w14:textId="77777777" w:rsidR="00F71928" w:rsidRPr="00B57A77" w:rsidRDefault="00000000">
      <w:pPr>
        <w:spacing w:after="120" w:line="264" w:lineRule="auto"/>
        <w:ind w:left="720" w:hanging="720"/>
        <w:rPr>
          <w:sz w:val="28"/>
          <w:szCs w:val="28"/>
        </w:rPr>
      </w:pPr>
      <w:r w:rsidRPr="00B57A77">
        <w:rPr>
          <w:sz w:val="28"/>
          <w:szCs w:val="28"/>
        </w:rPr>
        <w:t xml:space="preserve">Grand View Research. (2025). </w:t>
      </w:r>
      <w:r w:rsidRPr="00B57A77">
        <w:rPr>
          <w:i/>
          <w:iCs/>
          <w:sz w:val="28"/>
          <w:szCs w:val="28"/>
        </w:rPr>
        <w:t>Agentic AI in healthcare market size, share &amp; trends analysis report.</w:t>
      </w:r>
      <w:r w:rsidRPr="00B57A77">
        <w:rPr>
          <w:sz w:val="28"/>
          <w:szCs w:val="28"/>
        </w:rPr>
        <w:t xml:space="preserve"> </w:t>
      </w:r>
      <w:hyperlink r:id="rId8" w:history="1">
        <w:r w:rsidRPr="00B57A77">
          <w:rPr>
            <w:rStyle w:val="Hyperlink"/>
            <w:sz w:val="28"/>
            <w:szCs w:val="28"/>
          </w:rPr>
          <w:t>https://www.grandviewresearch.com/industry-analysis/agentic-ai-healthcare-market-report</w:t>
        </w:r>
      </w:hyperlink>
    </w:p>
    <w:p w14:paraId="396208F3" w14:textId="77777777" w:rsidR="00F71928" w:rsidRPr="00B57A77" w:rsidRDefault="00000000">
      <w:pPr>
        <w:spacing w:after="120" w:line="264" w:lineRule="auto"/>
        <w:ind w:left="720" w:hanging="720"/>
        <w:rPr>
          <w:sz w:val="28"/>
          <w:szCs w:val="28"/>
        </w:rPr>
      </w:pPr>
      <w:r w:rsidRPr="00B57A77">
        <w:rPr>
          <w:sz w:val="28"/>
          <w:szCs w:val="28"/>
        </w:rPr>
        <w:t xml:space="preserve">Kaiser Family Foundation. (2025). </w:t>
      </w:r>
      <w:r w:rsidRPr="00B57A77">
        <w:rPr>
          <w:i/>
          <w:iCs/>
          <w:sz w:val="28"/>
          <w:szCs w:val="28"/>
        </w:rPr>
        <w:t>Medicare program integrity and efforts to root out improper payments, fraud, waste and abuse.</w:t>
      </w:r>
      <w:r w:rsidRPr="00B57A77">
        <w:rPr>
          <w:sz w:val="28"/>
          <w:szCs w:val="28"/>
        </w:rPr>
        <w:t xml:space="preserve"> </w:t>
      </w:r>
      <w:hyperlink r:id="rId9" w:history="1">
        <w:r w:rsidRPr="00B57A77">
          <w:rPr>
            <w:rStyle w:val="Hyperlink"/>
            <w:sz w:val="28"/>
            <w:szCs w:val="28"/>
          </w:rPr>
          <w:t>https://www.kff.org/medicare/medicare-program-integrity-and-efforts-to-root-out-improper-payments-fraud-waste-and-abuse/</w:t>
        </w:r>
      </w:hyperlink>
    </w:p>
    <w:p w14:paraId="00FE3590" w14:textId="77777777" w:rsidR="00F71928" w:rsidRPr="00B57A77" w:rsidRDefault="00000000">
      <w:pPr>
        <w:spacing w:after="120" w:line="264" w:lineRule="auto"/>
        <w:ind w:left="720" w:hanging="720"/>
        <w:rPr>
          <w:sz w:val="28"/>
          <w:szCs w:val="28"/>
        </w:rPr>
      </w:pPr>
      <w:r w:rsidRPr="00B57A77">
        <w:rPr>
          <w:sz w:val="28"/>
          <w:szCs w:val="28"/>
        </w:rPr>
        <w:t xml:space="preserve">McKinsey &amp; Company. (2026). </w:t>
      </w:r>
      <w:r w:rsidRPr="00B57A77">
        <w:rPr>
          <w:i/>
          <w:iCs/>
          <w:sz w:val="28"/>
          <w:szCs w:val="28"/>
        </w:rPr>
        <w:t xml:space="preserve">Generative AI in healthcare: Current trends and </w:t>
      </w:r>
      <w:proofErr w:type="gramStart"/>
      <w:r w:rsidRPr="00B57A77">
        <w:rPr>
          <w:i/>
          <w:iCs/>
          <w:sz w:val="28"/>
          <w:szCs w:val="28"/>
        </w:rPr>
        <w:t>future outlook</w:t>
      </w:r>
      <w:proofErr w:type="gramEnd"/>
      <w:r w:rsidRPr="00B57A77">
        <w:rPr>
          <w:i/>
          <w:iCs/>
          <w:sz w:val="28"/>
          <w:szCs w:val="28"/>
        </w:rPr>
        <w:t>.</w:t>
      </w:r>
      <w:r w:rsidRPr="00B57A77">
        <w:rPr>
          <w:sz w:val="28"/>
          <w:szCs w:val="28"/>
        </w:rPr>
        <w:t xml:space="preserve"> </w:t>
      </w:r>
      <w:hyperlink r:id="rId10" w:history="1">
        <w:r w:rsidRPr="00B57A77">
          <w:rPr>
            <w:rStyle w:val="Hyperlink"/>
            <w:sz w:val="28"/>
            <w:szCs w:val="28"/>
          </w:rPr>
          <w:t>https://www.mckinsey.com/industries/healthcare/our-insights/generative-ai-in-healthcare-current-trends-and-future-outlook</w:t>
        </w:r>
      </w:hyperlink>
    </w:p>
    <w:p w14:paraId="33597C47" w14:textId="4BC4A72F" w:rsidR="00F71928" w:rsidRPr="00B57A77" w:rsidRDefault="00000000">
      <w:pPr>
        <w:spacing w:after="120" w:line="264" w:lineRule="auto"/>
        <w:ind w:left="720" w:hanging="720"/>
        <w:rPr>
          <w:sz w:val="28"/>
          <w:szCs w:val="28"/>
        </w:rPr>
      </w:pPr>
      <w:r w:rsidRPr="00B57A77">
        <w:rPr>
          <w:sz w:val="28"/>
          <w:szCs w:val="28"/>
        </w:rPr>
        <w:t xml:space="preserve">Obermeyer, Z., Powers, B., Vogeli, C., &amp; Mullainathan, S. (2019). Dissecting racial bias in an algorithm used to manage the health of populations. </w:t>
      </w:r>
      <w:r w:rsidRPr="00B57A77">
        <w:rPr>
          <w:i/>
          <w:iCs/>
          <w:sz w:val="28"/>
          <w:szCs w:val="28"/>
        </w:rPr>
        <w:t>Science, 366</w:t>
      </w:r>
      <w:r w:rsidRPr="00B57A77">
        <w:rPr>
          <w:sz w:val="28"/>
          <w:szCs w:val="28"/>
        </w:rPr>
        <w:t xml:space="preserve">(6464), 447–453. </w:t>
      </w:r>
      <w:hyperlink r:id="rId11" w:history="1">
        <w:r w:rsidR="00B57A77" w:rsidRPr="00D10154">
          <w:rPr>
            <w:rStyle w:val="Hyperlink"/>
            <w:sz w:val="28"/>
            <w:szCs w:val="28"/>
          </w:rPr>
          <w:t>https://doi.org/10.1126/science.aax2342</w:t>
        </w:r>
      </w:hyperlink>
      <w:r w:rsidR="00B57A77">
        <w:rPr>
          <w:sz w:val="28"/>
          <w:szCs w:val="28"/>
        </w:rPr>
        <w:t xml:space="preserve"> </w:t>
      </w:r>
    </w:p>
    <w:p w14:paraId="0B0174A8" w14:textId="52011F8E" w:rsidR="00F71928" w:rsidRPr="00B57A77" w:rsidRDefault="00000000">
      <w:pPr>
        <w:spacing w:after="120" w:line="264" w:lineRule="auto"/>
        <w:ind w:left="720" w:hanging="720"/>
        <w:rPr>
          <w:sz w:val="28"/>
          <w:szCs w:val="28"/>
        </w:rPr>
      </w:pPr>
      <w:r w:rsidRPr="00B57A77">
        <w:rPr>
          <w:sz w:val="28"/>
          <w:szCs w:val="28"/>
        </w:rPr>
        <w:t xml:space="preserve">Omar, M., et al. (2025). Multi-model assurance analysis showing large language models are highly vulnerable to adversarial hallucination attacks during clinical decision support. </w:t>
      </w:r>
      <w:r w:rsidRPr="00B57A77">
        <w:rPr>
          <w:i/>
          <w:iCs/>
          <w:sz w:val="28"/>
          <w:szCs w:val="28"/>
        </w:rPr>
        <w:t>Communications Medicine, 5</w:t>
      </w:r>
      <w:r w:rsidRPr="00B57A77">
        <w:rPr>
          <w:sz w:val="28"/>
          <w:szCs w:val="28"/>
        </w:rPr>
        <w:t xml:space="preserve">(1), 330. </w:t>
      </w:r>
      <w:hyperlink r:id="rId12" w:history="1">
        <w:r w:rsidR="00B57A77" w:rsidRPr="00D10154">
          <w:rPr>
            <w:rStyle w:val="Hyperlink"/>
            <w:sz w:val="28"/>
            <w:szCs w:val="28"/>
          </w:rPr>
          <w:t>https://doi.org/10.1038/s43856-025-01021-3</w:t>
        </w:r>
      </w:hyperlink>
      <w:r w:rsidR="00B57A77">
        <w:rPr>
          <w:sz w:val="28"/>
          <w:szCs w:val="28"/>
        </w:rPr>
        <w:t xml:space="preserve"> </w:t>
      </w:r>
    </w:p>
    <w:p w14:paraId="51E50D3C" w14:textId="753685F8" w:rsidR="00F71928" w:rsidRPr="00B57A77" w:rsidRDefault="00000000">
      <w:pPr>
        <w:spacing w:after="120" w:line="264" w:lineRule="auto"/>
        <w:ind w:left="720" w:hanging="720"/>
        <w:rPr>
          <w:sz w:val="28"/>
          <w:szCs w:val="28"/>
        </w:rPr>
      </w:pPr>
      <w:r w:rsidRPr="00B57A77">
        <w:rPr>
          <w:sz w:val="28"/>
          <w:szCs w:val="28"/>
        </w:rPr>
        <w:t xml:space="preserve">Sahni, N., Stein, G., </w:t>
      </w:r>
      <w:proofErr w:type="spellStart"/>
      <w:r w:rsidRPr="00B57A77">
        <w:rPr>
          <w:sz w:val="28"/>
          <w:szCs w:val="28"/>
        </w:rPr>
        <w:t>Zemmel</w:t>
      </w:r>
      <w:proofErr w:type="spellEnd"/>
      <w:r w:rsidRPr="00B57A77">
        <w:rPr>
          <w:sz w:val="28"/>
          <w:szCs w:val="28"/>
        </w:rPr>
        <w:t xml:space="preserve">, R., &amp; Cutler, D. M. (2023). </w:t>
      </w:r>
      <w:r w:rsidRPr="00B57A77">
        <w:rPr>
          <w:i/>
          <w:iCs/>
          <w:sz w:val="28"/>
          <w:szCs w:val="28"/>
        </w:rPr>
        <w:t>The potential impact of artificial intelligence on healthcare spending</w:t>
      </w:r>
      <w:r w:rsidRPr="00B57A77">
        <w:rPr>
          <w:sz w:val="28"/>
          <w:szCs w:val="28"/>
        </w:rPr>
        <w:t xml:space="preserve"> (Working Paper No. 30857). National Bureau of Economic Research.</w:t>
      </w:r>
      <w:r w:rsidR="00B57A77">
        <w:rPr>
          <w:sz w:val="28"/>
          <w:szCs w:val="28"/>
        </w:rPr>
        <w:t xml:space="preserve"> </w:t>
      </w:r>
    </w:p>
    <w:p w14:paraId="5B39A1D5" w14:textId="77777777" w:rsidR="00F71928" w:rsidRPr="00B57A77" w:rsidRDefault="00000000">
      <w:pPr>
        <w:spacing w:after="120" w:line="264" w:lineRule="auto"/>
        <w:ind w:left="720" w:hanging="720"/>
        <w:rPr>
          <w:sz w:val="28"/>
          <w:szCs w:val="28"/>
        </w:rPr>
      </w:pPr>
      <w:r w:rsidRPr="00B57A77">
        <w:rPr>
          <w:sz w:val="28"/>
          <w:szCs w:val="28"/>
        </w:rPr>
        <w:t xml:space="preserve">Wei, J., Wang, X., Schuurmans, D., Bosma, M., </w:t>
      </w:r>
      <w:proofErr w:type="spellStart"/>
      <w:r w:rsidRPr="00B57A77">
        <w:rPr>
          <w:sz w:val="28"/>
          <w:szCs w:val="28"/>
        </w:rPr>
        <w:t>Ichter</w:t>
      </w:r>
      <w:proofErr w:type="spellEnd"/>
      <w:r w:rsidRPr="00B57A77">
        <w:rPr>
          <w:sz w:val="28"/>
          <w:szCs w:val="28"/>
        </w:rPr>
        <w:t xml:space="preserve">, B., Xia, F., Chi, E., Le, Q. V., &amp; Zhou, D. (2022). Chain-of-thought prompting elicits reasoning in large language models. </w:t>
      </w:r>
      <w:r w:rsidRPr="00B57A77">
        <w:rPr>
          <w:i/>
          <w:iCs/>
          <w:sz w:val="28"/>
          <w:szCs w:val="28"/>
        </w:rPr>
        <w:t>Advances in Neural Information Processing Systems, 35</w:t>
      </w:r>
      <w:r w:rsidRPr="00B57A77">
        <w:rPr>
          <w:sz w:val="28"/>
          <w:szCs w:val="28"/>
        </w:rPr>
        <w:t>, 24824–24837.</w:t>
      </w:r>
    </w:p>
    <w:sectPr w:rsidR="00F71928" w:rsidRPr="00B57A77">
      <w:footerReference w:type="default" r:id="rId13"/>
      <w:pgSz w:w="12240" w:h="15840"/>
      <w:pgMar w:top="1170" w:right="1170" w:bottom="1170" w:left="11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D9CF9" w14:textId="77777777" w:rsidR="00E433F0" w:rsidRDefault="00E433F0">
      <w:r>
        <w:separator/>
      </w:r>
    </w:p>
  </w:endnote>
  <w:endnote w:type="continuationSeparator" w:id="0">
    <w:p w14:paraId="124BA7A5" w14:textId="77777777" w:rsidR="00E433F0" w:rsidRDefault="00E43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87D7" w14:textId="77777777" w:rsidR="00F71928" w:rsidRDefault="00000000">
    <w:pPr>
      <w:jc w:val="center"/>
    </w:pPr>
    <w:r>
      <w:rPr>
        <w:color w:val="888888"/>
        <w:sz w:val="16"/>
        <w:szCs w:val="16"/>
      </w:rPr>
      <w:t xml:space="preserve">Yash Bhamore  |  Cotiviti GenAI Assessment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57A7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8E7D9" w14:textId="77777777" w:rsidR="00E433F0" w:rsidRDefault="00E433F0">
      <w:r>
        <w:separator/>
      </w:r>
    </w:p>
  </w:footnote>
  <w:footnote w:type="continuationSeparator" w:id="0">
    <w:p w14:paraId="621C7C82" w14:textId="77777777" w:rsidR="00E433F0" w:rsidRDefault="00E43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C68"/>
    <w:multiLevelType w:val="hybridMultilevel"/>
    <w:tmpl w:val="D8CA680C"/>
    <w:lvl w:ilvl="0" w:tplc="1CD2E6AE">
      <w:start w:val="1"/>
      <w:numFmt w:val="bullet"/>
      <w:lvlText w:val="●"/>
      <w:lvlJc w:val="left"/>
      <w:pPr>
        <w:ind w:left="720" w:hanging="360"/>
      </w:pPr>
    </w:lvl>
    <w:lvl w:ilvl="1" w:tplc="556805EC">
      <w:start w:val="1"/>
      <w:numFmt w:val="bullet"/>
      <w:lvlText w:val="○"/>
      <w:lvlJc w:val="left"/>
      <w:pPr>
        <w:ind w:left="1440" w:hanging="360"/>
      </w:pPr>
    </w:lvl>
    <w:lvl w:ilvl="2" w:tplc="8EB2EC06">
      <w:start w:val="1"/>
      <w:numFmt w:val="bullet"/>
      <w:lvlText w:val="■"/>
      <w:lvlJc w:val="left"/>
      <w:pPr>
        <w:ind w:left="2160" w:hanging="360"/>
      </w:pPr>
    </w:lvl>
    <w:lvl w:ilvl="3" w:tplc="5F76A58E">
      <w:start w:val="1"/>
      <w:numFmt w:val="bullet"/>
      <w:lvlText w:val="●"/>
      <w:lvlJc w:val="left"/>
      <w:pPr>
        <w:ind w:left="2880" w:hanging="360"/>
      </w:pPr>
    </w:lvl>
    <w:lvl w:ilvl="4" w:tplc="D4C4230A">
      <w:start w:val="1"/>
      <w:numFmt w:val="bullet"/>
      <w:lvlText w:val="○"/>
      <w:lvlJc w:val="left"/>
      <w:pPr>
        <w:ind w:left="3600" w:hanging="360"/>
      </w:pPr>
    </w:lvl>
    <w:lvl w:ilvl="5" w:tplc="A8ECF8C4">
      <w:start w:val="1"/>
      <w:numFmt w:val="bullet"/>
      <w:lvlText w:val="■"/>
      <w:lvlJc w:val="left"/>
      <w:pPr>
        <w:ind w:left="4320" w:hanging="360"/>
      </w:pPr>
    </w:lvl>
    <w:lvl w:ilvl="6" w:tplc="134A6258">
      <w:start w:val="1"/>
      <w:numFmt w:val="bullet"/>
      <w:lvlText w:val="●"/>
      <w:lvlJc w:val="left"/>
      <w:pPr>
        <w:ind w:left="5040" w:hanging="360"/>
      </w:pPr>
    </w:lvl>
    <w:lvl w:ilvl="7" w:tplc="50C8646C">
      <w:start w:val="1"/>
      <w:numFmt w:val="bullet"/>
      <w:lvlText w:val="●"/>
      <w:lvlJc w:val="left"/>
      <w:pPr>
        <w:ind w:left="5760" w:hanging="360"/>
      </w:pPr>
    </w:lvl>
    <w:lvl w:ilvl="8" w:tplc="FD10FD08">
      <w:start w:val="1"/>
      <w:numFmt w:val="bullet"/>
      <w:lvlText w:val="●"/>
      <w:lvlJc w:val="left"/>
      <w:pPr>
        <w:ind w:left="6480" w:hanging="360"/>
      </w:pPr>
    </w:lvl>
  </w:abstractNum>
  <w:num w:numId="1" w16cid:durableId="1126848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928"/>
    <w:rsid w:val="005869DF"/>
    <w:rsid w:val="00B57A77"/>
    <w:rsid w:val="00E433F0"/>
    <w:rsid w:val="00F71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D5BB5E"/>
  <w15:docId w15:val="{DF461916-5E19-A044-9323-C4D58784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57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randviewresearch.com/industry-analysis/agentic-ai-healthcare-market-repor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ms.gov/newsroom/fact-sheets/fiscal-year-2024-improper-payments-fact-sheet" TargetMode="External"/><Relationship Id="rId12" Type="http://schemas.openxmlformats.org/officeDocument/2006/relationships/hyperlink" Target="https://doi.org/10.1038/s43856-025-0102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26/science.aax2342"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mckinsey.com/industries/healthcare/our-insights/generative-ai-in-healthcare-current-trends-and-future-outlook" TargetMode="External"/><Relationship Id="rId4" Type="http://schemas.openxmlformats.org/officeDocument/2006/relationships/webSettings" Target="webSettings.xml"/><Relationship Id="rId9" Type="http://schemas.openxmlformats.org/officeDocument/2006/relationships/hyperlink" Target="https://www.kff.org/medicare/medicare-program-integrity-and-efforts-to-root-out-improper-payments-fraud-waste-and-abus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1519</Words>
  <Characters>8659</Characters>
  <Application>Microsoft Office Word</Application>
  <DocSecurity>0</DocSecurity>
  <Lines>72</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Bhamore, Yash</cp:lastModifiedBy>
  <cp:revision>2</cp:revision>
  <dcterms:created xsi:type="dcterms:W3CDTF">2026-06-27T22:49:00Z</dcterms:created>
  <dcterms:modified xsi:type="dcterms:W3CDTF">2026-06-27T23:18:00Z</dcterms:modified>
</cp:coreProperties>
</file>