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480"/>
        <w:jc w:val="center"/>
      </w:pPr>
      <w:r>
        <w:rPr>
          <w:rFonts w:ascii="Arial" w:cs="Arial" w:eastAsia="Arial" w:hAnsi="Arial"/>
          <w:b/>
          <w:bCs/>
          <w:color w:val="1F4E79"/>
          <w:sz w:val="52"/>
          <w:szCs w:val="52"/>
        </w:rPr>
        <w:t xml:space="preserve">OSCC Detection Model</w:t>
      </w:r>
    </w:p>
    <w:p>
      <w:pPr>
        <w:spacing w:after="120" w:before="120"/>
        <w:jc w:val="center"/>
      </w:pPr>
      <w:r>
        <w:rPr>
          <w:rFonts w:ascii="Arial" w:cs="Arial" w:eastAsia="Arial" w:hAnsi="Arial"/>
          <w:b/>
          <w:bCs/>
          <w:color w:val="2E75B6"/>
          <w:sz w:val="36"/>
          <w:szCs w:val="36"/>
        </w:rPr>
        <w:t xml:space="preserve">Explainable AI (XAI) — Summary Report</w:t>
      </w:r>
    </w:p>
    <w:p>
      <w:pPr>
        <w:pBdr>
          <w:bottom w:val="single" w:color="1F4E79" w:sz="8" w:space="1"/>
        </w:pBdr>
        <w:spacing w:after="240" w:before="120"/>
        <w:jc w:val="center"/>
      </w:pPr>
      <w:r>
        <w:rPr>
          <w:sz w:val="22"/>
          <w:szCs w:val="22"/>
        </w:rPr>
        <w:t xml:space="preserve"/>
      </w:r>
    </w:p>
    <w:p>
      <w:pPr>
        <w:spacing w:after="120" w:before="240"/>
        <w:jc w:val="center"/>
      </w:pPr>
      <w:r>
        <w:rPr>
          <w:rFonts w:ascii="Arial" w:cs="Arial" w:eastAsia="Arial" w:hAnsi="Arial"/>
          <w:i/>
          <w:iCs/>
          <w:color w:val="555555"/>
          <w:sz w:val="24"/>
          <w:szCs w:val="24"/>
        </w:rPr>
        <w:t xml:space="preserve">Preliminary Test Dataset Evaluation</w:t>
      </w:r>
    </w:p>
    <w:p>
      <w:pPr>
        <w:spacing w:after="480" w:before="80"/>
        <w:jc w:val="center"/>
      </w:pPr>
      <w:r>
        <w:rPr>
          <w:rFonts w:ascii="Arial" w:cs="Arial" w:eastAsia="Arial" w:hAnsi="Arial"/>
          <w:color w:val="777777"/>
          <w:sz w:val="22"/>
          <w:szCs w:val="22"/>
        </w:rPr>
        <w:t xml:space="preserve">April 2026</w:t>
      </w:r>
    </w:p>
    <w:p>
      <w:pPr>
        <w:spacing w:after="120" w:before="120"/>
      </w:pPr>
      <w:r>
        <w:t xml:space="preserve"/>
      </w:r>
    </w:p>
    <w:p>
      <w:pPr>
        <w:spacing w:after="120" w:before="120"/>
      </w:pPr>
      <w:r>
        <w:t xml:space="preserve"/>
      </w:r>
    </w:p>
    <w:p>
      <w:pPr>
        <w:spacing w:after="120" w:before="120"/>
      </w:pPr>
      <w:r>
        <w:t xml:space="preserve"/>
      </w:r>
    </w:p>
    <w:p>
      <w:r>
        <w:br w:type="page"/>
      </w:r>
    </w:p>
    <w:p>
      <w:pPr>
        <w:pStyle w:val="Heading1"/>
        <w:pBdr>
          <w:bottom w:val="single" w:color="1F4E79" w:sz="6" w:space="1"/>
        </w:pBdr>
        <w:spacing w:after="160" w:before="360"/>
      </w:pPr>
      <w:r>
        <w:rPr>
          <w:rFonts w:ascii="Arial" w:cs="Arial" w:eastAsia="Arial" w:hAnsi="Arial"/>
          <w:b/>
          <w:bCs/>
          <w:color w:val="1F4E79"/>
          <w:sz w:val="32"/>
          <w:szCs w:val="32"/>
        </w:rPr>
        <w:t xml:space="preserve">1. Project Overview</w:t>
      </w:r>
    </w:p>
    <w:p>
      <w:pPr>
        <w:spacing w:after="80" w:before="80"/>
        <w:jc w:val="left"/>
      </w:pPr>
      <w:r>
        <w:rPr>
          <w:rFonts w:ascii="Arial" w:cs="Arial" w:eastAsia="Arial" w:hAnsi="Arial"/>
          <w:sz w:val="22"/>
          <w:szCs w:val="22"/>
        </w:rPr>
        <w:t xml:space="preserve">This report summarises the Explainable AI (XAI) evaluation conducted on the EfficientNetB3-based deep learning model developed for Oral Squamous Cell Carcinoma (OSCC) detection from histopathology images. The objective of this evaluation was to interpret model predictions using two XAI techniques — Grad-CAM and LIME — and identify any patterns, biases, or areas for improvement ahead of final dataset creation and model retraining.</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1.1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5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Base Model</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EfficientNetB3 (ImageNet pretrained)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Input 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224 x 224 x 3 (RGB)</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Pooling</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Global Max Pooling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Head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BatchNorm -&gt; Dense(256, ReLU, L1/L2 reg) -&gt; Dropout(0.45) -&gt; Dense(2, Softmax)</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Optimizer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Adamax (lr=0.001)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Loss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Categorical Crossentropy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Output Classes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OSCC, Normal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Saved Format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.keras (Keras 3 compatible)</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1.2 Evaluation Dataset (Preliminary Test Set)</w:t>
      </w:r>
    </w:p>
    <w:p>
      <w:pPr>
        <w:spacing w:after="80" w:before="80"/>
        <w:jc w:val="left"/>
      </w:pPr>
      <w:r>
        <w:rPr>
          <w:rFonts w:ascii="Arial" w:cs="Arial" w:eastAsia="Arial" w:hAnsi="Arial"/>
          <w:sz w:val="22"/>
          <w:szCs w:val="22"/>
        </w:rPr>
        <w:t xml:space="preserve">Note: This is a preliminary test dataset used for XAI evaluation only. A custom, curated dataset is currently being created for final model training and evaluation.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Class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Total Images Available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Images Used for XAI</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Magnifications Present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OSCC</w:t>
            </w:r>
          </w:p>
        </w:tc>
        <w:tc>
          <w:tcPr>
            <w:tcW w:type="dxa" w:w="23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239 MB worth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400x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81 MB worth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100x, 400x</w:t>
            </w:r>
          </w:p>
        </w:tc>
      </w:tr>
    </w:tbl>
    <w:p>
      <w:pPr>
        <w:spacing w:after="120" w:before="120"/>
      </w:pPr>
      <w:r>
        <w:t xml:space="preserve"/>
      </w:r>
    </w:p>
    <w:p>
      <w:r>
        <w:br w:type="page"/>
      </w:r>
    </w:p>
    <w:p>
      <w:pPr>
        <w:pStyle w:val="Heading1"/>
        <w:pBdr>
          <w:bottom w:val="single" w:color="1F4E79" w:sz="6" w:space="1"/>
        </w:pBdr>
        <w:spacing w:after="160" w:before="360"/>
      </w:pPr>
      <w:r>
        <w:rPr>
          <w:rFonts w:ascii="Arial" w:cs="Arial" w:eastAsia="Arial" w:hAnsi="Arial"/>
          <w:b/>
          <w:bCs/>
          <w:color w:val="1F4E79"/>
          <w:sz w:val="32"/>
          <w:szCs w:val="32"/>
        </w:rPr>
        <w:t xml:space="preserve">2. XAI Methods Applied</w:t>
      </w:r>
    </w:p>
    <w:p>
      <w:pPr>
        <w:pStyle w:val="Heading2"/>
        <w:spacing w:after="120" w:before="240"/>
      </w:pPr>
      <w:r>
        <w:rPr>
          <w:rFonts w:ascii="Arial" w:cs="Arial" w:eastAsia="Arial" w:hAnsi="Arial"/>
          <w:b/>
          <w:bCs/>
          <w:color w:val="2E75B6"/>
          <w:sz w:val="26"/>
          <w:szCs w:val="26"/>
        </w:rPr>
        <w:t xml:space="preserve">2.1 Grad-CAM (Gradient-weighted Class Activation Mapping)</w:t>
      </w:r>
    </w:p>
    <w:p>
      <w:pPr>
        <w:spacing w:after="80" w:before="80"/>
        <w:jc w:val="left"/>
      </w:pPr>
      <w:r>
        <w:rPr>
          <w:rFonts w:ascii="Arial" w:cs="Arial" w:eastAsia="Arial" w:hAnsi="Arial"/>
          <w:sz w:val="22"/>
          <w:szCs w:val="22"/>
        </w:rPr>
        <w:t xml:space="preserve">Grad-CAM generates a heatmap by computing the gradient of the predicted class score with respect to the final convolutional layer (top_conv in EfficientNetB3). Regions with high gradient values — shown in red/yellow — indicate areas that most strongly influenced the model's decision.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Property</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Target Layer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top_conv (inside EfficientNetB3 sublayer)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Colour heatmap overlaid on original image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Strengths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Fast, no extra libraries, shows spatial focus areas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Limitations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Coarse resolution, single gradient pass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Clinical Use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Shows WHERE the model is looking in the tissue</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2.2 LIME (Local Interpretable Model-agnostic Explanations)</w:t>
      </w:r>
    </w:p>
    <w:p>
      <w:pPr>
        <w:spacing w:after="80" w:before="80"/>
        <w:jc w:val="left"/>
      </w:pPr>
      <w:r>
        <w:rPr>
          <w:rFonts w:ascii="Arial" w:cs="Arial" w:eastAsia="Arial" w:hAnsi="Arial"/>
          <w:sz w:val="22"/>
          <w:szCs w:val="22"/>
        </w:rPr>
        <w:t xml:space="preserve">LIME perturbs the input image into superpixels and observes how prediction confidence changes when each region is hidden. It produces a segmentation map highlighting which regions positively (green) or negatively (red/pink) contribute to the predicted class.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Property</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Perturbation Samples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1000 per image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Segmentation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Superpixel-based (QuickSHIFT)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Output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Colour-coded region boundaries on original image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Strengths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Precise region boundaries, clinician-friendly, model-agnostic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Limitations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Slow (~1-2 min per image), stochastic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Clinical 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Shows WHICH specific tissue regions drive the diagnosis</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2.3 Grad-CAM vs LIME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Criterion</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Grad-CAM</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LIME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Speed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Fast (seconds)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Slow (1-2 min/image)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Precision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Coarse heatmap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Precise superpixel boundaries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Clinician Readability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Moderate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Model-agnostic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 (CNN-specific)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Yes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Deployment Suitability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Real-time overlay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On-demand explanation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Recommended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Quick screening overlay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Verification and audit</w:t>
            </w:r>
          </w:p>
        </w:tc>
      </w:tr>
    </w:tbl>
    <w:p>
      <w:pPr>
        <w:spacing w:after="120" w:before="120"/>
      </w:pPr>
      <w:r>
        <w:t xml:space="preserve"/>
      </w:r>
    </w:p>
    <w:p>
      <w:pPr>
        <w:spacing w:after="80" w:before="80"/>
        <w:jc w:val="left"/>
      </w:pPr>
      <w:r>
        <w:rPr>
          <w:rFonts w:ascii="Arial" w:cs="Arial" w:eastAsia="Arial" w:hAnsi="Arial"/>
          <w:sz w:val="22"/>
          <w:szCs w:val="22"/>
        </w:rPr>
        <w:t xml:space="preserve">Recommendation: Both methods should be included in the final deployment. Grad-CAM as the primary real-time overlay, LIME as the on-demand verification tool for clinicians to audit ambiguous cases.</w:t>
      </w:r>
    </w:p>
    <w:p>
      <w:pPr>
        <w:spacing w:after="120" w:before="120"/>
      </w:pPr>
      <w:r>
        <w:t xml:space="preserve"/>
      </w:r>
    </w:p>
    <w:p>
      <w:r>
        <w:br w:type="page"/>
      </w:r>
    </w:p>
    <w:p>
      <w:pPr>
        <w:pStyle w:val="Heading1"/>
        <w:pBdr>
          <w:bottom w:val="single" w:color="1F4E79" w:sz="6" w:space="1"/>
        </w:pBdr>
        <w:spacing w:after="160" w:before="360"/>
      </w:pPr>
      <w:r>
        <w:rPr>
          <w:rFonts w:ascii="Arial" w:cs="Arial" w:eastAsia="Arial" w:hAnsi="Arial"/>
          <w:b/>
          <w:bCs/>
          <w:color w:val="1F4E79"/>
          <w:sz w:val="32"/>
          <w:szCs w:val="32"/>
        </w:rPr>
        <w:t xml:space="preserve">3. XAI Results — Single Image Analysis</w:t>
      </w:r>
    </w:p>
    <w:p>
      <w:pPr>
        <w:pStyle w:val="Heading2"/>
        <w:spacing w:after="120" w:before="240"/>
      </w:pPr>
      <w:r>
        <w:rPr>
          <w:rFonts w:ascii="Arial" w:cs="Arial" w:eastAsia="Arial" w:hAnsi="Arial"/>
          <w:b/>
          <w:bCs/>
          <w:color w:val="2E75B6"/>
          <w:sz w:val="26"/>
          <w:szCs w:val="26"/>
        </w:rPr>
        <w:t xml:space="preserve">3.1 OSCC Sample</w:t>
      </w:r>
    </w:p>
    <w:p>
      <w:pPr>
        <w:spacing w:after="80" w:before="80"/>
        <w:jc w:val="left"/>
      </w:pPr>
      <w:r>
        <w:rPr>
          <w:rFonts w:ascii="Arial" w:cs="Arial" w:eastAsia="Arial" w:hAnsi="Arial"/>
          <w:sz w:val="22"/>
          <w:szCs w:val="22"/>
        </w:rPr>
        <w:t xml:space="preserve">Prediction: OSCC | Confidence: 84.9%</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000"/>
        <w:gridCol w:w="380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Observation</w:t>
            </w:r>
          </w:p>
        </w:tc>
        <w:tc>
          <w:tcPr>
            <w:tcW w:type="dxa" w:w="3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Clinical Interpretation</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Grad-CAM</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Strong activation (red/orange) centred on the dense cellular mass in the upper-left region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Model focuses on tightly packed abnormal cell clusters — a hallmark of carcinoma tissue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Entire tumour mass highlighted as positive (green). No negative regions detected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Model uses the full cancerous region holistically. Consistent with OSCC pathology where cell density and irregularity are diffuse</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3.2 Normal Sample</w:t>
      </w:r>
    </w:p>
    <w:p>
      <w:pPr>
        <w:spacing w:after="80" w:before="80"/>
        <w:jc w:val="left"/>
      </w:pPr>
      <w:r>
        <w:rPr>
          <w:rFonts w:ascii="Arial" w:cs="Arial" w:eastAsia="Arial" w:hAnsi="Arial"/>
          <w:sz w:val="22"/>
          <w:szCs w:val="22"/>
        </w:rPr>
        <w:t xml:space="preserve">Prediction: Normal | Confidence: 84.1%</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000"/>
        <w:gridCol w:w="380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Observation</w:t>
            </w:r>
          </w:p>
        </w:tc>
        <w:tc>
          <w:tcPr>
            <w:tcW w:type="dxa" w:w="3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Clinical Interpretation</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Grad-CAM</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Activation focused on the epithelial tissue layer in the lower-centre. Background areas remain blue (low activation)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Model correctly identifies the normal epithelial architecture as the key feature for Normal classification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Stromal/connective tissue (lower half) highlighted green. Top-right region flagged red (negative)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The red region likely resembles denser tissue patterns, creating slight ambiguity. Model still correctly classifies using the stromal context</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3.3 Method Agreement</w:t>
      </w:r>
    </w:p>
    <w:p>
      <w:pPr>
        <w:spacing w:after="80" w:before="80"/>
        <w:jc w:val="left"/>
      </w:pPr>
      <w:r>
        <w:rPr>
          <w:rFonts w:ascii="Arial" w:cs="Arial" w:eastAsia="Arial" w:hAnsi="Arial"/>
          <w:sz w:val="22"/>
          <w:szCs w:val="22"/>
        </w:rPr>
        <w:t xml:space="preserve">Both Grad-CAM and LIME agreed on the diagnostically relevant regions for both samples. This cross-method consistency is a strong indicator that the model has learned genuine histopathological patterns rather than dataset-specific artefacts or background noise.</w:t>
      </w:r>
    </w:p>
    <w:p>
      <w:pPr>
        <w:spacing w:after="120" w:before="120"/>
      </w:pPr>
      <w:r>
        <w:t xml:space="preserve"/>
      </w:r>
    </w:p>
    <w:p>
      <w:r>
        <w:br w:type="page"/>
      </w:r>
    </w:p>
    <w:p>
      <w:pPr>
        <w:pStyle w:val="Heading1"/>
        <w:pBdr>
          <w:bottom w:val="single" w:color="1F4E79" w:sz="6" w:space="1"/>
        </w:pBdr>
        <w:spacing w:after="160" w:before="360"/>
      </w:pPr>
      <w:r>
        <w:rPr>
          <w:rFonts w:ascii="Arial" w:cs="Arial" w:eastAsia="Arial" w:hAnsi="Arial"/>
          <w:b/>
          <w:bCs/>
          <w:color w:val="1F4E79"/>
          <w:sz w:val="32"/>
          <w:szCs w:val="32"/>
        </w:rPr>
        <w:t xml:space="preserve">4. Batch Grad-CAM Analysis</w:t>
      </w:r>
    </w:p>
    <w:p>
      <w:pPr>
        <w:pStyle w:val="Heading2"/>
        <w:spacing w:after="120" w:before="240"/>
      </w:pPr>
      <w:r>
        <w:rPr>
          <w:rFonts w:ascii="Arial" w:cs="Arial" w:eastAsia="Arial" w:hAnsi="Arial"/>
          <w:b/>
          <w:bCs/>
          <w:color w:val="2E75B6"/>
          <w:sz w:val="26"/>
          <w:szCs w:val="26"/>
        </w:rPr>
        <w:t xml:space="preserve">4.1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Class</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Images Tested</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Correct</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Incorrect</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Accuracy</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OSCC</w:t>
            </w:r>
          </w:p>
        </w:tc>
        <w:tc>
          <w:tcPr>
            <w:tcW w:type="dxa" w:w="187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Normal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40%</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Overall</w:t>
            </w:r>
          </w:p>
        </w:tc>
        <w:tc>
          <w:tcPr>
            <w:tcW w:type="dxa" w:w="187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7</w:t>
            </w:r>
          </w:p>
        </w:tc>
        <w:tc>
          <w:tcPr>
            <w:tcW w:type="dxa" w:w="187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70%</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4.2 Key Finding — Magnification Bias</w:t>
      </w:r>
    </w:p>
    <w:p>
      <w:pPr>
        <w:spacing w:after="80" w:before="80"/>
        <w:jc w:val="left"/>
      </w:pPr>
      <w:r>
        <w:rPr>
          <w:rFonts w:ascii="Arial" w:cs="Arial" w:eastAsia="Arial" w:hAnsi="Arial"/>
          <w:sz w:val="22"/>
          <w:szCs w:val="22"/>
        </w:rPr>
        <w:t xml:space="preserve">The most significant finding from the batch analysis was a clear magnification bias in the Normal class predictions:</w:t>
      </w:r>
    </w:p>
    <w:p>
      <w:pPr>
        <w:spacing w:after="12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0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Image</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Magnification</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Prediction</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Confidence</w:t>
            </w:r>
          </w:p>
        </w:tc>
        <w:tc>
          <w:tcPr>
            <w:tcW w:type="dxa" w:w="10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Normal_100x_72.jpg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100x</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OSCC</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84.1%</w:t>
            </w:r>
          </w:p>
        </w:tc>
        <w:tc>
          <w:tcPr>
            <w:tcW w:type="dxa" w:w="1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WRONG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Normal_400x_65.jpg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400x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Normal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90.1%</w:t>
            </w:r>
          </w:p>
        </w:tc>
        <w:tc>
          <w:tcPr>
            <w:tcW w:type="dxa" w:w="1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CORRECT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Normal_100x_12.jpg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100x</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OSCC</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60.7%</w:t>
            </w:r>
          </w:p>
        </w:tc>
        <w:tc>
          <w:tcPr>
            <w:tcW w:type="dxa" w:w="1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WRONG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Normal_100x_83.jpg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100x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OSCC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75.1%</w:t>
            </w:r>
          </w:p>
        </w:tc>
        <w:tc>
          <w:tcPr>
            <w:tcW w:type="dxa" w:w="1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WRONG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Normal_400x_74.jpg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400x</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Normal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87.5%</w:t>
            </w:r>
          </w:p>
        </w:tc>
        <w:tc>
          <w:tcPr>
            <w:tcW w:type="dxa" w:w="10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CORRECT</w:t>
            </w:r>
          </w:p>
        </w:tc>
      </w:tr>
    </w:tbl>
    <w:p>
      <w:pPr>
        <w:spacing w:after="120" w:before="120"/>
      </w:pPr>
      <w:r>
        <w:t xml:space="preserve"/>
      </w:r>
    </w:p>
    <w:p>
      <w:pPr>
        <w:spacing w:after="80" w:before="80"/>
        <w:jc w:val="left"/>
      </w:pPr>
      <w:r>
        <w:rPr>
          <w:rFonts w:ascii="Arial" w:cs="Arial" w:eastAsia="Arial" w:hAnsi="Arial"/>
          <w:sz w:val="22"/>
          <w:szCs w:val="22"/>
        </w:rPr>
        <w:t xml:space="preserve">Pattern: Every misclassified Normal image was at 100x magnification. Every correctly classified Normal image was at 400x magnification. All 5 OSCC images (400x only) were classified correctly.</w:t>
      </w:r>
    </w:p>
    <w:p>
      <w:pPr>
        <w:spacing w:after="120" w:before="120"/>
      </w:pPr>
      <w:r>
        <w:t xml:space="preserve"/>
      </w:r>
    </w:p>
    <w:p>
      <w:pPr>
        <w:spacing w:after="80" w:before="80"/>
        <w:jc w:val="left"/>
      </w:pPr>
      <w:r>
        <w:rPr>
          <w:rFonts w:ascii="Arial" w:cs="Arial" w:eastAsia="Arial" w:hAnsi="Arial"/>
          <w:sz w:val="22"/>
          <w:szCs w:val="22"/>
        </w:rPr>
        <w:t xml:space="preserve">Root Cause: The model was likely trained predominantly on 400x magnification images. At 100x, tissue appears coarser and less detailed, causing the model to misinterpret the texture patterns of Normal tissue as OSCC-like.</w:t>
      </w:r>
    </w:p>
    <w:p>
      <w:pPr>
        <w:spacing w:after="120" w:before="120"/>
      </w:pPr>
      <w:r>
        <w:t xml:space="preserve"/>
      </w:r>
    </w:p>
    <w:p>
      <w:pPr>
        <w:spacing w:after="80" w:before="80"/>
        <w:jc w:val="left"/>
      </w:pPr>
      <w:r>
        <w:rPr>
          <w:rFonts w:ascii="Arial" w:cs="Arial" w:eastAsia="Arial" w:hAnsi="Arial"/>
          <w:sz w:val="22"/>
          <w:szCs w:val="22"/>
        </w:rPr>
        <w:t xml:space="preserve">Clinical Risk: In a real deployment, this bias could lead to false positives — Normal tissue at 100x being flagged as cancerous — which is unacceptable in a clinical screening tool.</w:t>
      </w:r>
    </w:p>
    <w:p>
      <w:pPr>
        <w:spacing w:after="120" w:before="120"/>
      </w:pPr>
      <w:r>
        <w:t xml:space="preserve"/>
      </w:r>
    </w:p>
    <w:p>
      <w:r>
        <w:br w:type="page"/>
      </w:r>
    </w:p>
    <w:p>
      <w:pPr>
        <w:pStyle w:val="Heading1"/>
        <w:pBdr>
          <w:bottom w:val="single" w:color="1F4E79" w:sz="6" w:space="1"/>
        </w:pBdr>
        <w:spacing w:after="160" w:before="360"/>
      </w:pPr>
      <w:r>
        <w:rPr>
          <w:rFonts w:ascii="Arial" w:cs="Arial" w:eastAsia="Arial" w:hAnsi="Arial"/>
          <w:b/>
          <w:bCs/>
          <w:color w:val="1F4E79"/>
          <w:sz w:val="32"/>
          <w:szCs w:val="32"/>
        </w:rPr>
        <w:t xml:space="preserve">5. Recommendations for Final Model</w:t>
      </w:r>
    </w:p>
    <w:p>
      <w:pPr>
        <w:pStyle w:val="Heading2"/>
        <w:spacing w:after="120" w:before="240"/>
      </w:pPr>
      <w:r>
        <w:rPr>
          <w:rFonts w:ascii="Arial" w:cs="Arial" w:eastAsia="Arial" w:hAnsi="Arial"/>
          <w:b/>
          <w:bCs/>
          <w:color w:val="2E75B6"/>
          <w:sz w:val="26"/>
          <w:szCs w:val="26"/>
        </w:rPr>
        <w:t xml:space="preserve">5.1 Dataset Construction</w:t>
      </w:r>
    </w:p>
    <w:p>
      <w:pPr>
        <w:pStyle w:val="ListParagraph"/>
        <w:numPr>
          <w:ilvl w:val="0"/>
          <w:numId w:val="2"/>
        </w:numPr>
        <w:spacing w:after="40" w:before="40"/>
      </w:pPr>
      <w:r>
        <w:rPr>
          <w:rFonts w:ascii="Arial" w:cs="Arial" w:eastAsia="Arial" w:hAnsi="Arial"/>
          <w:b w:val="false"/>
          <w:bCs w:val="false"/>
          <w:sz w:val="22"/>
          <w:szCs w:val="22"/>
        </w:rPr>
        <w:t xml:space="preserve">Balance 100x and 400x images equally across both OSCC and Normal classes</w:t>
      </w:r>
    </w:p>
    <w:p>
      <w:pPr>
        <w:pStyle w:val="ListParagraph"/>
        <w:numPr>
          <w:ilvl w:val="0"/>
          <w:numId w:val="2"/>
        </w:numPr>
        <w:spacing w:after="40" w:before="40"/>
      </w:pPr>
      <w:r>
        <w:rPr>
          <w:rFonts w:ascii="Arial" w:cs="Arial" w:eastAsia="Arial" w:hAnsi="Arial"/>
          <w:b w:val="false"/>
          <w:bCs w:val="false"/>
          <w:sz w:val="22"/>
          <w:szCs w:val="22"/>
        </w:rPr>
        <w:t xml:space="preserve">Include multiple magnification levels (40x, 100x, 200x, 400x) to build magnification-invariant features</w:t>
      </w:r>
    </w:p>
    <w:p>
      <w:pPr>
        <w:pStyle w:val="ListParagraph"/>
        <w:numPr>
          <w:ilvl w:val="0"/>
          <w:numId w:val="2"/>
        </w:numPr>
        <w:spacing w:after="40" w:before="40"/>
      </w:pPr>
      <w:r>
        <w:rPr>
          <w:rFonts w:ascii="Arial" w:cs="Arial" w:eastAsia="Arial" w:hAnsi="Arial"/>
          <w:b w:val="false"/>
          <w:bCs w:val="false"/>
          <w:sz w:val="22"/>
          <w:szCs w:val="22"/>
        </w:rPr>
        <w:t xml:space="preserve">Ensure class balance — OSCC dataset is significantly larger than Normal in the test set</w:t>
      </w:r>
    </w:p>
    <w:p>
      <w:pPr>
        <w:pStyle w:val="ListParagraph"/>
        <w:numPr>
          <w:ilvl w:val="0"/>
          <w:numId w:val="2"/>
        </w:numPr>
        <w:spacing w:after="40" w:before="40"/>
      </w:pPr>
      <w:r>
        <w:rPr>
          <w:rFonts w:ascii="Arial" w:cs="Arial" w:eastAsia="Arial" w:hAnsi="Arial"/>
          <w:b w:val="false"/>
          <w:bCs w:val="false"/>
          <w:sz w:val="22"/>
          <w:szCs w:val="22"/>
        </w:rPr>
        <w:t xml:space="preserve">Consider augmentation strategies specifically targeting magnification variation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5.2 XAI Integration in Final Pipeline</w:t>
      </w:r>
    </w:p>
    <w:p>
      <w:pPr>
        <w:pStyle w:val="ListParagraph"/>
        <w:numPr>
          <w:ilvl w:val="0"/>
          <w:numId w:val="2"/>
        </w:numPr>
        <w:spacing w:after="40" w:before="40"/>
      </w:pPr>
      <w:r>
        <w:rPr>
          <w:rFonts w:ascii="Arial" w:cs="Arial" w:eastAsia="Arial" w:hAnsi="Arial"/>
          <w:b w:val="false"/>
          <w:bCs w:val="false"/>
          <w:sz w:val="22"/>
          <w:szCs w:val="22"/>
        </w:rPr>
        <w:t xml:space="preserve">Grad-CAM: Include as real-time overlay during inference — fast and requires no extra computation</w:t>
      </w:r>
    </w:p>
    <w:p>
      <w:pPr>
        <w:pStyle w:val="ListParagraph"/>
        <w:numPr>
          <w:ilvl w:val="0"/>
          <w:numId w:val="2"/>
        </w:numPr>
        <w:spacing w:after="40" w:before="40"/>
      </w:pPr>
      <w:r>
        <w:rPr>
          <w:rFonts w:ascii="Arial" w:cs="Arial" w:eastAsia="Arial" w:hAnsi="Arial"/>
          <w:b w:val="false"/>
          <w:bCs w:val="false"/>
          <w:sz w:val="22"/>
          <w:szCs w:val="22"/>
        </w:rPr>
        <w:t xml:space="preserve">LIME: Integrate as an on-demand explanation tool triggered when confidence is below a threshold (e.g., &lt; 80%) or when a clinician requests verification</w:t>
      </w:r>
    </w:p>
    <w:p>
      <w:pPr>
        <w:pStyle w:val="ListParagraph"/>
        <w:numPr>
          <w:ilvl w:val="0"/>
          <w:numId w:val="2"/>
        </w:numPr>
        <w:spacing w:after="40" w:before="40"/>
      </w:pPr>
      <w:r>
        <w:rPr>
          <w:rFonts w:ascii="Arial" w:cs="Arial" w:eastAsia="Arial" w:hAnsi="Arial"/>
          <w:b w:val="false"/>
          <w:bCs w:val="false"/>
          <w:sz w:val="22"/>
          <w:szCs w:val="22"/>
        </w:rPr>
        <w:t xml:space="preserve">Display both explanations side-by-side for ambiguous cases to allow cross-validation</w:t>
      </w:r>
    </w:p>
    <w:p>
      <w:pPr>
        <w:pStyle w:val="ListParagraph"/>
        <w:numPr>
          <w:ilvl w:val="0"/>
          <w:numId w:val="2"/>
        </w:numPr>
        <w:spacing w:after="40" w:before="40"/>
      </w:pPr>
      <w:r>
        <w:rPr>
          <w:rFonts w:ascii="Arial" w:cs="Arial" w:eastAsia="Arial" w:hAnsi="Arial"/>
          <w:b w:val="false"/>
          <w:bCs w:val="false"/>
          <w:sz w:val="22"/>
          <w:szCs w:val="22"/>
        </w:rPr>
        <w:t xml:space="preserve">Add confidence score bar chart alongside predictions for transparency</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5.3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600"/>
        <w:gridCol w:w="286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Trigger</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Primary Explanation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Grad-CAM</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Every prediction</w:t>
            </w:r>
          </w:p>
        </w:tc>
        <w:tc>
          <w:tcPr>
            <w:tcW w:type="dxa" w:w="2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Real-time tissue focus overlay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Secondary Explanation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Low confidence or clinician request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Precise region verification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Confidence Display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Softmax probabilities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Every prediction</w:t>
            </w:r>
          </w:p>
        </w:tc>
        <w:tc>
          <w:tcPr>
            <w:tcW w:type="dxa" w:w="2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Transparency and calibration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Audit Trail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Both methods saved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Every prediction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Clinical record keeping</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5.4 Model Saving Strategy</w:t>
      </w:r>
    </w:p>
    <w:p>
      <w:pPr>
        <w:spacing w:after="80" w:before="80"/>
        <w:jc w:val="left"/>
      </w:pPr>
      <w:r>
        <w:rPr>
          <w:rFonts w:ascii="Arial" w:cs="Arial" w:eastAsia="Arial" w:hAnsi="Arial"/>
          <w:sz w:val="22"/>
          <w:szCs w:val="22"/>
        </w:rPr>
        <w:t xml:space="preserve">Both model formats should be maintained for compatibility:</w:t>
      </w:r>
    </w:p>
    <w:p>
      <w:pPr>
        <w:pStyle w:val="ListParagraph"/>
        <w:numPr>
          <w:ilvl w:val="0"/>
          <w:numId w:val="2"/>
        </w:numPr>
        <w:spacing w:after="40" w:before="40"/>
      </w:pPr>
      <w:r>
        <w:rPr>
          <w:rFonts w:ascii="Arial" w:cs="Arial" w:eastAsia="Arial" w:hAnsi="Arial"/>
          <w:b w:val="false"/>
          <w:bCs w:val="false"/>
          <w:sz w:val="22"/>
          <w:szCs w:val="22"/>
        </w:rPr>
        <w:t xml:space="preserve">oscc_model_rebuilt.keras — Primary format for Keras 3 / TensorFlow 2.16+ deployment</w:t>
      </w:r>
    </w:p>
    <w:p>
      <w:pPr>
        <w:pStyle w:val="ListParagraph"/>
        <w:numPr>
          <w:ilvl w:val="0"/>
          <w:numId w:val="2"/>
        </w:numPr>
        <w:spacing w:after="40" w:before="40"/>
      </w:pPr>
      <w:r>
        <w:rPr>
          <w:rFonts w:ascii="Arial" w:cs="Arial" w:eastAsia="Arial" w:hAnsi="Arial"/>
          <w:b w:val="false"/>
          <w:bCs w:val="false"/>
          <w:sz w:val="22"/>
          <w:szCs w:val="22"/>
        </w:rPr>
        <w:t xml:space="preserve">best_model_EfficientNet.h5 — Legacy format for compatibility with older TF/Keras pipelines</w:t>
      </w:r>
    </w:p>
    <w:p>
      <w:pPr>
        <w:spacing w:after="80" w:before="80"/>
        <w:jc w:val="left"/>
      </w:pPr>
      <w:r>
        <w:rPr>
          <w:rFonts w:ascii="Arial" w:cs="Arial" w:eastAsia="Arial" w:hAnsi="Arial"/>
          <w:sz w:val="22"/>
          <w:szCs w:val="22"/>
        </w:rPr>
        <w:t xml:space="preserve">For production deployment, the .keras format is recommended as .h5 is considered legacy in Keras 3.</w:t>
      </w:r>
    </w:p>
    <w:p>
      <w:pPr>
        <w:spacing w:after="120" w:before="120"/>
      </w:pPr>
      <w:r>
        <w:t xml:space="preserve"/>
      </w:r>
    </w:p>
    <w:p>
      <w:r>
        <w:br w:type="page"/>
      </w:r>
    </w:p>
    <w:p>
      <w:pPr>
        <w:pStyle w:val="Heading1"/>
        <w:pBdr>
          <w:bottom w:val="single" w:color="1F4E79" w:sz="6" w:space="1"/>
        </w:pBdr>
        <w:spacing w:after="160" w:before="360"/>
      </w:pPr>
      <w:r>
        <w:rPr>
          <w:rFonts w:ascii="Arial" w:cs="Arial" w:eastAsia="Arial" w:hAnsi="Arial"/>
          <w:b/>
          <w:bCs/>
          <w:color w:val="1F4E79"/>
          <w:sz w:val="32"/>
          <w:szCs w:val="32"/>
        </w:rPr>
        <w:t xml:space="preserve">6. Conclusion</w:t>
      </w:r>
    </w:p>
    <w:p>
      <w:pPr>
        <w:spacing w:after="80" w:before="80"/>
        <w:jc w:val="left"/>
      </w:pPr>
      <w:r>
        <w:rPr>
          <w:rFonts w:ascii="Arial" w:cs="Arial" w:eastAsia="Arial" w:hAnsi="Arial"/>
          <w:sz w:val="22"/>
          <w:szCs w:val="22"/>
        </w:rPr>
        <w:t xml:space="preserve">The XAI evaluation demonstrates that the current EfficientNetB3 model has learned clinically meaningful histopathological patterns for OSCC detection. Both Grad-CAM and LIME produce explanations that align with known pathological indicators — dense cellular masses for OSCC and stromal/epithelial architecture for Normal tissue.</w:t>
      </w:r>
    </w:p>
    <w:p>
      <w:pPr>
        <w:spacing w:after="120" w:before="120"/>
      </w:pPr>
      <w:r>
        <w:t xml:space="preserve"/>
      </w:r>
    </w:p>
    <w:p>
      <w:pPr>
        <w:spacing w:after="80" w:before="80"/>
        <w:jc w:val="left"/>
      </w:pPr>
      <w:r>
        <w:rPr>
          <w:rFonts w:ascii="Arial" w:cs="Arial" w:eastAsia="Arial" w:hAnsi="Arial"/>
          <w:sz w:val="22"/>
          <w:szCs w:val="22"/>
        </w:rPr>
        <w:t xml:space="preserve">The most actionable finding is the magnification bias: the model performs well on 400x images but struggles with 100x Normal tissue. This must be addressed in the final dataset by ensuring balanced magnification representation across both classes.</w:t>
      </w:r>
    </w:p>
    <w:p>
      <w:pPr>
        <w:spacing w:after="120" w:before="120"/>
      </w:pPr>
      <w:r>
        <w:t xml:space="preserve"/>
      </w:r>
    </w:p>
    <w:p>
      <w:pPr>
        <w:spacing w:after="80" w:before="80"/>
        <w:jc w:val="left"/>
      </w:pPr>
      <w:r>
        <w:rPr>
          <w:rFonts w:ascii="Arial" w:cs="Arial" w:eastAsia="Arial" w:hAnsi="Arial"/>
          <w:sz w:val="22"/>
          <w:szCs w:val="22"/>
        </w:rPr>
        <w:t xml:space="preserve">The dual XAI approach — Grad-CAM for real-time screening and LIME for clinician-facing verification — is well-suited for clinical deployment, offering both speed and interpretability. This combination provides the transparency required for medical AI tools to gain clinician trust and regulatory acceptance.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Aspect</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 Required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Model Architecture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Suitable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No change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OSCC Detection (400x)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Strong (100% batch accuracy)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Maintain in final dataset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Normal Detection (400x)</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Strong (confirmed)</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Maintain in final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Normal Detection (100x)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Weak — magnification bias identified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Balance magnifications in final dataset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Grad-CAM Integration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Complete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Include in final deployment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LIME Integration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Include as on-demand tool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Final Dataset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In progress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Prioritise magnification balance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Model Format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.keras (recommended)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Maintain both .keras and .h5</w:t>
            </w:r>
          </w:p>
        </w:tc>
      </w:tr>
    </w:tbl>
    <w:p>
      <w:pPr>
        <w:spacing w:after="120" w:before="120"/>
      </w:pPr>
      <w:r>
        <w:t xml:space="preserve"/>
      </w:r>
    </w:p>
    <w:p>
      <w:pPr>
        <w:spacing w:after="120" w:before="120"/>
      </w:pPr>
      <w:r>
        <w:t xml:space="preserve"/>
      </w:r>
    </w:p>
    <w:p>
      <w:pPr>
        <w:spacing w:before="480"/>
        <w:jc w:val="center"/>
      </w:pPr>
      <w:r>
        <w:rPr>
          <w:rFonts w:ascii="Arial" w:cs="Arial" w:eastAsia="Arial" w:hAnsi="Arial"/>
          <w:i/>
          <w:iCs/>
          <w:color w:val="888888"/>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026"/>
      </w:tabs>
      <w:spacing w:before="100"/>
    </w:pPr>
    <w:r>
      <w:rPr>
        <w:rFonts w:ascii="Arial" w:cs="Arial" w:eastAsia="Arial" w:hAnsi="Arial"/>
        <w:color w:val="888888"/>
        <w:sz w:val="16"/>
        <w:szCs w:val="16"/>
      </w:rPr>
      <w:t xml:space="preserve">Confidential — For Research Use Only</w:t>
    </w:r>
    <w:r>
      <w:rPr>
        <w:rFonts w:ascii="Arial" w:cs="Arial" w:eastAsia="Arial" w:hAnsi="Arial"/>
        <w:color w:val="888888"/>
        <w:sz w:val="16"/>
        <w:szCs w:val="16"/>
      </w:rPr>
      <w:t xml:space="preserve">	For Research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00"/>
      <w:jc w:val="left"/>
    </w:pPr>
    <w:r>
      <w:rPr>
        <w:rFonts w:ascii="Arial" w:cs="Arial" w:eastAsia="Arial" w:hAnsi="Arial"/>
        <w:i/>
        <w:iCs/>
        <w:color w:val="1F4E79"/>
        <w:sz w:val="18"/>
        <w:szCs w:val="18"/>
      </w:rPr>
      <w:t xml:space="preserve">OSCC Detection — Explainable AI (XAI)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2026-04-10T19:49:26.543Z</dcterms:created>
  <dcterms:modified xsi:type="dcterms:W3CDTF">2026-04-10T19:49:26.544Z</dcterms:modified>
</cp:coreProperties>
</file>

<file path=docProps/custom.xml><?xml version="1.0" encoding="utf-8"?>
<Properties xmlns="http://schemas.openxmlformats.org/officeDocument/2006/custom-properties" xmlns:vt="http://schemas.openxmlformats.org/officeDocument/2006/docPropsVTypes"/>
</file>