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F3802" w14:textId="1F3E53F6" w:rsidR="00853AF4" w:rsidRDefault="00000000">
      <w:pPr>
        <w:spacing w:after="0" w:line="480" w:lineRule="auto"/>
        <w:jc w:val="center"/>
      </w:pPr>
      <w:r>
        <w:rPr>
          <w:b/>
        </w:rPr>
        <w:t>Technical Report: Predicting Airbnb Listing Prices in the MSP Area</w:t>
      </w:r>
    </w:p>
    <w:p w14:paraId="7F23E261" w14:textId="414D95CE" w:rsidR="00853AF4" w:rsidRDefault="00000000">
      <w:pPr>
        <w:spacing w:after="0" w:line="480" w:lineRule="auto"/>
        <w:jc w:val="center"/>
      </w:pPr>
      <w:r>
        <w:t>STAT 1361 Final Project</w:t>
      </w:r>
    </w:p>
    <w:p w14:paraId="1EB0AF6E" w14:textId="77777777" w:rsidR="00853AF4" w:rsidRDefault="00000000">
      <w:pPr>
        <w:pStyle w:val="Heading1"/>
        <w:spacing w:before="0" w:line="480" w:lineRule="auto"/>
      </w:pPr>
      <w:r>
        <w:t>Introduction and Exploratory Data Analysis</w:t>
      </w:r>
    </w:p>
    <w:p w14:paraId="7B46E31A" w14:textId="1009E51C" w:rsidR="00853AF4" w:rsidRDefault="00000000">
      <w:pPr>
        <w:spacing w:after="0" w:line="480" w:lineRule="auto"/>
      </w:pPr>
      <w:r>
        <w:t>The goal of this project was to model nightly Airbnb prices in the Minneapolis-St. Paul (MSP) metropolitan area using listing characteristics from the training data. The response variable was nightly price, and the predictors included location, room type, structural features, review information, and host indicators. Because rental prices are usually right-skewed and sensitive to a small number of expensive listings, most models used log(price) rather than raw price. This made the modeling scale more regular and reduced the influence of extreme values.</w:t>
      </w:r>
    </w:p>
    <w:p w14:paraId="69835BF9" w14:textId="77777777" w:rsidR="00853AF4" w:rsidRDefault="00000000">
      <w:pPr>
        <w:spacing w:after="0" w:line="480" w:lineRule="auto"/>
      </w:pPr>
      <w:r>
        <w:t>Exploratory analysis focused mainly on variable screening and data validation. The predictors naturally grouped into location/listing type, physical size and capacity, review scores, and binary host-status indicators. Even before modeling, the variable set suggested that nightly price would depend on three broad forces: how large the unit is, what kind of listing it is, and where it is located within the MSP area.</w:t>
      </w:r>
    </w:p>
    <w:p w14:paraId="6F6C3F4A" w14:textId="77777777" w:rsidR="00853AF4" w:rsidRDefault="00000000">
      <w:pPr>
        <w:pStyle w:val="Heading1"/>
        <w:spacing w:before="0" w:line="480" w:lineRule="auto"/>
      </w:pPr>
      <w:r>
        <w:t>Data Oddities and Handling Decisions</w:t>
      </w:r>
    </w:p>
    <w:p w14:paraId="1CDA73AA" w14:textId="299C694D" w:rsidR="00D21205" w:rsidRDefault="00000000" w:rsidP="00D21205">
      <w:pPr>
        <w:spacing w:after="0" w:line="480" w:lineRule="auto"/>
      </w:pPr>
      <w:r>
        <w:t>The major preprocessing task was identifying invalid or inconsistent entries. Text fields were trimmed, squished, converted to lowercase, and checked for placeholders such as empty strings, '</w:t>
      </w:r>
      <w:proofErr w:type="spellStart"/>
      <w:r>
        <w:t>na</w:t>
      </w:r>
      <w:proofErr w:type="spellEnd"/>
      <w:r>
        <w:t xml:space="preserve">', 'null', and 'missing'. For </w:t>
      </w:r>
      <w:proofErr w:type="spellStart"/>
      <w:r>
        <w:t>room_type</w:t>
      </w:r>
      <w:proofErr w:type="spellEnd"/>
      <w:r>
        <w:t>, abbreviated or partial entries such as 'pr', '</w:t>
      </w:r>
      <w:proofErr w:type="spellStart"/>
      <w:r>
        <w:t>priv</w:t>
      </w:r>
      <w:proofErr w:type="spellEnd"/>
      <w:r>
        <w:t>', 'private', '</w:t>
      </w:r>
      <w:proofErr w:type="spellStart"/>
      <w:r>
        <w:t>ent</w:t>
      </w:r>
      <w:proofErr w:type="spellEnd"/>
      <w:r>
        <w:t>', and 'hotel' were treated as unusable and set to missing. Numeric fields were converted to numeric form, truncated where necessary, and negative values were set to missing because they are not meaningful for this problem.</w:t>
      </w:r>
      <w:r w:rsidR="002704F8">
        <w:t xml:space="preserve"> </w:t>
      </w:r>
      <w:r>
        <w:t xml:space="preserve">I also enforced variable-specific logical bounds. Bedrooms, bathrooms, accommodates, </w:t>
      </w:r>
      <w:proofErr w:type="spellStart"/>
      <w:r>
        <w:t>minimum_nights</w:t>
      </w:r>
      <w:proofErr w:type="spellEnd"/>
      <w:r>
        <w:t xml:space="preserve">, and price were required to be at least 1 in the training data. Review scores were restricted to the valid 1-5 range, binary indicators had to be </w:t>
      </w:r>
      <w:r>
        <w:lastRenderedPageBreak/>
        <w:t xml:space="preserve">either 0 or 1, </w:t>
      </w:r>
      <w:proofErr w:type="spellStart"/>
      <w:r>
        <w:t>minimum_nights</w:t>
      </w:r>
      <w:proofErr w:type="spellEnd"/>
      <w:r>
        <w:t xml:space="preserve"> values above 30 were treated as invalid, and prices above 2701 were set to missing as extreme outliers. </w:t>
      </w:r>
      <w:r w:rsidR="00D21205">
        <w:t xml:space="preserve">After this validation, complete-case analysis was used for the training set. I went with an aggressive approach of removing entire rows that had contained NA in any of the fields, since relatively small number of rows were affected, this was a reasonable way to keep the modeling sample clean and internally consistent. I excluded less than 50 rows from the training data, and 0 from the test data. </w:t>
      </w:r>
    </w:p>
    <w:p w14:paraId="010CCB0D" w14:textId="0393FA28" w:rsidR="00853AF4" w:rsidRDefault="00000000" w:rsidP="00D21205">
      <w:pPr>
        <w:spacing w:after="0" w:line="480" w:lineRule="auto"/>
      </w:pPr>
      <w:r>
        <w:rPr>
          <w:b/>
        </w:rPr>
        <w:t>Table 1. Summary of key data cleaning rules</w:t>
      </w:r>
    </w:p>
    <w:tbl>
      <w:tblPr>
        <w:tblStyle w:val="TableGrid"/>
        <w:tblW w:w="0" w:type="auto"/>
        <w:jc w:val="center"/>
        <w:tblLook w:val="04A0" w:firstRow="1" w:lastRow="0" w:firstColumn="1" w:lastColumn="0" w:noHBand="0" w:noVBand="1"/>
      </w:tblPr>
      <w:tblGrid>
        <w:gridCol w:w="2952"/>
        <w:gridCol w:w="2664"/>
        <w:gridCol w:w="3672"/>
      </w:tblGrid>
      <w:tr w:rsidR="00853AF4" w14:paraId="05C80993" w14:textId="77777777">
        <w:trPr>
          <w:jc w:val="center"/>
        </w:trPr>
        <w:tc>
          <w:tcPr>
            <w:tcW w:w="2952" w:type="dxa"/>
            <w:vAlign w:val="center"/>
          </w:tcPr>
          <w:p w14:paraId="62D65948" w14:textId="77777777" w:rsidR="00853AF4" w:rsidRDefault="00000000">
            <w:pPr>
              <w:jc w:val="center"/>
            </w:pPr>
            <w:r>
              <w:rPr>
                <w:b/>
              </w:rPr>
              <w:t>Variable type</w:t>
            </w:r>
          </w:p>
        </w:tc>
        <w:tc>
          <w:tcPr>
            <w:tcW w:w="2664" w:type="dxa"/>
            <w:vAlign w:val="center"/>
          </w:tcPr>
          <w:p w14:paraId="542C1BC3" w14:textId="77777777" w:rsidR="00853AF4" w:rsidRDefault="00000000">
            <w:pPr>
              <w:jc w:val="center"/>
            </w:pPr>
            <w:r>
              <w:rPr>
                <w:b/>
              </w:rPr>
              <w:t>Rule applied</w:t>
            </w:r>
          </w:p>
        </w:tc>
        <w:tc>
          <w:tcPr>
            <w:tcW w:w="3672" w:type="dxa"/>
            <w:vAlign w:val="center"/>
          </w:tcPr>
          <w:p w14:paraId="3B31EFC4" w14:textId="77777777" w:rsidR="00853AF4" w:rsidRDefault="00000000">
            <w:pPr>
              <w:jc w:val="center"/>
            </w:pPr>
            <w:r>
              <w:rPr>
                <w:b/>
              </w:rPr>
              <w:t>Reason</w:t>
            </w:r>
          </w:p>
        </w:tc>
      </w:tr>
      <w:tr w:rsidR="00853AF4" w14:paraId="09A2CD81" w14:textId="77777777">
        <w:trPr>
          <w:jc w:val="center"/>
        </w:trPr>
        <w:tc>
          <w:tcPr>
            <w:tcW w:w="2952" w:type="dxa"/>
            <w:vAlign w:val="center"/>
          </w:tcPr>
          <w:p w14:paraId="6623F7EF" w14:textId="77777777" w:rsidR="00853AF4" w:rsidRDefault="00000000">
            <w:r>
              <w:t>Text fields</w:t>
            </w:r>
          </w:p>
        </w:tc>
        <w:tc>
          <w:tcPr>
            <w:tcW w:w="2664" w:type="dxa"/>
            <w:vAlign w:val="center"/>
          </w:tcPr>
          <w:p w14:paraId="0CEB7A1F" w14:textId="77777777" w:rsidR="00853AF4" w:rsidRDefault="00000000">
            <w:r>
              <w:t>Standardized; placeholders set to missing</w:t>
            </w:r>
          </w:p>
        </w:tc>
        <w:tc>
          <w:tcPr>
            <w:tcW w:w="3672" w:type="dxa"/>
            <w:vAlign w:val="center"/>
          </w:tcPr>
          <w:p w14:paraId="40B8B920" w14:textId="77777777" w:rsidR="00853AF4" w:rsidRDefault="00000000">
            <w:r>
              <w:t>Create consistent categories</w:t>
            </w:r>
          </w:p>
        </w:tc>
      </w:tr>
      <w:tr w:rsidR="00853AF4" w14:paraId="3BDD0017" w14:textId="77777777">
        <w:trPr>
          <w:jc w:val="center"/>
        </w:trPr>
        <w:tc>
          <w:tcPr>
            <w:tcW w:w="2952" w:type="dxa"/>
            <w:vAlign w:val="center"/>
          </w:tcPr>
          <w:p w14:paraId="45B28F47" w14:textId="77777777" w:rsidR="00853AF4" w:rsidRDefault="00000000">
            <w:r>
              <w:t>Numeric counts</w:t>
            </w:r>
          </w:p>
        </w:tc>
        <w:tc>
          <w:tcPr>
            <w:tcW w:w="2664" w:type="dxa"/>
            <w:vAlign w:val="center"/>
          </w:tcPr>
          <w:p w14:paraId="6E2F6038" w14:textId="77777777" w:rsidR="00853AF4" w:rsidRDefault="00000000">
            <w:r>
              <w:t>Converted to numeric; negatives set to missing</w:t>
            </w:r>
          </w:p>
        </w:tc>
        <w:tc>
          <w:tcPr>
            <w:tcW w:w="3672" w:type="dxa"/>
            <w:vAlign w:val="center"/>
          </w:tcPr>
          <w:p w14:paraId="2A8B44D9" w14:textId="77777777" w:rsidR="00853AF4" w:rsidRDefault="00000000">
            <w:r>
              <w:t>Remove impossible values</w:t>
            </w:r>
          </w:p>
        </w:tc>
      </w:tr>
      <w:tr w:rsidR="00853AF4" w14:paraId="52031D9C" w14:textId="77777777">
        <w:trPr>
          <w:jc w:val="center"/>
        </w:trPr>
        <w:tc>
          <w:tcPr>
            <w:tcW w:w="2952" w:type="dxa"/>
            <w:vAlign w:val="center"/>
          </w:tcPr>
          <w:p w14:paraId="2859423B" w14:textId="77777777" w:rsidR="00853AF4" w:rsidRDefault="00000000">
            <w:r>
              <w:t>Review scores</w:t>
            </w:r>
          </w:p>
        </w:tc>
        <w:tc>
          <w:tcPr>
            <w:tcW w:w="2664" w:type="dxa"/>
            <w:vAlign w:val="center"/>
          </w:tcPr>
          <w:p w14:paraId="034E9D0A" w14:textId="77777777" w:rsidR="00853AF4" w:rsidRDefault="00000000">
            <w:r>
              <w:t>Restricted to 1-5</w:t>
            </w:r>
          </w:p>
        </w:tc>
        <w:tc>
          <w:tcPr>
            <w:tcW w:w="3672" w:type="dxa"/>
            <w:vAlign w:val="center"/>
          </w:tcPr>
          <w:p w14:paraId="79EB46AC" w14:textId="77777777" w:rsidR="00853AF4" w:rsidRDefault="00000000">
            <w:r>
              <w:t>Keep rating scales valid</w:t>
            </w:r>
          </w:p>
        </w:tc>
      </w:tr>
      <w:tr w:rsidR="00853AF4" w14:paraId="482632FC" w14:textId="77777777">
        <w:trPr>
          <w:jc w:val="center"/>
        </w:trPr>
        <w:tc>
          <w:tcPr>
            <w:tcW w:w="2952" w:type="dxa"/>
            <w:vAlign w:val="center"/>
          </w:tcPr>
          <w:p w14:paraId="5C93D471" w14:textId="77777777" w:rsidR="00853AF4" w:rsidRDefault="00000000">
            <w:r>
              <w:t>Binary indicators</w:t>
            </w:r>
          </w:p>
        </w:tc>
        <w:tc>
          <w:tcPr>
            <w:tcW w:w="2664" w:type="dxa"/>
            <w:vAlign w:val="center"/>
          </w:tcPr>
          <w:p w14:paraId="2E49ED09" w14:textId="77777777" w:rsidR="00853AF4" w:rsidRDefault="00000000">
            <w:r>
              <w:t>Restricted to 0/1</w:t>
            </w:r>
          </w:p>
        </w:tc>
        <w:tc>
          <w:tcPr>
            <w:tcW w:w="3672" w:type="dxa"/>
            <w:vAlign w:val="center"/>
          </w:tcPr>
          <w:p w14:paraId="65174104" w14:textId="77777777" w:rsidR="00853AF4" w:rsidRDefault="00000000">
            <w:r>
              <w:t>Remove miscoded statuses</w:t>
            </w:r>
          </w:p>
        </w:tc>
      </w:tr>
      <w:tr w:rsidR="00853AF4" w14:paraId="0BBB4CC7" w14:textId="77777777">
        <w:trPr>
          <w:jc w:val="center"/>
        </w:trPr>
        <w:tc>
          <w:tcPr>
            <w:tcW w:w="2952" w:type="dxa"/>
            <w:vAlign w:val="center"/>
          </w:tcPr>
          <w:p w14:paraId="7C7EC309" w14:textId="77777777" w:rsidR="00853AF4" w:rsidRDefault="00000000">
            <w:r>
              <w:t>Extreme values</w:t>
            </w:r>
          </w:p>
        </w:tc>
        <w:tc>
          <w:tcPr>
            <w:tcW w:w="2664" w:type="dxa"/>
            <w:vAlign w:val="center"/>
          </w:tcPr>
          <w:p w14:paraId="260D3A24" w14:textId="77777777" w:rsidR="00853AF4" w:rsidRDefault="00000000">
            <w:proofErr w:type="spellStart"/>
            <w:r>
              <w:t>minimum_nights</w:t>
            </w:r>
            <w:proofErr w:type="spellEnd"/>
            <w:r>
              <w:t xml:space="preserve"> &gt; 30 and price &gt; 2701 set to missing</w:t>
            </w:r>
          </w:p>
        </w:tc>
        <w:tc>
          <w:tcPr>
            <w:tcW w:w="3672" w:type="dxa"/>
            <w:vAlign w:val="center"/>
          </w:tcPr>
          <w:p w14:paraId="647C32F2" w14:textId="77777777" w:rsidR="00853AF4" w:rsidRDefault="00000000">
            <w:r>
              <w:t>Reduce implausible or extreme influence</w:t>
            </w:r>
          </w:p>
        </w:tc>
      </w:tr>
      <w:tr w:rsidR="00853AF4" w14:paraId="3AD0E810" w14:textId="77777777">
        <w:trPr>
          <w:jc w:val="center"/>
        </w:trPr>
        <w:tc>
          <w:tcPr>
            <w:tcW w:w="2952" w:type="dxa"/>
            <w:vAlign w:val="center"/>
          </w:tcPr>
          <w:p w14:paraId="2B7D201F" w14:textId="77777777" w:rsidR="00853AF4" w:rsidRDefault="00000000">
            <w:r>
              <w:t>Training rows</w:t>
            </w:r>
          </w:p>
        </w:tc>
        <w:tc>
          <w:tcPr>
            <w:tcW w:w="2664" w:type="dxa"/>
            <w:vAlign w:val="center"/>
          </w:tcPr>
          <w:p w14:paraId="7A461715" w14:textId="77777777" w:rsidR="00853AF4" w:rsidRDefault="00000000">
            <w:r>
              <w:t>Complete cases retained</w:t>
            </w:r>
          </w:p>
        </w:tc>
        <w:tc>
          <w:tcPr>
            <w:tcW w:w="3672" w:type="dxa"/>
            <w:vAlign w:val="center"/>
          </w:tcPr>
          <w:p w14:paraId="6DF067F4" w14:textId="77777777" w:rsidR="00853AF4" w:rsidRDefault="00000000">
            <w:r>
              <w:t>Use one consistent modeling sample</w:t>
            </w:r>
          </w:p>
        </w:tc>
      </w:tr>
    </w:tbl>
    <w:p w14:paraId="7AEF14EE" w14:textId="77777777" w:rsidR="00C2589A" w:rsidRDefault="00C2589A">
      <w:pPr>
        <w:pStyle w:val="Heading1"/>
        <w:spacing w:before="0" w:line="480" w:lineRule="auto"/>
      </w:pPr>
    </w:p>
    <w:p w14:paraId="7B63815B" w14:textId="4CF555F2" w:rsidR="00853AF4" w:rsidRDefault="00000000">
      <w:pPr>
        <w:pStyle w:val="Heading1"/>
        <w:spacing w:before="0" w:line="480" w:lineRule="auto"/>
      </w:pPr>
      <w:r>
        <w:t>Models Considered and Predictive Accuracy</w:t>
      </w:r>
    </w:p>
    <w:p w14:paraId="7B9E9B53" w14:textId="0D9A6A69" w:rsidR="00853AF4" w:rsidRDefault="00000000">
      <w:pPr>
        <w:spacing w:after="0" w:line="480" w:lineRule="auto"/>
      </w:pPr>
      <w:r>
        <w:t>I considered several model families: polynomial regression with degrees 1 through 5, ridge regression, lasso regression, an enhanced lasso model built on fourth-degree polynomial terms with selected two-way interactions, random forests, bagging, and gradient boosting. All major models were evaluated with 10-fold cross-validation in caret. Predictive accuracy was mainly judged using RMSE and MSE on the log(price) scale, with MAE and R-squared also recorded when available.</w:t>
      </w:r>
      <w:r w:rsidR="002704F8">
        <w:t xml:space="preserve"> </w:t>
      </w:r>
      <w:r>
        <w:t xml:space="preserve">More than one model appeared competitive, but the strongest predictive performance came from the tree-based ensembles. Among all models considered, the random forest performed best with a cross-validated MSE of 0.158305 on log(price), followed closely by </w:t>
      </w:r>
      <w:r>
        <w:lastRenderedPageBreak/>
        <w:t>bagging at 0.1610457 and gradient boosting at 0.1650629. Among the regression-based methods, the strongest option was the lasso model with fourth-degree polynomial terms and selected two-way interactions, which achieved a cross-validated MSE of 0.1826547. This pattern suggests that nonlinearities and interactions mattered substantially, and that the more flexible ensemble methods were better able to capture them.</w:t>
      </w:r>
    </w:p>
    <w:p w14:paraId="0EB9C893" w14:textId="4A0D75DA" w:rsidR="00853AF4" w:rsidRDefault="00000000">
      <w:pPr>
        <w:spacing w:after="0" w:line="480" w:lineRule="auto"/>
      </w:pPr>
      <w:r>
        <w:t>In practical terms, about three models stood out as the most accurate: random forest, bagging, and gradient boosting. Predictive accuracy was measured primarily with 10-fold cross-validated RMSE and MSE, on the log(price) scale, while R-squared and MAE were used as secondary checks. The random forest also posted an R-squared of about 0.717 at its best tuning value, which reinforces the conclusion that it provided the best overall balance of fit and stability for this dataset.</w:t>
      </w:r>
    </w:p>
    <w:p w14:paraId="085067FA" w14:textId="77777777" w:rsidR="00853AF4" w:rsidRDefault="00000000">
      <w:pPr>
        <w:spacing w:after="0" w:line="480" w:lineRule="auto"/>
        <w:jc w:val="center"/>
      </w:pPr>
      <w:r>
        <w:rPr>
          <w:b/>
        </w:rPr>
        <w:t>Table 2. Summary of modeling approaches and takeaways</w:t>
      </w:r>
    </w:p>
    <w:tbl>
      <w:tblPr>
        <w:tblStyle w:val="TableGrid"/>
        <w:tblW w:w="0" w:type="auto"/>
        <w:jc w:val="center"/>
        <w:tblLook w:val="04A0" w:firstRow="1" w:lastRow="0" w:firstColumn="1" w:lastColumn="0" w:noHBand="0" w:noVBand="1"/>
      </w:tblPr>
      <w:tblGrid>
        <w:gridCol w:w="2063"/>
        <w:gridCol w:w="2412"/>
        <w:gridCol w:w="1996"/>
        <w:gridCol w:w="3105"/>
      </w:tblGrid>
      <w:tr w:rsidR="00853AF4" w14:paraId="297C80F2" w14:textId="77777777">
        <w:trPr>
          <w:jc w:val="center"/>
        </w:trPr>
        <w:tc>
          <w:tcPr>
            <w:tcW w:w="2088" w:type="dxa"/>
            <w:vAlign w:val="center"/>
          </w:tcPr>
          <w:p w14:paraId="0FB19A9F" w14:textId="77777777" w:rsidR="00853AF4" w:rsidRDefault="00000000">
            <w:r>
              <w:t>Model</w:t>
            </w:r>
          </w:p>
        </w:tc>
        <w:tc>
          <w:tcPr>
            <w:tcW w:w="2448" w:type="dxa"/>
            <w:vAlign w:val="center"/>
          </w:tcPr>
          <w:p w14:paraId="2B856D1A" w14:textId="77777777" w:rsidR="00853AF4" w:rsidRDefault="00000000">
            <w:r>
              <w:t>Main idea</w:t>
            </w:r>
          </w:p>
        </w:tc>
        <w:tc>
          <w:tcPr>
            <w:tcW w:w="2016" w:type="dxa"/>
            <w:vAlign w:val="center"/>
          </w:tcPr>
          <w:p w14:paraId="38B73FC9" w14:textId="77777777" w:rsidR="00853AF4" w:rsidRDefault="00000000">
            <w:r>
              <w:t>Performance evidence</w:t>
            </w:r>
          </w:p>
        </w:tc>
        <w:tc>
          <w:tcPr>
            <w:tcW w:w="3168" w:type="dxa"/>
            <w:vAlign w:val="center"/>
          </w:tcPr>
          <w:p w14:paraId="6916C47B" w14:textId="77777777" w:rsidR="00853AF4" w:rsidRDefault="00000000">
            <w:r>
              <w:t>Takeaway</w:t>
            </w:r>
          </w:p>
        </w:tc>
      </w:tr>
      <w:tr w:rsidR="00853AF4" w14:paraId="09B3108B" w14:textId="77777777">
        <w:trPr>
          <w:jc w:val="center"/>
        </w:trPr>
        <w:tc>
          <w:tcPr>
            <w:tcW w:w="2088" w:type="dxa"/>
            <w:vAlign w:val="center"/>
          </w:tcPr>
          <w:p w14:paraId="286B8AB9" w14:textId="77777777" w:rsidR="00853AF4" w:rsidRDefault="00000000">
            <w:r>
              <w:t>Polynomial regression</w:t>
            </w:r>
          </w:p>
        </w:tc>
        <w:tc>
          <w:tcPr>
            <w:tcW w:w="2448" w:type="dxa"/>
            <w:vAlign w:val="center"/>
          </w:tcPr>
          <w:p w14:paraId="40B5A7A2" w14:textId="77777777" w:rsidR="00853AF4" w:rsidRDefault="00000000">
            <w:r>
              <w:t>Nonlinear effects across degrees 1-5</w:t>
            </w:r>
          </w:p>
        </w:tc>
        <w:tc>
          <w:tcPr>
            <w:tcW w:w="2016" w:type="dxa"/>
            <w:vAlign w:val="center"/>
          </w:tcPr>
          <w:p w14:paraId="13ECD62F" w14:textId="77777777" w:rsidR="00853AF4" w:rsidRDefault="00000000">
            <w:r>
              <w:t>Best MSE = 0.1910990 at degree 4</w:t>
            </w:r>
          </w:p>
        </w:tc>
        <w:tc>
          <w:tcPr>
            <w:tcW w:w="3168" w:type="dxa"/>
            <w:vAlign w:val="center"/>
          </w:tcPr>
          <w:p w14:paraId="7FE184DD" w14:textId="77777777" w:rsidR="00853AF4" w:rsidRDefault="00000000">
            <w:r>
              <w:t>Best polynomial form, but not top overall</w:t>
            </w:r>
          </w:p>
        </w:tc>
      </w:tr>
      <w:tr w:rsidR="00853AF4" w14:paraId="53EBEA87" w14:textId="77777777">
        <w:trPr>
          <w:jc w:val="center"/>
        </w:trPr>
        <w:tc>
          <w:tcPr>
            <w:tcW w:w="2088" w:type="dxa"/>
            <w:vAlign w:val="center"/>
          </w:tcPr>
          <w:p w14:paraId="358E5A85" w14:textId="77777777" w:rsidR="00853AF4" w:rsidRDefault="00000000">
            <w:r>
              <w:t>Ridge</w:t>
            </w:r>
          </w:p>
        </w:tc>
        <w:tc>
          <w:tcPr>
            <w:tcW w:w="2448" w:type="dxa"/>
            <w:vAlign w:val="center"/>
          </w:tcPr>
          <w:p w14:paraId="313378BC" w14:textId="77777777" w:rsidR="00853AF4" w:rsidRDefault="00000000">
            <w:r>
              <w:t>Shrink all predictors without dropping them</w:t>
            </w:r>
          </w:p>
        </w:tc>
        <w:tc>
          <w:tcPr>
            <w:tcW w:w="2016" w:type="dxa"/>
            <w:vAlign w:val="center"/>
          </w:tcPr>
          <w:p w14:paraId="1EAB84AA" w14:textId="77777777" w:rsidR="00853AF4" w:rsidRDefault="00000000">
            <w:r>
              <w:t>Best MSE = 0.2108497</w:t>
            </w:r>
          </w:p>
        </w:tc>
        <w:tc>
          <w:tcPr>
            <w:tcW w:w="3168" w:type="dxa"/>
            <w:vAlign w:val="center"/>
          </w:tcPr>
          <w:p w14:paraId="350D225C" w14:textId="77777777" w:rsidR="00853AF4" w:rsidRDefault="00000000">
            <w:r>
              <w:t>Stable benchmark under correlated predictors</w:t>
            </w:r>
          </w:p>
        </w:tc>
      </w:tr>
      <w:tr w:rsidR="00853AF4" w14:paraId="4F7F496C" w14:textId="77777777">
        <w:trPr>
          <w:jc w:val="center"/>
        </w:trPr>
        <w:tc>
          <w:tcPr>
            <w:tcW w:w="2088" w:type="dxa"/>
            <w:vAlign w:val="center"/>
          </w:tcPr>
          <w:p w14:paraId="1C912558" w14:textId="77777777" w:rsidR="00853AF4" w:rsidRDefault="00000000">
            <w:r>
              <w:t>Lasso</w:t>
            </w:r>
          </w:p>
        </w:tc>
        <w:tc>
          <w:tcPr>
            <w:tcW w:w="2448" w:type="dxa"/>
            <w:vAlign w:val="center"/>
          </w:tcPr>
          <w:p w14:paraId="075274D1" w14:textId="77777777" w:rsidR="00853AF4" w:rsidRDefault="00000000">
            <w:r>
              <w:t>Sparse penalized regression</w:t>
            </w:r>
          </w:p>
        </w:tc>
        <w:tc>
          <w:tcPr>
            <w:tcW w:w="2016" w:type="dxa"/>
            <w:vAlign w:val="center"/>
          </w:tcPr>
          <w:p w14:paraId="01583339" w14:textId="77777777" w:rsidR="00853AF4" w:rsidRDefault="00000000">
            <w:r>
              <w:t>Best MSE = 0.2097291</w:t>
            </w:r>
          </w:p>
        </w:tc>
        <w:tc>
          <w:tcPr>
            <w:tcW w:w="3168" w:type="dxa"/>
            <w:vAlign w:val="center"/>
          </w:tcPr>
          <w:p w14:paraId="2FB1B526" w14:textId="77777777" w:rsidR="00853AF4" w:rsidRDefault="00000000">
            <w:r>
              <w:t>Useful for feature selection, but less accurate than ensembles</w:t>
            </w:r>
          </w:p>
        </w:tc>
      </w:tr>
      <w:tr w:rsidR="00853AF4" w14:paraId="018F2407" w14:textId="77777777">
        <w:trPr>
          <w:jc w:val="center"/>
        </w:trPr>
        <w:tc>
          <w:tcPr>
            <w:tcW w:w="2088" w:type="dxa"/>
            <w:vAlign w:val="center"/>
          </w:tcPr>
          <w:p w14:paraId="613098AD" w14:textId="77777777" w:rsidR="00853AF4" w:rsidRDefault="00000000">
            <w:r>
              <w:t>Polynomial lasso + interactions</w:t>
            </w:r>
          </w:p>
        </w:tc>
        <w:tc>
          <w:tcPr>
            <w:tcW w:w="2448" w:type="dxa"/>
            <w:vAlign w:val="center"/>
          </w:tcPr>
          <w:p w14:paraId="205DFE50" w14:textId="77777777" w:rsidR="00853AF4" w:rsidRDefault="00000000">
            <w:r>
              <w:t>Degree-4 polynomials plus selected 2-way terms</w:t>
            </w:r>
          </w:p>
        </w:tc>
        <w:tc>
          <w:tcPr>
            <w:tcW w:w="2016" w:type="dxa"/>
            <w:vAlign w:val="center"/>
          </w:tcPr>
          <w:p w14:paraId="50F21841" w14:textId="77777777" w:rsidR="00853AF4" w:rsidRDefault="00000000">
            <w:r>
              <w:t>Best MSE = 0.1826547</w:t>
            </w:r>
          </w:p>
        </w:tc>
        <w:tc>
          <w:tcPr>
            <w:tcW w:w="3168" w:type="dxa"/>
            <w:vAlign w:val="center"/>
          </w:tcPr>
          <w:p w14:paraId="7299639B" w14:textId="77777777" w:rsidR="00853AF4" w:rsidRDefault="00000000">
            <w:r>
              <w:t>Strongest regression-based model</w:t>
            </w:r>
          </w:p>
        </w:tc>
      </w:tr>
      <w:tr w:rsidR="00853AF4" w14:paraId="56687EA7" w14:textId="77777777">
        <w:trPr>
          <w:jc w:val="center"/>
        </w:trPr>
        <w:tc>
          <w:tcPr>
            <w:tcW w:w="2088" w:type="dxa"/>
            <w:vAlign w:val="center"/>
          </w:tcPr>
          <w:p w14:paraId="6B65D79D" w14:textId="77777777" w:rsidR="00853AF4" w:rsidRDefault="00000000">
            <w:r>
              <w:t>Random forest / bagging / boosting</w:t>
            </w:r>
          </w:p>
        </w:tc>
        <w:tc>
          <w:tcPr>
            <w:tcW w:w="2448" w:type="dxa"/>
            <w:vAlign w:val="center"/>
          </w:tcPr>
          <w:p w14:paraId="3D0D8F48" w14:textId="77777777" w:rsidR="00853AF4" w:rsidRDefault="00000000">
            <w:r>
              <w:t>Tree-based ensemble methods</w:t>
            </w:r>
          </w:p>
        </w:tc>
        <w:tc>
          <w:tcPr>
            <w:tcW w:w="2016" w:type="dxa"/>
            <w:vAlign w:val="center"/>
          </w:tcPr>
          <w:p w14:paraId="4C3E9C17" w14:textId="77777777" w:rsidR="00853AF4" w:rsidRDefault="00000000">
            <w:r>
              <w:t>Random forest: 0.158305; bagging: 0.1610457; boosting: 0.1650629</w:t>
            </w:r>
          </w:p>
        </w:tc>
        <w:tc>
          <w:tcPr>
            <w:tcW w:w="3168" w:type="dxa"/>
            <w:vAlign w:val="center"/>
          </w:tcPr>
          <w:p w14:paraId="18F6FD84" w14:textId="77777777" w:rsidR="00853AF4" w:rsidRDefault="00000000">
            <w:r>
              <w:t>Top-performing group, with random forest best overall</w:t>
            </w:r>
          </w:p>
        </w:tc>
      </w:tr>
    </w:tbl>
    <w:p w14:paraId="54D1B4F7" w14:textId="77777777" w:rsidR="002644B8" w:rsidRDefault="002644B8">
      <w:pPr>
        <w:pStyle w:val="Heading1"/>
        <w:spacing w:before="0" w:line="480" w:lineRule="auto"/>
      </w:pPr>
    </w:p>
    <w:p w14:paraId="01CFB45F" w14:textId="0B5B9E39" w:rsidR="00853AF4" w:rsidRDefault="00000000">
      <w:pPr>
        <w:pStyle w:val="Heading1"/>
        <w:spacing w:before="0" w:line="480" w:lineRule="auto"/>
      </w:pPr>
      <w:r>
        <w:t>Variable Importance</w:t>
      </w:r>
    </w:p>
    <w:p w14:paraId="184762FA" w14:textId="77777777" w:rsidR="00853AF4" w:rsidRDefault="00000000">
      <w:pPr>
        <w:spacing w:after="0" w:line="480" w:lineRule="auto"/>
      </w:pPr>
      <w:r>
        <w:t xml:space="preserve">Variable importance was assessed primarily from the best-performing random forest model, using model-based importance scores, and then compared with the coefficient patterns from the lasso models to interpret direction. The most influential features were accommodates, bedrooms, bathrooms, room type, and distance to downtown. After those, availability_365, </w:t>
      </w:r>
      <w:proofErr w:type="spellStart"/>
      <w:r>
        <w:t>number_of_reviews</w:t>
      </w:r>
      <w:proofErr w:type="spellEnd"/>
      <w:r>
        <w:t xml:space="preserve">, </w:t>
      </w:r>
      <w:proofErr w:type="spellStart"/>
      <w:r>
        <w:t>review_scores_location</w:t>
      </w:r>
      <w:proofErr w:type="spellEnd"/>
      <w:r>
        <w:t xml:space="preserve">, </w:t>
      </w:r>
      <w:proofErr w:type="spellStart"/>
      <w:r>
        <w:t>review_scores_rating</w:t>
      </w:r>
      <w:proofErr w:type="spellEnd"/>
      <w:r>
        <w:t xml:space="preserve">, and </w:t>
      </w:r>
      <w:proofErr w:type="spellStart"/>
      <w:r>
        <w:t>calculated_host_listings_count</w:t>
      </w:r>
      <w:proofErr w:type="spellEnd"/>
      <w:r>
        <w:t xml:space="preserve"> also contributed meaningful predictive signal. For the short-term rental market, this means that price was driven first by how much space a listing offered, what kind of unit it was, and where it sat in the metro area.</w:t>
      </w:r>
    </w:p>
    <w:p w14:paraId="05ACC8B9" w14:textId="3DB216E8" w:rsidR="00853AF4" w:rsidRDefault="00000000">
      <w:pPr>
        <w:spacing w:after="0" w:line="480" w:lineRule="auto"/>
      </w:pPr>
      <w:r>
        <w:t xml:space="preserve">The regression results help clarify direction. Listings that could accommodate more guests and offered more bathrooms tended to support higher prices, while private rooms were priced well below the baseline listing type. Entire-home </w:t>
      </w:r>
      <w:r w:rsidR="00C45566">
        <w:t xml:space="preserve">listening were </w:t>
      </w:r>
      <w:r>
        <w:t>more valuable than shared or private-room options, and spatial position within the MSP area remained important even after controlling for listing characteristics. Review activity and review quality mattered as secondary signals, suggesting that market performance for short-term listings is shaped not only by size and location but also by guest-facing quality and booking appeal.</w:t>
      </w:r>
    </w:p>
    <w:p w14:paraId="509D18A7" w14:textId="77777777" w:rsidR="00853AF4" w:rsidRDefault="00000000">
      <w:pPr>
        <w:pStyle w:val="Heading1"/>
        <w:spacing w:before="0" w:line="480" w:lineRule="auto"/>
      </w:pPr>
      <w:r>
        <w:t>Challenges, Trust, and Recommendations</w:t>
      </w:r>
    </w:p>
    <w:p w14:paraId="35C7A865" w14:textId="77777777" w:rsidR="00853AF4" w:rsidRDefault="00000000">
      <w:pPr>
        <w:spacing w:after="0" w:line="480" w:lineRule="auto"/>
      </w:pPr>
      <w:r>
        <w:t xml:space="preserve">This dataset posed three main challenges: data quality problems, uncertainty about the correct functional form, and the need to balance interpretability against flexibility. Cleaning rules, the log transformation of price, and 10-fold cross-validation all helped mitigate these issues. Even so, some preprocessing choices were strict, especially the truncation of bathrooms and the use of complete-case analysis, so some potentially useful information was sacrificed for consistency. </w:t>
      </w:r>
      <w:r>
        <w:lastRenderedPageBreak/>
        <w:t>The results also make clear that the pricing process was not purely linear, since the ensemble methods and the interaction-rich lasso both improved meaningfully over simpler models.</w:t>
      </w:r>
    </w:p>
    <w:p w14:paraId="4793E97B" w14:textId="74258FE7" w:rsidR="00853AF4" w:rsidRDefault="00000000">
      <w:pPr>
        <w:spacing w:after="0" w:line="480" w:lineRule="auto"/>
      </w:pPr>
      <w:r>
        <w:t>I would feel most comfortable relying on the random forest as the final predictive model. Its advantage over the other models was consistent enough to make it the best choice here, yet the close performance of bagging and gradient boosting suggests that several flexible models were capturing similar underlying structure. Overall, the analysis supports a clear conclusion: short-term listing prices in the MSP market are shaped most strongly by capacity, bedrooms, bathrooms, listing type, and location, with reviews, availability, and host or booking attributes playing smaller supporting roles. Additional amenity information, seasonal timing, and richer neighborhood detail</w:t>
      </w:r>
      <w:r w:rsidR="00C45566">
        <w:t>s</w:t>
      </w:r>
      <w:r>
        <w:t xml:space="preserve"> would likely improve predictions further.</w:t>
      </w:r>
    </w:p>
    <w:sectPr w:rsidR="00853AF4"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7FFF3" w14:textId="77777777" w:rsidR="00E02756" w:rsidRDefault="00E02756">
      <w:pPr>
        <w:spacing w:after="0" w:line="240" w:lineRule="auto"/>
      </w:pPr>
      <w:r>
        <w:separator/>
      </w:r>
    </w:p>
  </w:endnote>
  <w:endnote w:type="continuationSeparator" w:id="0">
    <w:p w14:paraId="749676A7" w14:textId="77777777" w:rsidR="00E02756" w:rsidRDefault="00E027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DBB66" w14:textId="77777777" w:rsidR="00853AF4" w:rsidRDefault="00000000">
    <w:pPr>
      <w:pStyle w:val="Footer"/>
      <w:jc w:val="center"/>
    </w:pPr>
    <w:r>
      <w:fldChar w:fldCharType="begin"/>
    </w:r>
    <w:r>
      <w:instrText xml:space="preserve"> PAGE </w:instrText>
    </w:r>
    <w:r>
      <w:fldChar w:fldCharType="separate"/>
    </w:r>
    <w:r w:rsidR="00E602B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B1F1D" w14:textId="77777777" w:rsidR="00E02756" w:rsidRDefault="00E02756">
      <w:pPr>
        <w:spacing w:after="0" w:line="240" w:lineRule="auto"/>
      </w:pPr>
      <w:r>
        <w:separator/>
      </w:r>
    </w:p>
  </w:footnote>
  <w:footnote w:type="continuationSeparator" w:id="0">
    <w:p w14:paraId="0CF28E1F" w14:textId="77777777" w:rsidR="00E02756" w:rsidRDefault="00E027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3246455">
    <w:abstractNumId w:val="8"/>
  </w:num>
  <w:num w:numId="2" w16cid:durableId="1463693574">
    <w:abstractNumId w:val="6"/>
  </w:num>
  <w:num w:numId="3" w16cid:durableId="1446735861">
    <w:abstractNumId w:val="5"/>
  </w:num>
  <w:num w:numId="4" w16cid:durableId="1843619258">
    <w:abstractNumId w:val="4"/>
  </w:num>
  <w:num w:numId="5" w16cid:durableId="744491678">
    <w:abstractNumId w:val="7"/>
  </w:num>
  <w:num w:numId="6" w16cid:durableId="1129663402">
    <w:abstractNumId w:val="3"/>
  </w:num>
  <w:num w:numId="7" w16cid:durableId="621112931">
    <w:abstractNumId w:val="2"/>
  </w:num>
  <w:num w:numId="8" w16cid:durableId="1714310939">
    <w:abstractNumId w:val="1"/>
  </w:num>
  <w:num w:numId="9" w16cid:durableId="1293051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5D1E"/>
    <w:rsid w:val="00226430"/>
    <w:rsid w:val="002644B8"/>
    <w:rsid w:val="002704F8"/>
    <w:rsid w:val="0029639D"/>
    <w:rsid w:val="00326F90"/>
    <w:rsid w:val="003E567F"/>
    <w:rsid w:val="00402968"/>
    <w:rsid w:val="00466788"/>
    <w:rsid w:val="006469AB"/>
    <w:rsid w:val="00853AF4"/>
    <w:rsid w:val="0093651A"/>
    <w:rsid w:val="009A5EAC"/>
    <w:rsid w:val="00A2318E"/>
    <w:rsid w:val="00AA1D8D"/>
    <w:rsid w:val="00B47730"/>
    <w:rsid w:val="00C2589A"/>
    <w:rsid w:val="00C45566"/>
    <w:rsid w:val="00CB0664"/>
    <w:rsid w:val="00D21205"/>
    <w:rsid w:val="00E02756"/>
    <w:rsid w:val="00E602B8"/>
    <w:rsid w:val="00ED02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FE7735"/>
  <w14:defaultImageDpi w14:val="300"/>
  <w15:docId w15:val="{24320D60-7995-4EA6-A613-1B804890D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5</Pages>
  <Words>1226</Words>
  <Characters>6994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Chintala, Yashasvi Y</cp:lastModifiedBy>
  <cp:revision>14</cp:revision>
  <dcterms:created xsi:type="dcterms:W3CDTF">2013-12-23T23:15:00Z</dcterms:created>
  <dcterms:modified xsi:type="dcterms:W3CDTF">2026-04-19T19:10:00Z</dcterms:modified>
  <cp:category/>
</cp:coreProperties>
</file>