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Arial" w:hAnsi="Arial"/>
          <w:b/>
          <w:color w:val="FFD54D"/>
          <w:sz w:val="60"/>
        </w:rPr>
        <w:t>BrandForge</w:t>
      </w:r>
    </w:p>
    <w:p>
      <w:pPr>
        <w:spacing w:after="360"/>
        <w:jc w:val="left"/>
      </w:pPr>
      <w:r>
        <w:rPr>
          <w:rFonts w:ascii="Arial" w:hAnsi="Arial"/>
          <w:color w:val="5B647D"/>
          <w:sz w:val="28"/>
        </w:rPr>
        <w:t>Full Project Document | Autonomous AI Social Media Engine - The Creator's Digital Twin</w:t>
      </w:r>
    </w:p>
    <w:tbl>
      <w:tblPr>
        <w:tblW w:type="auto" w:w="0"/>
        <w:jc w:val="center"/>
        <w:tblLayout w:type="autofit"/>
        <w:tblLook w:firstColumn="1" w:firstRow="1" w:lastColumn="0" w:lastRow="0" w:noHBand="0" w:noVBand="1" w:val="04A0"/>
        <w:tblBorders>
          <w:top w:val="single" w:sz="10" w:space="0" w:color="FFD54D"/>
          <w:left w:val="single" w:sz="10" w:space="0" w:color="FFD54D"/>
          <w:bottom w:val="single" w:sz="10" w:space="0" w:color="FFD54D"/>
          <w:right w:val="single" w:sz="10" w:space="0" w:color="FFD54D"/>
          <w:insideH w:val="single" w:sz="10" w:space="0" w:color="FFD54D"/>
          <w:insideV w:val="single" w:sz="10" w:space="0" w:color="FFD54D"/>
        </w:tblBorders>
      </w:tblPr>
      <w:tblGrid>
        <w:gridCol w:w="9936"/>
      </w:tblGrid>
      <w:tr>
        <w:tc>
          <w:tcPr>
            <w:tcW w:type="dxa" w:w="9936"/>
            <w:shd w:fill="FFF8D6"/>
          </w:tcPr>
          <w:p>
            <w:pPr>
              <w:spacing w:after="0"/>
            </w:pPr>
            <w:r>
              <w:rPr>
                <w:rFonts w:ascii="Arial" w:hAnsi="Arial"/>
                <w:b/>
                <w:color w:val="111827"/>
                <w:sz w:val="20"/>
              </w:rPr>
              <w:t xml:space="preserve">EXECUTIVE SUMMARY: </w:t>
            </w:r>
            <w:r>
              <w:rPr>
                <w:rFonts w:ascii="Arial" w:hAnsi="Arial"/>
                <w:color w:val="111827"/>
                <w:sz w:val="20"/>
              </w:rPr>
              <w:t>BrandForge is a phone-first Android application that behaves like an always-on AI social media team. It learns a creator's Brand DNA, stores long-term memory, monitors trends, analyzes competitors, detects leads, audits PR risk, generates content/media, and answers strategic questions through a Digital Twin Chat.</w:t>
            </w:r>
          </w:p>
        </w:tc>
      </w:tr>
    </w:tbl>
    <w:p>
      <w:pPr>
        <w:spacing w:after="40"/>
      </w:pP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4968"/>
        <w:gridCol w:w="4968"/>
      </w:tblGrid>
      <w:tr>
        <w:tc>
          <w:tcPr>
            <w:tcW w:type="dxa" w:w="4968"/>
            <w:shd w:fill="0B1018"/>
            <w:vAlign w:val="center"/>
          </w:tcPr>
          <w:p>
            <w:pPr>
              <w:spacing w:after="0"/>
            </w:pPr>
            <w:r/>
            <w:r>
              <w:rPr>
                <w:rFonts w:ascii="Arial" w:hAnsi="Arial"/>
                <w:b/>
                <w:color w:val="FFD54D"/>
                <w:sz w:val="19"/>
              </w:rPr>
              <w:t>Area</w:t>
            </w:r>
          </w:p>
        </w:tc>
        <w:tc>
          <w:tcPr>
            <w:tcW w:type="dxa" w:w="4968"/>
            <w:shd w:fill="0B1018"/>
            <w:vAlign w:val="center"/>
          </w:tcPr>
          <w:p>
            <w:pPr>
              <w:spacing w:after="0"/>
            </w:pPr>
            <w:r/>
            <w:r>
              <w:rPr>
                <w:rFonts w:ascii="Arial" w:hAnsi="Arial"/>
                <w:b/>
                <w:color w:val="FFD54D"/>
                <w:sz w:val="19"/>
              </w:rPr>
              <w:t>Details</w:t>
            </w:r>
          </w:p>
        </w:tc>
      </w:tr>
      <w:tr>
        <w:tc>
          <w:tcPr>
            <w:tcW w:type="dxa" w:w="4968"/>
            <w:shd w:fill="F6F8FF"/>
            <w:vAlign w:val="center"/>
          </w:tcPr>
          <w:p>
            <w:pPr>
              <w:spacing w:after="0"/>
            </w:pPr>
            <w:r/>
            <w:r>
              <w:rPr>
                <w:rFonts w:ascii="Arial" w:hAnsi="Arial"/>
                <w:b/>
                <w:color w:val="111827"/>
                <w:sz w:val="18"/>
              </w:rPr>
              <w:t>Project Title</w:t>
            </w:r>
          </w:p>
        </w:tc>
        <w:tc>
          <w:tcPr>
            <w:tcW w:type="dxa" w:w="4968"/>
            <w:shd w:fill="FFFFFF"/>
            <w:vAlign w:val="center"/>
          </w:tcPr>
          <w:p>
            <w:pPr>
              <w:spacing w:after="0"/>
            </w:pPr>
            <w:r/>
            <w:r>
              <w:rPr>
                <w:rFonts w:ascii="Arial" w:hAnsi="Arial"/>
                <w:b w:val="0"/>
                <w:color w:val="111827"/>
                <w:sz w:val="18"/>
              </w:rPr>
              <w:t>BrandForge - An Autonomous AI Social Media Engine: The Creator's Digital Twin</w:t>
            </w:r>
          </w:p>
        </w:tc>
      </w:tr>
      <w:tr>
        <w:tc>
          <w:tcPr>
            <w:tcW w:type="dxa" w:w="4968"/>
            <w:shd w:fill="F6F8FF"/>
            <w:vAlign w:val="center"/>
          </w:tcPr>
          <w:p>
            <w:pPr>
              <w:spacing w:after="0"/>
            </w:pPr>
            <w:r/>
            <w:r>
              <w:rPr>
                <w:rFonts w:ascii="Arial" w:hAnsi="Arial"/>
                <w:b/>
                <w:color w:val="111827"/>
                <w:sz w:val="18"/>
              </w:rPr>
              <w:t>Primary User</w:t>
            </w:r>
          </w:p>
        </w:tc>
        <w:tc>
          <w:tcPr>
            <w:tcW w:type="dxa" w:w="4968"/>
            <w:shd w:fill="FFFFFF"/>
            <w:vAlign w:val="center"/>
          </w:tcPr>
          <w:p>
            <w:pPr>
              <w:spacing w:after="0"/>
            </w:pPr>
            <w:r/>
            <w:r>
              <w:rPr>
                <w:rFonts w:ascii="Arial" w:hAnsi="Arial"/>
                <w:b w:val="0"/>
                <w:color w:val="111827"/>
                <w:sz w:val="18"/>
              </w:rPr>
              <w:t>Indian creators, YouTubers, Instagram creators, solopreneurs, small businesses, coaches, and startup founders.</w:t>
            </w:r>
          </w:p>
        </w:tc>
      </w:tr>
      <w:tr>
        <w:tc>
          <w:tcPr>
            <w:tcW w:type="dxa" w:w="4968"/>
            <w:shd w:fill="F6F8FF"/>
            <w:vAlign w:val="center"/>
          </w:tcPr>
          <w:p>
            <w:pPr>
              <w:spacing w:after="0"/>
            </w:pPr>
            <w:r/>
            <w:r>
              <w:rPr>
                <w:rFonts w:ascii="Arial" w:hAnsi="Arial"/>
                <w:b/>
                <w:color w:val="111827"/>
                <w:sz w:val="18"/>
              </w:rPr>
              <w:t>Core Promise</w:t>
            </w:r>
          </w:p>
        </w:tc>
        <w:tc>
          <w:tcPr>
            <w:tcW w:type="dxa" w:w="4968"/>
            <w:shd w:fill="FFFFFF"/>
            <w:vAlign w:val="center"/>
          </w:tcPr>
          <w:p>
            <w:pPr>
              <w:spacing w:after="0"/>
            </w:pPr>
            <w:r/>
            <w:r>
              <w:rPr>
                <w:rFonts w:ascii="Arial" w:hAnsi="Arial"/>
                <w:b w:val="0"/>
                <w:color w:val="111827"/>
                <w:sz w:val="18"/>
              </w:rPr>
              <w:t>The creator sleeps. BrandForge works.</w:t>
            </w:r>
          </w:p>
        </w:tc>
      </w:tr>
      <w:tr>
        <w:tc>
          <w:tcPr>
            <w:tcW w:type="dxa" w:w="4968"/>
            <w:shd w:fill="F6F8FF"/>
            <w:vAlign w:val="center"/>
          </w:tcPr>
          <w:p>
            <w:pPr>
              <w:spacing w:after="0"/>
            </w:pPr>
            <w:r/>
            <w:r>
              <w:rPr>
                <w:rFonts w:ascii="Arial" w:hAnsi="Arial"/>
                <w:b/>
                <w:color w:val="111827"/>
                <w:sz w:val="18"/>
              </w:rPr>
              <w:t>Platform</w:t>
            </w:r>
          </w:p>
        </w:tc>
        <w:tc>
          <w:tcPr>
            <w:tcW w:type="dxa" w:w="4968"/>
            <w:shd w:fill="FFFFFF"/>
            <w:vAlign w:val="center"/>
          </w:tcPr>
          <w:p>
            <w:pPr>
              <w:spacing w:after="0"/>
            </w:pPr>
            <w:r/>
            <w:r>
              <w:rPr>
                <w:rFonts w:ascii="Arial" w:hAnsi="Arial"/>
                <w:b w:val="0"/>
                <w:color w:val="111827"/>
                <w:sz w:val="18"/>
              </w:rPr>
              <w:t>Phone-first Android app with Office Kit / War Room direction.</w:t>
            </w:r>
          </w:p>
        </w:tc>
      </w:tr>
      <w:tr>
        <w:tc>
          <w:tcPr>
            <w:tcW w:type="dxa" w:w="4968"/>
            <w:shd w:fill="F6F8FF"/>
            <w:vAlign w:val="center"/>
          </w:tcPr>
          <w:p>
            <w:pPr>
              <w:spacing w:after="0"/>
            </w:pPr>
            <w:r/>
            <w:r>
              <w:rPr>
                <w:rFonts w:ascii="Arial" w:hAnsi="Arial"/>
                <w:b/>
                <w:color w:val="111827"/>
                <w:sz w:val="18"/>
              </w:rPr>
              <w:t>Current Status</w:t>
            </w:r>
          </w:p>
        </w:tc>
        <w:tc>
          <w:tcPr>
            <w:tcW w:type="dxa" w:w="4968"/>
            <w:shd w:fill="FFFFFF"/>
            <w:vAlign w:val="center"/>
          </w:tcPr>
          <w:p>
            <w:pPr>
              <w:spacing w:after="0"/>
            </w:pPr>
            <w:r/>
            <w:r>
              <w:rPr>
                <w:rFonts w:ascii="Arial" w:hAnsi="Arial"/>
                <w:b w:val="0"/>
                <w:color w:val="111827"/>
                <w:sz w:val="18"/>
              </w:rPr>
              <w:t>Hackathon-ready APK with real persistence, API clients, memory, trend intelligence, content generation, lead detection, PR audit, competitor intelligence, Digital Twin Chat, debug tooling, custom icon, and judge deck.</w:t>
            </w:r>
          </w:p>
        </w:tc>
      </w:tr>
    </w:tbl>
    <w:p>
      <w:pPr>
        <w:spacing w:after="40"/>
      </w:pPr>
    </w:p>
    <w:p>
      <w:pPr>
        <w:spacing w:before="240" w:after="100"/>
      </w:pPr>
      <w:r>
        <w:rPr>
          <w:rFonts w:ascii="Arial" w:hAnsi="Arial"/>
          <w:b/>
          <w:color w:val="00EED0"/>
          <w:sz w:val="34"/>
        </w:rPr>
        <w:t>1. Problem Statement</w:t>
      </w:r>
    </w:p>
    <w:p>
      <w:pPr>
        <w:spacing w:after="100" w:line="259" w:lineRule="auto"/>
      </w:pPr>
      <w:r>
        <w:rPr>
          <w:rFonts w:ascii="Arial" w:hAnsi="Arial"/>
          <w:color w:val="111827"/>
          <w:sz w:val="21"/>
        </w:rPr>
        <w:t>Creators are expected to publish consistently, identify trends early, protect brand voice, respond to audience signals, find leads, avoid PR mistakes, and study competitors. Most creators do this from their phone while also running their actual business.</w:t>
      </w:r>
    </w:p>
    <w:p>
      <w:pPr>
        <w:spacing w:after="100" w:line="259" w:lineRule="auto"/>
      </w:pPr>
      <w:r>
        <w:rPr>
          <w:rFonts w:ascii="Arial" w:hAnsi="Arial"/>
          <w:color w:val="111827"/>
          <w:sz w:val="21"/>
        </w:rPr>
        <w:t>The current tool landscape is fragmented. Caption generators create copy but do not remember the creator. Scheduling tools publish content but do not create strategy. Analytics tools report what happened but rarely turn that into the next action. Chat tools can answer questions but they wait for prompts and do not operate like a team.</w:t>
      </w:r>
    </w:p>
    <w:p>
      <w:pPr>
        <w:pStyle w:val="ListBullet"/>
        <w:spacing w:after="60"/>
      </w:pPr>
      <w:r>
        <w:rPr>
          <w:rFonts w:ascii="Arial" w:hAnsi="Arial"/>
          <w:color w:val="111827"/>
          <w:sz w:val="20"/>
        </w:rPr>
        <w:t>Trend discovery is manual and easy to miss.</w:t>
      </w:r>
    </w:p>
    <w:p>
      <w:pPr>
        <w:pStyle w:val="ListBullet"/>
        <w:spacing w:after="60"/>
      </w:pPr>
      <w:r>
        <w:rPr>
          <w:rFonts w:ascii="Arial" w:hAnsi="Arial"/>
          <w:color w:val="111827"/>
          <w:sz w:val="20"/>
        </w:rPr>
        <w:t>Brand voice lives in the creator's head, not in the tool.</w:t>
      </w:r>
    </w:p>
    <w:p>
      <w:pPr>
        <w:pStyle w:val="ListBullet"/>
        <w:spacing w:after="60"/>
      </w:pPr>
      <w:r>
        <w:rPr>
          <w:rFonts w:ascii="Arial" w:hAnsi="Arial"/>
          <w:color w:val="111827"/>
          <w:sz w:val="20"/>
        </w:rPr>
        <w:t>Content generation often starts from generic prompts.</w:t>
      </w:r>
    </w:p>
    <w:p>
      <w:pPr>
        <w:pStyle w:val="ListBullet"/>
        <w:spacing w:after="60"/>
      </w:pPr>
      <w:r>
        <w:rPr>
          <w:rFonts w:ascii="Arial" w:hAnsi="Arial"/>
          <w:color w:val="111827"/>
          <w:sz w:val="20"/>
        </w:rPr>
        <w:t>Leads, comments, PR risk, competitor gaps, and strategy are disconnected.</w:t>
      </w:r>
    </w:p>
    <w:p>
      <w:pPr>
        <w:pStyle w:val="ListBullet"/>
        <w:spacing w:after="60"/>
      </w:pPr>
      <w:r>
        <w:rPr>
          <w:rFonts w:ascii="Arial" w:hAnsi="Arial"/>
          <w:color w:val="111827"/>
          <w:sz w:val="20"/>
        </w:rPr>
        <w:t>Mobile-first creators need one command center, not five separate products.</w:t>
      </w:r>
    </w:p>
    <w:p>
      <w:pPr>
        <w:spacing w:before="240" w:after="100"/>
      </w:pPr>
      <w:r>
        <w:rPr>
          <w:rFonts w:ascii="Arial" w:hAnsi="Arial"/>
          <w:b/>
          <w:color w:val="00EED0"/>
          <w:sz w:val="34"/>
        </w:rPr>
        <w:t>2. Solution Overview</w:t>
      </w:r>
    </w:p>
    <w:p>
      <w:pPr>
        <w:spacing w:after="100" w:line="259" w:lineRule="auto"/>
      </w:pPr>
      <w:r>
        <w:rPr>
          <w:rFonts w:ascii="Arial" w:hAnsi="Arial"/>
          <w:color w:val="111827"/>
          <w:sz w:val="21"/>
        </w:rPr>
        <w:t>BrandForge creates a persistent AI representation of the creator called the Creator Digital Twin. This twin stores identity, goals, memory, trends, lead history, competitor observations, audience insights, and content history. Every AI workflow can retrieve this context before acting.</w:t>
      </w:r>
    </w:p>
    <w:tbl>
      <w:tblPr>
        <w:tblW w:type="auto" w:w="0"/>
        <w:jc w:val="center"/>
        <w:tblLayout w:type="autofit"/>
        <w:tblLook w:firstColumn="1" w:firstRow="1" w:lastColumn="0" w:lastRow="0" w:noHBand="0" w:noVBand="1" w:val="04A0"/>
        <w:tblBorders>
          <w:top w:val="single" w:sz="10" w:space="0" w:color="00EED0"/>
          <w:left w:val="single" w:sz="10" w:space="0" w:color="00EED0"/>
          <w:bottom w:val="single" w:sz="10" w:space="0" w:color="00EED0"/>
          <w:right w:val="single" w:sz="10" w:space="0" w:color="00EED0"/>
          <w:insideH w:val="single" w:sz="10" w:space="0" w:color="00EED0"/>
          <w:insideV w:val="single" w:sz="10" w:space="0" w:color="00EED0"/>
        </w:tblBorders>
      </w:tblPr>
      <w:tblGrid>
        <w:gridCol w:w="9936"/>
      </w:tblGrid>
      <w:tr>
        <w:tc>
          <w:tcPr>
            <w:tcW w:type="dxa" w:w="9936"/>
            <w:shd w:fill="EFFFFB"/>
          </w:tcPr>
          <w:p>
            <w:pPr>
              <w:spacing w:after="0"/>
            </w:pPr>
            <w:r>
              <w:rPr>
                <w:rFonts w:ascii="Arial" w:hAnsi="Arial"/>
                <w:b/>
                <w:color w:val="111827"/>
                <w:sz w:val="20"/>
              </w:rPr>
              <w:t xml:space="preserve">AUTONOMOUS CREATOR LOOP: </w:t>
            </w:r>
            <w:r>
              <w:rPr>
                <w:rFonts w:ascii="Arial" w:hAnsi="Arial"/>
                <w:color w:val="111827"/>
                <w:sz w:val="20"/>
              </w:rPr>
              <w:t>Sense trends/comments/competitors -&gt; Retrieve Brand DNA and memory -&gt; Score opportunity or risk -&gt; Generate action -&gt; Persist result -&gt; Learn for next workflow</w:t>
            </w:r>
          </w:p>
        </w:tc>
      </w:tr>
    </w:tbl>
    <w:p>
      <w:pPr>
        <w:spacing w:after="40"/>
      </w:pPr>
    </w:p>
    <w:p>
      <w:pPr>
        <w:pStyle w:val="ListBullet"/>
        <w:spacing w:after="60"/>
      </w:pPr>
      <w:r>
        <w:rPr>
          <w:rFonts w:ascii="Arial" w:hAnsi="Arial"/>
          <w:color w:val="111827"/>
          <w:sz w:val="20"/>
        </w:rPr>
        <w:t>Brand DNA Agent builds and protects creator identity.</w:t>
      </w:r>
    </w:p>
    <w:p>
      <w:pPr>
        <w:pStyle w:val="ListBullet"/>
        <w:spacing w:after="60"/>
      </w:pPr>
      <w:r>
        <w:rPr>
          <w:rFonts w:ascii="Arial" w:hAnsi="Arial"/>
          <w:color w:val="111827"/>
          <w:sz w:val="20"/>
        </w:rPr>
        <w:t>Memory Agent retrieves context from Room and Qdrant.</w:t>
      </w:r>
    </w:p>
    <w:p>
      <w:pPr>
        <w:pStyle w:val="ListBullet"/>
        <w:spacing w:after="60"/>
      </w:pPr>
      <w:r>
        <w:rPr>
          <w:rFonts w:ascii="Arial" w:hAnsi="Arial"/>
          <w:color w:val="111827"/>
          <w:sz w:val="20"/>
        </w:rPr>
        <w:t>Trend Agent finds opportunities from Firecrawl and YouTube.</w:t>
      </w:r>
    </w:p>
    <w:p>
      <w:pPr>
        <w:pStyle w:val="ListBullet"/>
        <w:spacing w:after="60"/>
      </w:pPr>
      <w:r>
        <w:rPr>
          <w:rFonts w:ascii="Arial" w:hAnsi="Arial"/>
          <w:color w:val="111827"/>
          <w:sz w:val="20"/>
        </w:rPr>
        <w:t>Content Agent creates Reel scripts, carousels, X threads, and media artifacts.</w:t>
      </w:r>
    </w:p>
    <w:p>
      <w:pPr>
        <w:pStyle w:val="ListBullet"/>
        <w:spacing w:after="60"/>
      </w:pPr>
      <w:r>
        <w:rPr>
          <w:rFonts w:ascii="Arial" w:hAnsi="Arial"/>
          <w:color w:val="111827"/>
          <w:sz w:val="20"/>
        </w:rPr>
        <w:t>Lead Agent detects high-value audience interactions.</w:t>
      </w:r>
    </w:p>
    <w:p>
      <w:pPr>
        <w:pStyle w:val="ListBullet"/>
        <w:spacing w:after="60"/>
      </w:pPr>
      <w:r>
        <w:rPr>
          <w:rFonts w:ascii="Arial" w:hAnsi="Arial"/>
          <w:color w:val="111827"/>
          <w:sz w:val="20"/>
        </w:rPr>
        <w:t>PR Risk Agent audits images/captions before posting.</w:t>
      </w:r>
    </w:p>
    <w:p>
      <w:pPr>
        <w:pStyle w:val="ListBullet"/>
        <w:spacing w:after="60"/>
      </w:pPr>
      <w:r>
        <w:rPr>
          <w:rFonts w:ascii="Arial" w:hAnsi="Arial"/>
          <w:color w:val="111827"/>
          <w:sz w:val="20"/>
        </w:rPr>
        <w:t>Competitor Agent identifies market gaps and strategic angles.</w:t>
      </w:r>
    </w:p>
    <w:p>
      <w:pPr>
        <w:pStyle w:val="ListBullet"/>
        <w:spacing w:after="60"/>
      </w:pPr>
      <w:r>
        <w:rPr>
          <w:rFonts w:ascii="Arial" w:hAnsi="Arial"/>
          <w:color w:val="111827"/>
          <w:sz w:val="20"/>
        </w:rPr>
        <w:t>Twin Chat explains next moves using cited context.</w:t>
      </w:r>
    </w:p>
    <w:p>
      <w:pPr>
        <w:pStyle w:val="ListBullet"/>
        <w:spacing w:after="60"/>
      </w:pPr>
      <w:r>
        <w:rPr>
          <w:rFonts w:ascii="Arial" w:hAnsi="Arial"/>
          <w:color w:val="111827"/>
          <w:sz w:val="20"/>
        </w:rPr>
        <w:t>War Room simulates an agent battle for viral caption strategy.</w:t>
      </w:r>
    </w:p>
    <w:p>
      <w:pPr>
        <w:spacing w:before="240" w:after="100"/>
      </w:pPr>
      <w:r>
        <w:rPr>
          <w:rFonts w:ascii="Arial" w:hAnsi="Arial"/>
          <w:b/>
          <w:color w:val="00EED0"/>
          <w:sz w:val="34"/>
        </w:rPr>
        <w:t>3. Why BrandForge Is Not Another Content Generator</w:t>
      </w: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3312"/>
        <w:gridCol w:w="3312"/>
        <w:gridCol w:w="3312"/>
      </w:tblGrid>
      <w:tr>
        <w:tc>
          <w:tcPr>
            <w:tcW w:type="dxa" w:w="3312"/>
            <w:shd w:fill="0B1018"/>
            <w:vAlign w:val="center"/>
          </w:tcPr>
          <w:p>
            <w:pPr>
              <w:spacing w:after="0"/>
            </w:pPr>
            <w:r/>
            <w:r>
              <w:rPr>
                <w:rFonts w:ascii="Arial" w:hAnsi="Arial"/>
                <w:b/>
                <w:color w:val="FFD54D"/>
                <w:sz w:val="17"/>
              </w:rPr>
              <w:t>Traditional Tool</w:t>
            </w:r>
          </w:p>
        </w:tc>
        <w:tc>
          <w:tcPr>
            <w:tcW w:type="dxa" w:w="3312"/>
            <w:shd w:fill="0B1018"/>
            <w:vAlign w:val="center"/>
          </w:tcPr>
          <w:p>
            <w:pPr>
              <w:spacing w:after="0"/>
            </w:pPr>
            <w:r/>
            <w:r>
              <w:rPr>
                <w:rFonts w:ascii="Arial" w:hAnsi="Arial"/>
                <w:b/>
                <w:color w:val="FFD54D"/>
                <w:sz w:val="17"/>
              </w:rPr>
              <w:t>What It Does</w:t>
            </w:r>
          </w:p>
        </w:tc>
        <w:tc>
          <w:tcPr>
            <w:tcW w:type="dxa" w:w="3312"/>
            <w:shd w:fill="0B1018"/>
            <w:vAlign w:val="center"/>
          </w:tcPr>
          <w:p>
            <w:pPr>
              <w:spacing w:after="0"/>
            </w:pPr>
            <w:r/>
            <w:r>
              <w:rPr>
                <w:rFonts w:ascii="Arial" w:hAnsi="Arial"/>
                <w:b/>
                <w:color w:val="FFD54D"/>
                <w:sz w:val="17"/>
              </w:rPr>
              <w:t>What BrandForge Adds</w:t>
            </w:r>
          </w:p>
        </w:tc>
      </w:tr>
      <w:tr>
        <w:tc>
          <w:tcPr>
            <w:tcW w:type="dxa" w:w="3312"/>
            <w:shd w:fill="F6F8FF"/>
            <w:vAlign w:val="center"/>
          </w:tcPr>
          <w:p>
            <w:pPr>
              <w:spacing w:after="0"/>
            </w:pPr>
            <w:r/>
            <w:r>
              <w:rPr>
                <w:rFonts w:ascii="Arial" w:hAnsi="Arial"/>
                <w:b/>
                <w:color w:val="111827"/>
                <w:sz w:val="17"/>
              </w:rPr>
              <w:t>ChatGPT</w:t>
            </w:r>
          </w:p>
        </w:tc>
        <w:tc>
          <w:tcPr>
            <w:tcW w:type="dxa" w:w="3312"/>
            <w:shd w:fill="FFFFFF"/>
            <w:vAlign w:val="center"/>
          </w:tcPr>
          <w:p>
            <w:pPr>
              <w:spacing w:after="0"/>
            </w:pPr>
            <w:r/>
            <w:r>
              <w:rPr>
                <w:rFonts w:ascii="Arial" w:hAnsi="Arial"/>
                <w:b w:val="0"/>
                <w:color w:val="111827"/>
                <w:sz w:val="17"/>
              </w:rPr>
              <w:t>Answers prompts</w:t>
            </w:r>
          </w:p>
        </w:tc>
        <w:tc>
          <w:tcPr>
            <w:tcW w:type="dxa" w:w="3312"/>
            <w:shd w:fill="FFFFFF"/>
            <w:vAlign w:val="center"/>
          </w:tcPr>
          <w:p>
            <w:pPr>
              <w:spacing w:after="0"/>
            </w:pPr>
            <w:r/>
            <w:r>
              <w:rPr>
                <w:rFonts w:ascii="Arial" w:hAnsi="Arial"/>
                <w:b w:val="0"/>
                <w:color w:val="111827"/>
                <w:sz w:val="17"/>
              </w:rPr>
              <w:t>Persistent creator memory, Brand DNA, source-backed workflows, and agent orchestration.</w:t>
            </w:r>
          </w:p>
        </w:tc>
      </w:tr>
      <w:tr>
        <w:tc>
          <w:tcPr>
            <w:tcW w:type="dxa" w:w="3312"/>
            <w:shd w:fill="F6F8FF"/>
            <w:vAlign w:val="center"/>
          </w:tcPr>
          <w:p>
            <w:pPr>
              <w:spacing w:after="0"/>
            </w:pPr>
            <w:r/>
            <w:r>
              <w:rPr>
                <w:rFonts w:ascii="Arial" w:hAnsi="Arial"/>
                <w:b/>
                <w:color w:val="111827"/>
                <w:sz w:val="17"/>
              </w:rPr>
              <w:t>Jasper / Copy.ai</w:t>
            </w:r>
          </w:p>
        </w:tc>
        <w:tc>
          <w:tcPr>
            <w:tcW w:type="dxa" w:w="3312"/>
            <w:shd w:fill="FFFFFF"/>
            <w:vAlign w:val="center"/>
          </w:tcPr>
          <w:p>
            <w:pPr>
              <w:spacing w:after="0"/>
            </w:pPr>
            <w:r/>
            <w:r>
              <w:rPr>
                <w:rFonts w:ascii="Arial" w:hAnsi="Arial"/>
                <w:b w:val="0"/>
                <w:color w:val="111827"/>
                <w:sz w:val="17"/>
              </w:rPr>
              <w:t>Writes marketing copy</w:t>
            </w:r>
          </w:p>
        </w:tc>
        <w:tc>
          <w:tcPr>
            <w:tcW w:type="dxa" w:w="3312"/>
            <w:shd w:fill="FFFFFF"/>
            <w:vAlign w:val="center"/>
          </w:tcPr>
          <w:p>
            <w:pPr>
              <w:spacing w:after="0"/>
            </w:pPr>
            <w:r/>
            <w:r>
              <w:rPr>
                <w:rFonts w:ascii="Arial" w:hAnsi="Arial"/>
                <w:b w:val="0"/>
                <w:color w:val="111827"/>
                <w:sz w:val="17"/>
              </w:rPr>
              <w:t>Trend scoring, competitor gaps, memory-aware content, PR audit, and lead detection.</w:t>
            </w:r>
          </w:p>
        </w:tc>
      </w:tr>
      <w:tr>
        <w:tc>
          <w:tcPr>
            <w:tcW w:type="dxa" w:w="3312"/>
            <w:shd w:fill="F6F8FF"/>
            <w:vAlign w:val="center"/>
          </w:tcPr>
          <w:p>
            <w:pPr>
              <w:spacing w:after="0"/>
            </w:pPr>
            <w:r/>
            <w:r>
              <w:rPr>
                <w:rFonts w:ascii="Arial" w:hAnsi="Arial"/>
                <w:b/>
                <w:color w:val="111827"/>
                <w:sz w:val="17"/>
              </w:rPr>
              <w:t>Buffer / Hootsuite</w:t>
            </w:r>
          </w:p>
        </w:tc>
        <w:tc>
          <w:tcPr>
            <w:tcW w:type="dxa" w:w="3312"/>
            <w:shd w:fill="FFFFFF"/>
            <w:vAlign w:val="center"/>
          </w:tcPr>
          <w:p>
            <w:pPr>
              <w:spacing w:after="0"/>
            </w:pPr>
            <w:r/>
            <w:r>
              <w:rPr>
                <w:rFonts w:ascii="Arial" w:hAnsi="Arial"/>
                <w:b w:val="0"/>
                <w:color w:val="111827"/>
                <w:sz w:val="17"/>
              </w:rPr>
              <w:t>Schedules and manages social posts</w:t>
            </w:r>
          </w:p>
        </w:tc>
        <w:tc>
          <w:tcPr>
            <w:tcW w:type="dxa" w:w="3312"/>
            <w:shd w:fill="FFFFFF"/>
            <w:vAlign w:val="center"/>
          </w:tcPr>
          <w:p>
            <w:pPr>
              <w:spacing w:after="0"/>
            </w:pPr>
            <w:r/>
            <w:r>
              <w:rPr>
                <w:rFonts w:ascii="Arial" w:hAnsi="Arial"/>
                <w:b w:val="0"/>
                <w:color w:val="111827"/>
                <w:sz w:val="17"/>
              </w:rPr>
              <w:t>Autonomous strategy, creator twin context, AI content generation, and risk/lead intelligence.</w:t>
            </w:r>
          </w:p>
        </w:tc>
      </w:tr>
      <w:tr>
        <w:tc>
          <w:tcPr>
            <w:tcW w:type="dxa" w:w="3312"/>
            <w:shd w:fill="F6F8FF"/>
            <w:vAlign w:val="center"/>
          </w:tcPr>
          <w:p>
            <w:pPr>
              <w:spacing w:after="0"/>
            </w:pPr>
            <w:r/>
            <w:r>
              <w:rPr>
                <w:rFonts w:ascii="Arial" w:hAnsi="Arial"/>
                <w:b/>
                <w:color w:val="111827"/>
                <w:sz w:val="17"/>
              </w:rPr>
              <w:t>Analytics dashboards</w:t>
            </w:r>
          </w:p>
        </w:tc>
        <w:tc>
          <w:tcPr>
            <w:tcW w:type="dxa" w:w="3312"/>
            <w:shd w:fill="FFFFFF"/>
            <w:vAlign w:val="center"/>
          </w:tcPr>
          <w:p>
            <w:pPr>
              <w:spacing w:after="0"/>
            </w:pPr>
            <w:r/>
            <w:r>
              <w:rPr>
                <w:rFonts w:ascii="Arial" w:hAnsi="Arial"/>
                <w:b w:val="0"/>
                <w:color w:val="111827"/>
                <w:sz w:val="17"/>
              </w:rPr>
              <w:t>Show past performance</w:t>
            </w:r>
          </w:p>
        </w:tc>
        <w:tc>
          <w:tcPr>
            <w:tcW w:type="dxa" w:w="3312"/>
            <w:shd w:fill="FFFFFF"/>
            <w:vAlign w:val="center"/>
          </w:tcPr>
          <w:p>
            <w:pPr>
              <w:spacing w:after="0"/>
            </w:pPr>
            <w:r/>
            <w:r>
              <w:rPr>
                <w:rFonts w:ascii="Arial" w:hAnsi="Arial"/>
                <w:b w:val="0"/>
                <w:color w:val="111827"/>
                <w:sz w:val="17"/>
              </w:rPr>
              <w:t>Turns context into next actions and stores learnings back into memory.</w:t>
            </w:r>
          </w:p>
        </w:tc>
      </w:tr>
    </w:tbl>
    <w:p>
      <w:pPr>
        <w:spacing w:after="40"/>
      </w:pPr>
    </w:p>
    <w:p>
      <w:pPr>
        <w:spacing w:before="240" w:after="100"/>
      </w:pPr>
      <w:r>
        <w:rPr>
          <w:rFonts w:ascii="Arial" w:hAnsi="Arial"/>
          <w:b/>
          <w:color w:val="00EED0"/>
          <w:sz w:val="34"/>
        </w:rPr>
        <w:t>4. Implemented Product Capabilities</w:t>
      </w: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4968"/>
        <w:gridCol w:w="4968"/>
      </w:tblGrid>
      <w:tr>
        <w:tc>
          <w:tcPr>
            <w:tcW w:type="dxa" w:w="4968"/>
            <w:shd w:fill="0B1018"/>
            <w:vAlign w:val="center"/>
          </w:tcPr>
          <w:p>
            <w:pPr>
              <w:spacing w:after="0"/>
            </w:pPr>
            <w:r/>
            <w:r>
              <w:rPr>
                <w:rFonts w:ascii="Arial" w:hAnsi="Arial"/>
                <w:b/>
                <w:color w:val="FFD54D"/>
                <w:sz w:val="19"/>
              </w:rPr>
              <w:t>Area</w:t>
            </w:r>
          </w:p>
        </w:tc>
        <w:tc>
          <w:tcPr>
            <w:tcW w:type="dxa" w:w="4968"/>
            <w:shd w:fill="0B1018"/>
            <w:vAlign w:val="center"/>
          </w:tcPr>
          <w:p>
            <w:pPr>
              <w:spacing w:after="0"/>
            </w:pPr>
            <w:r/>
            <w:r>
              <w:rPr>
                <w:rFonts w:ascii="Arial" w:hAnsi="Arial"/>
                <w:b/>
                <w:color w:val="FFD54D"/>
                <w:sz w:val="19"/>
              </w:rPr>
              <w:t>Details</w:t>
            </w:r>
          </w:p>
        </w:tc>
      </w:tr>
      <w:tr>
        <w:tc>
          <w:tcPr>
            <w:tcW w:type="dxa" w:w="4968"/>
            <w:shd w:fill="F6F8FF"/>
            <w:vAlign w:val="center"/>
          </w:tcPr>
          <w:p>
            <w:pPr>
              <w:spacing w:after="0"/>
            </w:pPr>
            <w:r/>
            <w:r>
              <w:rPr>
                <w:rFonts w:ascii="Arial" w:hAnsi="Arial"/>
                <w:b/>
                <w:color w:val="111827"/>
                <w:sz w:val="18"/>
              </w:rPr>
              <w:t>Brand DNA</w:t>
            </w:r>
          </w:p>
        </w:tc>
        <w:tc>
          <w:tcPr>
            <w:tcW w:type="dxa" w:w="4968"/>
            <w:shd w:fill="FFFFFF"/>
            <w:vAlign w:val="center"/>
          </w:tcPr>
          <w:p>
            <w:pPr>
              <w:spacing w:after="0"/>
            </w:pPr>
            <w:r/>
            <w:r>
              <w:rPr>
                <w:rFonts w:ascii="Arial" w:hAnsi="Arial"/>
                <w:b w:val="0"/>
                <w:color w:val="111827"/>
                <w:sz w:val="18"/>
              </w:rPr>
              <w:t>Manual onboarding plus profile URL scraping using Firecrawl exact scrape and search-backed content. Gemini extracts creator name, archetype, voice rules, banned claims, and business goals.</w:t>
            </w:r>
          </w:p>
        </w:tc>
      </w:tr>
      <w:tr>
        <w:tc>
          <w:tcPr>
            <w:tcW w:type="dxa" w:w="4968"/>
            <w:shd w:fill="F6F8FF"/>
            <w:vAlign w:val="center"/>
          </w:tcPr>
          <w:p>
            <w:pPr>
              <w:spacing w:after="0"/>
            </w:pPr>
            <w:r/>
            <w:r>
              <w:rPr>
                <w:rFonts w:ascii="Arial" w:hAnsi="Arial"/>
                <w:b/>
                <w:color w:val="111827"/>
                <w:sz w:val="18"/>
              </w:rPr>
              <w:t>Creator Memory</w:t>
            </w:r>
          </w:p>
        </w:tc>
        <w:tc>
          <w:tcPr>
            <w:tcW w:type="dxa" w:w="4968"/>
            <w:shd w:fill="FFFFFF"/>
            <w:vAlign w:val="center"/>
          </w:tcPr>
          <w:p>
            <w:pPr>
              <w:spacing w:after="0"/>
            </w:pPr>
            <w:r/>
            <w:r>
              <w:rPr>
                <w:rFonts w:ascii="Arial" w:hAnsi="Arial"/>
                <w:b w:val="0"/>
                <w:color w:val="111827"/>
                <w:sz w:val="18"/>
              </w:rPr>
              <w:t>Room-backed memory shards, Qdrant vector retrieval, embeddings, local fallback, and relevance scoring.</w:t>
            </w:r>
          </w:p>
        </w:tc>
      </w:tr>
      <w:tr>
        <w:tc>
          <w:tcPr>
            <w:tcW w:type="dxa" w:w="4968"/>
            <w:shd w:fill="F6F8FF"/>
            <w:vAlign w:val="center"/>
          </w:tcPr>
          <w:p>
            <w:pPr>
              <w:spacing w:after="0"/>
            </w:pPr>
            <w:r/>
            <w:r>
              <w:rPr>
                <w:rFonts w:ascii="Arial" w:hAnsi="Arial"/>
                <w:b/>
                <w:color w:val="111827"/>
                <w:sz w:val="18"/>
              </w:rPr>
              <w:t>Trend Intelligence</w:t>
            </w:r>
          </w:p>
        </w:tc>
        <w:tc>
          <w:tcPr>
            <w:tcW w:type="dxa" w:w="4968"/>
            <w:shd w:fill="FFFFFF"/>
            <w:vAlign w:val="center"/>
          </w:tcPr>
          <w:p>
            <w:pPr>
              <w:spacing w:after="0"/>
            </w:pPr>
            <w:r/>
            <w:r>
              <w:rPr>
                <w:rFonts w:ascii="Arial" w:hAnsi="Arial"/>
                <w:b w:val="0"/>
                <w:color w:val="111827"/>
                <w:sz w:val="18"/>
              </w:rPr>
              <w:t>Firecrawl and YouTube trend signals, source URL visibility, opportunity scoring, source viewing, and add-to-memory action.</w:t>
            </w:r>
          </w:p>
        </w:tc>
      </w:tr>
      <w:tr>
        <w:tc>
          <w:tcPr>
            <w:tcW w:type="dxa" w:w="4968"/>
            <w:shd w:fill="F6F8FF"/>
            <w:vAlign w:val="center"/>
          </w:tcPr>
          <w:p>
            <w:pPr>
              <w:spacing w:after="0"/>
            </w:pPr>
            <w:r/>
            <w:r>
              <w:rPr>
                <w:rFonts w:ascii="Arial" w:hAnsi="Arial"/>
                <w:b/>
                <w:color w:val="111827"/>
                <w:sz w:val="18"/>
              </w:rPr>
              <w:t>Content Studio</w:t>
            </w:r>
          </w:p>
        </w:tc>
        <w:tc>
          <w:tcPr>
            <w:tcW w:type="dxa" w:w="4968"/>
            <w:shd w:fill="FFFFFF"/>
            <w:vAlign w:val="center"/>
          </w:tcPr>
          <w:p>
            <w:pPr>
              <w:spacing w:after="0"/>
            </w:pPr>
            <w:r/>
            <w:r>
              <w:rPr>
                <w:rFonts w:ascii="Arial" w:hAnsi="Arial"/>
                <w:b w:val="0"/>
                <w:color w:val="111827"/>
                <w:sz w:val="18"/>
              </w:rPr>
              <w:t>Generates Reel Script, Instagram Carousel, and X Thread drafts. Includes rendered media artifact path, image/video cards, full-screen viewer, and visible error cards.</w:t>
            </w:r>
          </w:p>
        </w:tc>
      </w:tr>
      <w:tr>
        <w:tc>
          <w:tcPr>
            <w:tcW w:type="dxa" w:w="4968"/>
            <w:shd w:fill="F6F8FF"/>
            <w:vAlign w:val="center"/>
          </w:tcPr>
          <w:p>
            <w:pPr>
              <w:spacing w:after="0"/>
            </w:pPr>
            <w:r/>
            <w:r>
              <w:rPr>
                <w:rFonts w:ascii="Arial" w:hAnsi="Arial"/>
                <w:b/>
                <w:color w:val="111827"/>
                <w:sz w:val="18"/>
              </w:rPr>
              <w:t>Digital Twin Chat</w:t>
            </w:r>
          </w:p>
        </w:tc>
        <w:tc>
          <w:tcPr>
            <w:tcW w:type="dxa" w:w="4968"/>
            <w:shd w:fill="FFFFFF"/>
            <w:vAlign w:val="center"/>
          </w:tcPr>
          <w:p>
            <w:pPr>
              <w:spacing w:after="0"/>
            </w:pPr>
            <w:r/>
            <w:r>
              <w:rPr>
                <w:rFonts w:ascii="Arial" w:hAnsi="Arial"/>
                <w:b w:val="0"/>
                <w:color w:val="111827"/>
                <w:sz w:val="18"/>
              </w:rPr>
              <w:t>Answers creator strategy questions using Brand DNA, memory, trend opportunities, generated drafts, and competitor insights.</w:t>
            </w:r>
          </w:p>
        </w:tc>
      </w:tr>
      <w:tr>
        <w:tc>
          <w:tcPr>
            <w:tcW w:type="dxa" w:w="4968"/>
            <w:shd w:fill="F6F8FF"/>
            <w:vAlign w:val="center"/>
          </w:tcPr>
          <w:p>
            <w:pPr>
              <w:spacing w:after="0"/>
            </w:pPr>
            <w:r/>
            <w:r>
              <w:rPr>
                <w:rFonts w:ascii="Arial" w:hAnsi="Arial"/>
                <w:b/>
                <w:color w:val="111827"/>
                <w:sz w:val="18"/>
              </w:rPr>
              <w:t>Lead Detection</w:t>
            </w:r>
          </w:p>
        </w:tc>
        <w:tc>
          <w:tcPr>
            <w:tcW w:type="dxa" w:w="4968"/>
            <w:shd w:fill="FFFFFF"/>
            <w:vAlign w:val="center"/>
          </w:tcPr>
          <w:p>
            <w:pPr>
              <w:spacing w:after="0"/>
            </w:pPr>
            <w:r/>
            <w:r>
              <w:rPr>
                <w:rFonts w:ascii="Arial" w:hAnsi="Arial"/>
                <w:b w:val="0"/>
                <w:color w:val="111827"/>
                <w:sz w:val="18"/>
              </w:rPr>
              <w:t>Classifies interactions as Lead, Question, Collaboration, Feedback, PR Risk, or Ignore, with confidence and suggested reply.</w:t>
            </w:r>
          </w:p>
        </w:tc>
      </w:tr>
      <w:tr>
        <w:tc>
          <w:tcPr>
            <w:tcW w:type="dxa" w:w="4968"/>
            <w:shd w:fill="F6F8FF"/>
            <w:vAlign w:val="center"/>
          </w:tcPr>
          <w:p>
            <w:pPr>
              <w:spacing w:after="0"/>
            </w:pPr>
            <w:r/>
            <w:r>
              <w:rPr>
                <w:rFonts w:ascii="Arial" w:hAnsi="Arial"/>
                <w:b/>
                <w:color w:val="111827"/>
                <w:sz w:val="18"/>
              </w:rPr>
              <w:t>Competitor Intelligence</w:t>
            </w:r>
          </w:p>
        </w:tc>
        <w:tc>
          <w:tcPr>
            <w:tcW w:type="dxa" w:w="4968"/>
            <w:shd w:fill="FFFFFF"/>
            <w:vAlign w:val="center"/>
          </w:tcPr>
          <w:p>
            <w:pPr>
              <w:spacing w:after="0"/>
            </w:pPr>
            <w:r/>
            <w:r>
              <w:rPr>
                <w:rFonts w:ascii="Arial" w:hAnsi="Arial"/>
                <w:b w:val="0"/>
                <w:color w:val="111827"/>
                <w:sz w:val="18"/>
              </w:rPr>
              <w:t>Stores competitor URLs, fetches YouTube/Firecrawl content, analyzes patterns, generates gaps, and feeds future trend/content/chat workflows.</w:t>
            </w:r>
          </w:p>
        </w:tc>
      </w:tr>
      <w:tr>
        <w:tc>
          <w:tcPr>
            <w:tcW w:type="dxa" w:w="4968"/>
            <w:shd w:fill="F6F8FF"/>
            <w:vAlign w:val="center"/>
          </w:tcPr>
          <w:p>
            <w:pPr>
              <w:spacing w:after="0"/>
            </w:pPr>
            <w:r/>
            <w:r>
              <w:rPr>
                <w:rFonts w:ascii="Arial" w:hAnsi="Arial"/>
                <w:b/>
                <w:color w:val="111827"/>
                <w:sz w:val="18"/>
              </w:rPr>
              <w:t>PR Risk Audit</w:t>
            </w:r>
          </w:p>
        </w:tc>
        <w:tc>
          <w:tcPr>
            <w:tcW w:type="dxa" w:w="4968"/>
            <w:shd w:fill="FFFFFF"/>
            <w:vAlign w:val="center"/>
          </w:tcPr>
          <w:p>
            <w:pPr>
              <w:spacing w:after="0"/>
            </w:pPr>
            <w:r/>
            <w:r>
              <w:rPr>
                <w:rFonts w:ascii="Arial" w:hAnsi="Arial"/>
                <w:b w:val="0"/>
                <w:color w:val="111827"/>
                <w:sz w:val="18"/>
              </w:rPr>
              <w:t>Audits uploaded images and captions using Gemini multimodal analysis plus Brand DNA, banned claims, memory, and audience risk.</w:t>
            </w:r>
          </w:p>
        </w:tc>
      </w:tr>
      <w:tr>
        <w:tc>
          <w:tcPr>
            <w:tcW w:type="dxa" w:w="4968"/>
            <w:shd w:fill="F6F8FF"/>
            <w:vAlign w:val="center"/>
          </w:tcPr>
          <w:p>
            <w:pPr>
              <w:spacing w:after="0"/>
            </w:pPr>
            <w:r/>
            <w:r>
              <w:rPr>
                <w:rFonts w:ascii="Arial" w:hAnsi="Arial"/>
                <w:b/>
                <w:color w:val="111827"/>
                <w:sz w:val="18"/>
              </w:rPr>
              <w:t>War Room</w:t>
            </w:r>
          </w:p>
        </w:tc>
        <w:tc>
          <w:tcPr>
            <w:tcW w:type="dxa" w:w="4968"/>
            <w:shd w:fill="FFFFFF"/>
            <w:vAlign w:val="center"/>
          </w:tcPr>
          <w:p>
            <w:pPr>
              <w:spacing w:after="0"/>
            </w:pPr>
            <w:r/>
            <w:r>
              <w:rPr>
                <w:rFonts w:ascii="Arial" w:hAnsi="Arial"/>
                <w:b w:val="0"/>
                <w:color w:val="111827"/>
                <w:sz w:val="18"/>
              </w:rPr>
              <w:t>OpenRouter-powered agent battle between Brand DNA, Virality, Competitor, and Supervisor agents for caption selection.</w:t>
            </w:r>
          </w:p>
        </w:tc>
      </w:tr>
      <w:tr>
        <w:tc>
          <w:tcPr>
            <w:tcW w:type="dxa" w:w="4968"/>
            <w:shd w:fill="F6F8FF"/>
            <w:vAlign w:val="center"/>
          </w:tcPr>
          <w:p>
            <w:pPr>
              <w:spacing w:after="0"/>
            </w:pPr>
            <w:r/>
            <w:r>
              <w:rPr>
                <w:rFonts w:ascii="Arial" w:hAnsi="Arial"/>
                <w:b/>
                <w:color w:val="111827"/>
                <w:sz w:val="18"/>
              </w:rPr>
              <w:t>Debug Panel</w:t>
            </w:r>
          </w:p>
        </w:tc>
        <w:tc>
          <w:tcPr>
            <w:tcW w:type="dxa" w:w="4968"/>
            <w:shd w:fill="FFFFFF"/>
            <w:vAlign w:val="center"/>
          </w:tcPr>
          <w:p>
            <w:pPr>
              <w:spacing w:after="0"/>
            </w:pPr>
            <w:r/>
            <w:r>
              <w:rPr>
                <w:rFonts w:ascii="Arial" w:hAnsi="Arial"/>
                <w:b w:val="0"/>
                <w:color w:val="111827"/>
                <w:sz w:val="18"/>
              </w:rPr>
              <w:t>Hidden health checks, seed actions, error logs, environment status, and real-device test checklist.</w:t>
            </w:r>
          </w:p>
        </w:tc>
      </w:tr>
    </w:tbl>
    <w:p>
      <w:pPr>
        <w:spacing w:after="40"/>
      </w:pPr>
    </w:p>
    <w:p>
      <w:pPr>
        <w:spacing w:before="240" w:after="100"/>
      </w:pPr>
      <w:r>
        <w:rPr>
          <w:rFonts w:ascii="Arial" w:hAnsi="Arial"/>
          <w:b/>
          <w:color w:val="00EED0"/>
          <w:sz w:val="34"/>
        </w:rPr>
        <w:t>5. Technical Architecture</w:t>
      </w:r>
    </w:p>
    <w:p>
      <w:pPr>
        <w:spacing w:after="100" w:line="259" w:lineRule="auto"/>
      </w:pPr>
      <w:r>
        <w:rPr>
          <w:rFonts w:ascii="Arial" w:hAnsi="Arial"/>
          <w:color w:val="111827"/>
          <w:sz w:val="21"/>
        </w:rPr>
        <w:t>BrandForge follows Clean Architecture with feature-based packages, Hilt dependency injection, repository boundaries, Room persistence, DataStore preferences, Retrofit/OkHttp networking, and ViewModel-driven Compose state.</w:t>
      </w:r>
    </w:p>
    <w:tbl>
      <w:tblPr>
        <w:tblW w:type="auto" w:w="0"/>
        <w:jc w:val="center"/>
        <w:tblLayout w:type="autofit"/>
        <w:tblLook w:firstColumn="1" w:firstRow="1" w:lastColumn="0" w:lastRow="0" w:noHBand="0" w:noVBand="1" w:val="04A0"/>
        <w:tblBorders>
          <w:top w:val="single" w:sz="10" w:space="0" w:color="00EED0"/>
          <w:left w:val="single" w:sz="10" w:space="0" w:color="00EED0"/>
          <w:bottom w:val="single" w:sz="10" w:space="0" w:color="00EED0"/>
          <w:right w:val="single" w:sz="10" w:space="0" w:color="00EED0"/>
          <w:insideH w:val="single" w:sz="10" w:space="0" w:color="00EED0"/>
          <w:insideV w:val="single" w:sz="10" w:space="0" w:color="00EED0"/>
        </w:tblBorders>
      </w:tblPr>
      <w:tblGrid>
        <w:gridCol w:w="9936"/>
      </w:tblGrid>
      <w:tr>
        <w:tc>
          <w:tcPr>
            <w:tcW w:type="dxa" w:w="9936"/>
            <w:shd w:fill="EFFFFB"/>
          </w:tcPr>
          <w:p>
            <w:pPr>
              <w:spacing w:after="0"/>
            </w:pPr>
            <w:r>
              <w:rPr>
                <w:rFonts w:ascii="Arial" w:hAnsi="Arial"/>
                <w:b/>
                <w:color w:val="111827"/>
                <w:sz w:val="20"/>
              </w:rPr>
              <w:t xml:space="preserve">HIGH-LEVEL ARCHITECTURE: </w:t>
            </w:r>
            <w:r>
              <w:rPr>
                <w:rFonts w:ascii="Arial" w:hAnsi="Arial"/>
                <w:color w:val="111827"/>
                <w:sz w:val="20"/>
              </w:rPr>
              <w:t>Compose UI -&gt; ViewModels -&gt; Domain Agents + Use Cases -&gt; Repositories -&gt; Room / DataStore / Qdrant / APIs</w:t>
            </w:r>
          </w:p>
        </w:tc>
      </w:tr>
    </w:tbl>
    <w:p>
      <w:pPr>
        <w:spacing w:after="40"/>
      </w:pP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3312"/>
        <w:gridCol w:w="3312"/>
        <w:gridCol w:w="3312"/>
      </w:tblGrid>
      <w:tr>
        <w:tc>
          <w:tcPr>
            <w:tcW w:type="dxa" w:w="3312"/>
            <w:shd w:fill="0B1018"/>
            <w:vAlign w:val="center"/>
          </w:tcPr>
          <w:p>
            <w:pPr>
              <w:spacing w:after="0"/>
            </w:pPr>
            <w:r/>
            <w:r>
              <w:rPr>
                <w:rFonts w:ascii="Arial" w:hAnsi="Arial"/>
                <w:b/>
                <w:color w:val="FFD54D"/>
                <w:sz w:val="17"/>
              </w:rPr>
              <w:t>Layer</w:t>
            </w:r>
          </w:p>
        </w:tc>
        <w:tc>
          <w:tcPr>
            <w:tcW w:type="dxa" w:w="3312"/>
            <w:shd w:fill="0B1018"/>
            <w:vAlign w:val="center"/>
          </w:tcPr>
          <w:p>
            <w:pPr>
              <w:spacing w:after="0"/>
            </w:pPr>
            <w:r/>
            <w:r>
              <w:rPr>
                <w:rFonts w:ascii="Arial" w:hAnsi="Arial"/>
                <w:b/>
                <w:color w:val="FFD54D"/>
                <w:sz w:val="17"/>
              </w:rPr>
              <w:t>Responsibility</w:t>
            </w:r>
          </w:p>
        </w:tc>
        <w:tc>
          <w:tcPr>
            <w:tcW w:type="dxa" w:w="3312"/>
            <w:shd w:fill="0B1018"/>
            <w:vAlign w:val="center"/>
          </w:tcPr>
          <w:p>
            <w:pPr>
              <w:spacing w:after="0"/>
            </w:pPr>
            <w:r/>
            <w:r>
              <w:rPr>
                <w:rFonts w:ascii="Arial" w:hAnsi="Arial"/>
                <w:b/>
                <w:color w:val="FFD54D"/>
                <w:sz w:val="17"/>
              </w:rPr>
              <w:t>Examples</w:t>
            </w:r>
          </w:p>
        </w:tc>
      </w:tr>
      <w:tr>
        <w:tc>
          <w:tcPr>
            <w:tcW w:type="dxa" w:w="3312"/>
            <w:shd w:fill="F6F8FF"/>
            <w:vAlign w:val="center"/>
          </w:tcPr>
          <w:p>
            <w:pPr>
              <w:spacing w:after="0"/>
            </w:pPr>
            <w:r/>
            <w:r>
              <w:rPr>
                <w:rFonts w:ascii="Arial" w:hAnsi="Arial"/>
                <w:b/>
                <w:color w:val="111827"/>
                <w:sz w:val="17"/>
              </w:rPr>
              <w:t>Presentation</w:t>
            </w:r>
          </w:p>
        </w:tc>
        <w:tc>
          <w:tcPr>
            <w:tcW w:type="dxa" w:w="3312"/>
            <w:shd w:fill="FFFFFF"/>
            <w:vAlign w:val="center"/>
          </w:tcPr>
          <w:p>
            <w:pPr>
              <w:spacing w:after="0"/>
            </w:pPr>
            <w:r/>
            <w:r>
              <w:rPr>
                <w:rFonts w:ascii="Arial" w:hAnsi="Arial"/>
                <w:b w:val="0"/>
                <w:color w:val="111827"/>
                <w:sz w:val="17"/>
              </w:rPr>
              <w:t>Screens, state, user actions, navigation, command center UI.</w:t>
            </w:r>
          </w:p>
        </w:tc>
        <w:tc>
          <w:tcPr>
            <w:tcW w:type="dxa" w:w="3312"/>
            <w:shd w:fill="FFFFFF"/>
            <w:vAlign w:val="center"/>
          </w:tcPr>
          <w:p>
            <w:pPr>
              <w:spacing w:after="0"/>
            </w:pPr>
            <w:r/>
            <w:r>
              <w:rPr>
                <w:rFonts w:ascii="Arial" w:hAnsi="Arial"/>
                <w:b w:val="0"/>
                <w:color w:val="111827"/>
                <w:sz w:val="17"/>
              </w:rPr>
              <w:t>Brand DNA, Trend Radar, Content Studio, Twin Chat, PR Audit, War Room.</w:t>
            </w:r>
          </w:p>
        </w:tc>
      </w:tr>
      <w:tr>
        <w:tc>
          <w:tcPr>
            <w:tcW w:type="dxa" w:w="3312"/>
            <w:shd w:fill="F6F8FF"/>
            <w:vAlign w:val="center"/>
          </w:tcPr>
          <w:p>
            <w:pPr>
              <w:spacing w:after="0"/>
            </w:pPr>
            <w:r/>
            <w:r>
              <w:rPr>
                <w:rFonts w:ascii="Arial" w:hAnsi="Arial"/>
                <w:b/>
                <w:color w:val="111827"/>
                <w:sz w:val="17"/>
              </w:rPr>
              <w:t>Domain</w:t>
            </w:r>
          </w:p>
        </w:tc>
        <w:tc>
          <w:tcPr>
            <w:tcW w:type="dxa" w:w="3312"/>
            <w:shd w:fill="FFFFFF"/>
            <w:vAlign w:val="center"/>
          </w:tcPr>
          <w:p>
            <w:pPr>
              <w:spacing w:after="0"/>
            </w:pPr>
            <w:r/>
            <w:r>
              <w:rPr>
                <w:rFonts w:ascii="Arial" w:hAnsi="Arial"/>
                <w:b w:val="0"/>
                <w:color w:val="111827"/>
                <w:sz w:val="17"/>
              </w:rPr>
              <w:t>Business logic, agents, scoring engines, prompt assembly, model routing.</w:t>
            </w:r>
          </w:p>
        </w:tc>
        <w:tc>
          <w:tcPr>
            <w:tcW w:type="dxa" w:w="3312"/>
            <w:shd w:fill="FFFFFF"/>
            <w:vAlign w:val="center"/>
          </w:tcPr>
          <w:p>
            <w:pPr>
              <w:spacing w:after="0"/>
            </w:pPr>
            <w:r/>
            <w:r>
              <w:rPr>
                <w:rFonts w:ascii="Arial" w:hAnsi="Arial"/>
                <w:b w:val="0"/>
                <w:color w:val="111827"/>
                <w:sz w:val="17"/>
              </w:rPr>
              <w:t>TrendAgent, ContentAgent, CompetitorAgent, LeadDetectionAgent, Memory retrieval.</w:t>
            </w:r>
          </w:p>
        </w:tc>
      </w:tr>
      <w:tr>
        <w:tc>
          <w:tcPr>
            <w:tcW w:type="dxa" w:w="3312"/>
            <w:shd w:fill="F6F8FF"/>
            <w:vAlign w:val="center"/>
          </w:tcPr>
          <w:p>
            <w:pPr>
              <w:spacing w:after="0"/>
            </w:pPr>
            <w:r/>
            <w:r>
              <w:rPr>
                <w:rFonts w:ascii="Arial" w:hAnsi="Arial"/>
                <w:b/>
                <w:color w:val="111827"/>
                <w:sz w:val="17"/>
              </w:rPr>
              <w:t>Data</w:t>
            </w:r>
          </w:p>
        </w:tc>
        <w:tc>
          <w:tcPr>
            <w:tcW w:type="dxa" w:w="3312"/>
            <w:shd w:fill="FFFFFF"/>
            <w:vAlign w:val="center"/>
          </w:tcPr>
          <w:p>
            <w:pPr>
              <w:spacing w:after="0"/>
            </w:pPr>
            <w:r/>
            <w:r>
              <w:rPr>
                <w:rFonts w:ascii="Arial" w:hAnsi="Arial"/>
                <w:b w:val="0"/>
                <w:color w:val="111827"/>
                <w:sz w:val="17"/>
              </w:rPr>
              <w:t>Repository implementations, local/remote data sources, API clients, mappers.</w:t>
            </w:r>
          </w:p>
        </w:tc>
        <w:tc>
          <w:tcPr>
            <w:tcW w:type="dxa" w:w="3312"/>
            <w:shd w:fill="FFFFFF"/>
            <w:vAlign w:val="center"/>
          </w:tcPr>
          <w:p>
            <w:pPr>
              <w:spacing w:after="0"/>
            </w:pPr>
            <w:r/>
            <w:r>
              <w:rPr>
                <w:rFonts w:ascii="Arial" w:hAnsi="Arial"/>
                <w:b w:val="0"/>
                <w:color w:val="111827"/>
                <w:sz w:val="17"/>
              </w:rPr>
              <w:t>CreatorMemoryRepositoryImpl, FirecrawlTrendDataSource, QdrantMemoryRemoteDataSource.</w:t>
            </w:r>
          </w:p>
        </w:tc>
      </w:tr>
      <w:tr>
        <w:tc>
          <w:tcPr>
            <w:tcW w:type="dxa" w:w="3312"/>
            <w:shd w:fill="F6F8FF"/>
            <w:vAlign w:val="center"/>
          </w:tcPr>
          <w:p>
            <w:pPr>
              <w:spacing w:after="0"/>
            </w:pPr>
            <w:r/>
            <w:r>
              <w:rPr>
                <w:rFonts w:ascii="Arial" w:hAnsi="Arial"/>
                <w:b/>
                <w:color w:val="111827"/>
                <w:sz w:val="17"/>
              </w:rPr>
              <w:t>Storage</w:t>
            </w:r>
          </w:p>
        </w:tc>
        <w:tc>
          <w:tcPr>
            <w:tcW w:type="dxa" w:w="3312"/>
            <w:shd w:fill="FFFFFF"/>
            <w:vAlign w:val="center"/>
          </w:tcPr>
          <w:p>
            <w:pPr>
              <w:spacing w:after="0"/>
            </w:pPr>
            <w:r/>
            <w:r>
              <w:rPr>
                <w:rFonts w:ascii="Arial" w:hAnsi="Arial"/>
                <w:b w:val="0"/>
                <w:color w:val="111827"/>
                <w:sz w:val="17"/>
              </w:rPr>
              <w:t>Offline-first local state and long-term memory.</w:t>
            </w:r>
          </w:p>
        </w:tc>
        <w:tc>
          <w:tcPr>
            <w:tcW w:type="dxa" w:w="3312"/>
            <w:shd w:fill="FFFFFF"/>
            <w:vAlign w:val="center"/>
          </w:tcPr>
          <w:p>
            <w:pPr>
              <w:spacing w:after="0"/>
            </w:pPr>
            <w:r/>
            <w:r>
              <w:rPr>
                <w:rFonts w:ascii="Arial" w:hAnsi="Arial"/>
                <w:b w:val="0"/>
                <w:color w:val="111827"/>
                <w:sz w:val="17"/>
              </w:rPr>
              <w:t>Room entities/DAOs, DataStore, generated media files.</w:t>
            </w:r>
          </w:p>
        </w:tc>
      </w:tr>
      <w:tr>
        <w:tc>
          <w:tcPr>
            <w:tcW w:type="dxa" w:w="3312"/>
            <w:shd w:fill="F6F8FF"/>
            <w:vAlign w:val="center"/>
          </w:tcPr>
          <w:p>
            <w:pPr>
              <w:spacing w:after="0"/>
            </w:pPr>
            <w:r/>
            <w:r>
              <w:rPr>
                <w:rFonts w:ascii="Arial" w:hAnsi="Arial"/>
                <w:b/>
                <w:color w:val="111827"/>
                <w:sz w:val="17"/>
              </w:rPr>
              <w:t>Network</w:t>
            </w:r>
          </w:p>
        </w:tc>
        <w:tc>
          <w:tcPr>
            <w:tcW w:type="dxa" w:w="3312"/>
            <w:shd w:fill="FFFFFF"/>
            <w:vAlign w:val="center"/>
          </w:tcPr>
          <w:p>
            <w:pPr>
              <w:spacing w:after="0"/>
            </w:pPr>
            <w:r/>
            <w:r>
              <w:rPr>
                <w:rFonts w:ascii="Arial" w:hAnsi="Arial"/>
                <w:b w:val="0"/>
                <w:color w:val="111827"/>
                <w:sz w:val="17"/>
              </w:rPr>
              <w:t>External intelligence and model providers.</w:t>
            </w:r>
          </w:p>
        </w:tc>
        <w:tc>
          <w:tcPr>
            <w:tcW w:type="dxa" w:w="3312"/>
            <w:shd w:fill="FFFFFF"/>
            <w:vAlign w:val="center"/>
          </w:tcPr>
          <w:p>
            <w:pPr>
              <w:spacing w:after="0"/>
            </w:pPr>
            <w:r/>
            <w:r>
              <w:rPr>
                <w:rFonts w:ascii="Arial" w:hAnsi="Arial"/>
                <w:b w:val="0"/>
                <w:color w:val="111827"/>
                <w:sz w:val="17"/>
              </w:rPr>
              <w:t>Gemini, OpenRouter, Firecrawl, YouTube Data API, Qdrant.</w:t>
            </w:r>
          </w:p>
        </w:tc>
      </w:tr>
    </w:tbl>
    <w:p>
      <w:pPr>
        <w:spacing w:after="40"/>
      </w:pPr>
    </w:p>
    <w:p>
      <w:pPr>
        <w:spacing w:before="240" w:after="100"/>
      </w:pPr>
      <w:r>
        <w:rPr>
          <w:rFonts w:ascii="Arial" w:hAnsi="Arial"/>
          <w:b/>
          <w:color w:val="00EED0"/>
          <w:sz w:val="34"/>
        </w:rPr>
        <w:t>6. Memory And Digital Twin System</w:t>
      </w:r>
    </w:p>
    <w:p>
      <w:pPr>
        <w:spacing w:after="100" w:line="259" w:lineRule="auto"/>
      </w:pPr>
      <w:r>
        <w:rPr>
          <w:rFonts w:ascii="Arial" w:hAnsi="Arial"/>
          <w:color w:val="111827"/>
          <w:sz w:val="21"/>
        </w:rPr>
        <w:t>The Digital Twin is the core product differentiator. BrandForge does not treat AI as a stateless text generator. It stores and retrieves creator context before every important AI action.</w:t>
      </w:r>
    </w:p>
    <w:tbl>
      <w:tblPr>
        <w:tblW w:type="auto" w:w="0"/>
        <w:jc w:val="center"/>
        <w:tblLayout w:type="autofit"/>
        <w:tblLook w:firstColumn="1" w:firstRow="1" w:lastColumn="0" w:lastRow="0" w:noHBand="0" w:noVBand="1" w:val="04A0"/>
        <w:tblBorders>
          <w:top w:val="single" w:sz="10" w:space="0" w:color="00EED0"/>
          <w:left w:val="single" w:sz="10" w:space="0" w:color="00EED0"/>
          <w:bottom w:val="single" w:sz="10" w:space="0" w:color="00EED0"/>
          <w:right w:val="single" w:sz="10" w:space="0" w:color="00EED0"/>
          <w:insideH w:val="single" w:sz="10" w:space="0" w:color="00EED0"/>
          <w:insideV w:val="single" w:sz="10" w:space="0" w:color="00EED0"/>
        </w:tblBorders>
      </w:tblPr>
      <w:tblGrid>
        <w:gridCol w:w="9936"/>
      </w:tblGrid>
      <w:tr>
        <w:tc>
          <w:tcPr>
            <w:tcW w:type="dxa" w:w="9936"/>
            <w:shd w:fill="EFFFFB"/>
          </w:tcPr>
          <w:p>
            <w:pPr>
              <w:spacing w:after="0"/>
            </w:pPr>
            <w:r>
              <w:rPr>
                <w:rFonts w:ascii="Arial" w:hAnsi="Arial"/>
                <w:b/>
                <w:color w:val="111827"/>
                <w:sz w:val="20"/>
              </w:rPr>
              <w:t xml:space="preserve">MEMORY RETRIEVAL PATH: </w:t>
            </w:r>
            <w:r>
              <w:rPr>
                <w:rFonts w:ascii="Arial" w:hAnsi="Arial"/>
                <w:color w:val="111827"/>
                <w:sz w:val="20"/>
              </w:rPr>
              <w:t>User query or agent task -&gt; RetrieveCreatorMemoryUseCase -&gt; CreatorMemoryRepository -&gt; Embedding generation -&gt; Qdrant retrieval -&gt; Room fallback -&gt; Relevance scoring -&gt; Returned memory shards</w:t>
            </w:r>
          </w:p>
        </w:tc>
      </w:tr>
    </w:tbl>
    <w:p>
      <w:pPr>
        <w:spacing w:after="40"/>
      </w:pPr>
    </w:p>
    <w:p>
      <w:pPr>
        <w:pStyle w:val="ListBullet"/>
        <w:spacing w:after="60"/>
      </w:pPr>
      <w:r>
        <w:rPr>
          <w:rFonts w:ascii="Arial" w:hAnsi="Arial"/>
          <w:color w:val="111827"/>
          <w:sz w:val="20"/>
        </w:rPr>
        <w:t>Brand DNA influences tone, banned claims, and goals.</w:t>
      </w:r>
    </w:p>
    <w:p>
      <w:pPr>
        <w:pStyle w:val="ListBullet"/>
        <w:spacing w:after="60"/>
      </w:pPr>
      <w:r>
        <w:rPr>
          <w:rFonts w:ascii="Arial" w:hAnsi="Arial"/>
          <w:color w:val="111827"/>
          <w:sz w:val="20"/>
        </w:rPr>
        <w:t>Memory shards preserve trend history, lead history, competitor observations, audience insights, and performance history.</w:t>
      </w:r>
    </w:p>
    <w:p>
      <w:pPr>
        <w:pStyle w:val="ListBullet"/>
        <w:spacing w:after="60"/>
      </w:pPr>
      <w:r>
        <w:rPr>
          <w:rFonts w:ascii="Arial" w:hAnsi="Arial"/>
          <w:color w:val="111827"/>
          <w:sz w:val="20"/>
        </w:rPr>
        <w:t>Relevant memories are inserted into prompts for trend scoring, content generation, PR audit, competitor analysis, and Twin Chat.</w:t>
      </w:r>
    </w:p>
    <w:p>
      <w:pPr>
        <w:pStyle w:val="ListBullet"/>
        <w:spacing w:after="60"/>
      </w:pPr>
      <w:r>
        <w:rPr>
          <w:rFonts w:ascii="Arial" w:hAnsi="Arial"/>
          <w:color w:val="111827"/>
          <w:sz w:val="20"/>
        </w:rPr>
        <w:t>Every write persists locally first; remote vector sync follows.</w:t>
      </w:r>
    </w:p>
    <w:p>
      <w:pPr>
        <w:spacing w:before="240" w:after="100"/>
      </w:pPr>
      <w:r>
        <w:rPr>
          <w:rFonts w:ascii="Arial" w:hAnsi="Arial"/>
          <w:b/>
          <w:color w:val="00EED0"/>
          <w:sz w:val="34"/>
        </w:rPr>
        <w:t>7. AI And Agent System</w:t>
      </w: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4968"/>
        <w:gridCol w:w="4968"/>
      </w:tblGrid>
      <w:tr>
        <w:tc>
          <w:tcPr>
            <w:tcW w:type="dxa" w:w="4968"/>
            <w:shd w:fill="0B1018"/>
            <w:vAlign w:val="center"/>
          </w:tcPr>
          <w:p>
            <w:pPr>
              <w:spacing w:after="0"/>
            </w:pPr>
            <w:r/>
            <w:r>
              <w:rPr>
                <w:rFonts w:ascii="Arial" w:hAnsi="Arial"/>
                <w:b/>
                <w:color w:val="FFD54D"/>
                <w:sz w:val="19"/>
              </w:rPr>
              <w:t>Area</w:t>
            </w:r>
          </w:p>
        </w:tc>
        <w:tc>
          <w:tcPr>
            <w:tcW w:type="dxa" w:w="4968"/>
            <w:shd w:fill="0B1018"/>
            <w:vAlign w:val="center"/>
          </w:tcPr>
          <w:p>
            <w:pPr>
              <w:spacing w:after="0"/>
            </w:pPr>
            <w:r/>
            <w:r>
              <w:rPr>
                <w:rFonts w:ascii="Arial" w:hAnsi="Arial"/>
                <w:b/>
                <w:color w:val="FFD54D"/>
                <w:sz w:val="19"/>
              </w:rPr>
              <w:t>Details</w:t>
            </w:r>
          </w:p>
        </w:tc>
      </w:tr>
      <w:tr>
        <w:tc>
          <w:tcPr>
            <w:tcW w:type="dxa" w:w="4968"/>
            <w:shd w:fill="F6F8FF"/>
            <w:vAlign w:val="center"/>
          </w:tcPr>
          <w:p>
            <w:pPr>
              <w:spacing w:after="0"/>
            </w:pPr>
            <w:r/>
            <w:r>
              <w:rPr>
                <w:rFonts w:ascii="Arial" w:hAnsi="Arial"/>
                <w:b/>
                <w:color w:val="111827"/>
                <w:sz w:val="18"/>
              </w:rPr>
              <w:t>Gemini</w:t>
            </w:r>
          </w:p>
        </w:tc>
        <w:tc>
          <w:tcPr>
            <w:tcW w:type="dxa" w:w="4968"/>
            <w:shd w:fill="FFFFFF"/>
            <w:vAlign w:val="center"/>
          </w:tcPr>
          <w:p>
            <w:pPr>
              <w:spacing w:after="0"/>
            </w:pPr>
            <w:r/>
            <w:r>
              <w:rPr>
                <w:rFonts w:ascii="Arial" w:hAnsi="Arial"/>
                <w:b w:val="0"/>
                <w:color w:val="111827"/>
                <w:sz w:val="18"/>
              </w:rPr>
              <w:t>Used for profile extraction, classification, PR audit, content/media flows, and strategic analysis.</w:t>
            </w:r>
          </w:p>
        </w:tc>
      </w:tr>
      <w:tr>
        <w:tc>
          <w:tcPr>
            <w:tcW w:type="dxa" w:w="4968"/>
            <w:shd w:fill="F6F8FF"/>
            <w:vAlign w:val="center"/>
          </w:tcPr>
          <w:p>
            <w:pPr>
              <w:spacing w:after="0"/>
            </w:pPr>
            <w:r/>
            <w:r>
              <w:rPr>
                <w:rFonts w:ascii="Arial" w:hAnsi="Arial"/>
                <w:b/>
                <w:color w:val="111827"/>
                <w:sz w:val="18"/>
              </w:rPr>
              <w:t>OpenRouter</w:t>
            </w:r>
          </w:p>
        </w:tc>
        <w:tc>
          <w:tcPr>
            <w:tcW w:type="dxa" w:w="4968"/>
            <w:shd w:fill="FFFFFF"/>
            <w:vAlign w:val="center"/>
          </w:tcPr>
          <w:p>
            <w:pPr>
              <w:spacing w:after="0"/>
            </w:pPr>
            <w:r/>
            <w:r>
              <w:rPr>
                <w:rFonts w:ascii="Arial" w:hAnsi="Arial"/>
                <w:b w:val="0"/>
                <w:color w:val="111827"/>
                <w:sz w:val="18"/>
              </w:rPr>
              <w:t>Used for routed reasoning and War Room caption battle with model-based agent simulation.</w:t>
            </w:r>
          </w:p>
        </w:tc>
      </w:tr>
      <w:tr>
        <w:tc>
          <w:tcPr>
            <w:tcW w:type="dxa" w:w="4968"/>
            <w:shd w:fill="F6F8FF"/>
            <w:vAlign w:val="center"/>
          </w:tcPr>
          <w:p>
            <w:pPr>
              <w:spacing w:after="0"/>
            </w:pPr>
            <w:r/>
            <w:r>
              <w:rPr>
                <w:rFonts w:ascii="Arial" w:hAnsi="Arial"/>
                <w:b/>
                <w:color w:val="111827"/>
                <w:sz w:val="18"/>
              </w:rPr>
              <w:t>Qdrant</w:t>
            </w:r>
          </w:p>
        </w:tc>
        <w:tc>
          <w:tcPr>
            <w:tcW w:type="dxa" w:w="4968"/>
            <w:shd w:fill="FFFFFF"/>
            <w:vAlign w:val="center"/>
          </w:tcPr>
          <w:p>
            <w:pPr>
              <w:spacing w:after="0"/>
            </w:pPr>
            <w:r/>
            <w:r>
              <w:rPr>
                <w:rFonts w:ascii="Arial" w:hAnsi="Arial"/>
                <w:b w:val="0"/>
                <w:color w:val="111827"/>
                <w:sz w:val="18"/>
              </w:rPr>
              <w:t>Stores vectorized creator memory for semantic retrieval.</w:t>
            </w:r>
          </w:p>
        </w:tc>
      </w:tr>
      <w:tr>
        <w:tc>
          <w:tcPr>
            <w:tcW w:type="dxa" w:w="4968"/>
            <w:shd w:fill="F6F8FF"/>
            <w:vAlign w:val="center"/>
          </w:tcPr>
          <w:p>
            <w:pPr>
              <w:spacing w:after="0"/>
            </w:pPr>
            <w:r/>
            <w:r>
              <w:rPr>
                <w:rFonts w:ascii="Arial" w:hAnsi="Arial"/>
                <w:b/>
                <w:color w:val="111827"/>
                <w:sz w:val="18"/>
              </w:rPr>
              <w:t>Firecrawl</w:t>
            </w:r>
          </w:p>
        </w:tc>
        <w:tc>
          <w:tcPr>
            <w:tcW w:type="dxa" w:w="4968"/>
            <w:shd w:fill="FFFFFF"/>
            <w:vAlign w:val="center"/>
          </w:tcPr>
          <w:p>
            <w:pPr>
              <w:spacing w:after="0"/>
            </w:pPr>
            <w:r/>
            <w:r>
              <w:rPr>
                <w:rFonts w:ascii="Arial" w:hAnsi="Arial"/>
                <w:b w:val="0"/>
                <w:color w:val="111827"/>
                <w:sz w:val="18"/>
              </w:rPr>
              <w:t>Used for trend discovery, profile scraping, competitor exact URL scraping, and web search-backed content extraction.</w:t>
            </w:r>
          </w:p>
        </w:tc>
      </w:tr>
      <w:tr>
        <w:tc>
          <w:tcPr>
            <w:tcW w:type="dxa" w:w="4968"/>
            <w:shd w:fill="F6F8FF"/>
            <w:vAlign w:val="center"/>
          </w:tcPr>
          <w:p>
            <w:pPr>
              <w:spacing w:after="0"/>
            </w:pPr>
            <w:r/>
            <w:r>
              <w:rPr>
                <w:rFonts w:ascii="Arial" w:hAnsi="Arial"/>
                <w:b/>
                <w:color w:val="111827"/>
                <w:sz w:val="18"/>
              </w:rPr>
              <w:t>YouTube Data API</w:t>
            </w:r>
          </w:p>
        </w:tc>
        <w:tc>
          <w:tcPr>
            <w:tcW w:type="dxa" w:w="4968"/>
            <w:shd w:fill="FFFFFF"/>
            <w:vAlign w:val="center"/>
          </w:tcPr>
          <w:p>
            <w:pPr>
              <w:spacing w:after="0"/>
            </w:pPr>
            <w:r/>
            <w:r>
              <w:rPr>
                <w:rFonts w:ascii="Arial" w:hAnsi="Arial"/>
                <w:b w:val="0"/>
                <w:color w:val="111827"/>
                <w:sz w:val="18"/>
              </w:rPr>
              <w:t>Used for trend and competitor video signals.</w:t>
            </w:r>
          </w:p>
        </w:tc>
      </w:tr>
    </w:tbl>
    <w:p>
      <w:pPr>
        <w:spacing w:after="40"/>
      </w:pP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3312"/>
        <w:gridCol w:w="3312"/>
        <w:gridCol w:w="3312"/>
      </w:tblGrid>
      <w:tr>
        <w:tc>
          <w:tcPr>
            <w:tcW w:type="dxa" w:w="3312"/>
            <w:shd w:fill="0B1018"/>
            <w:vAlign w:val="center"/>
          </w:tcPr>
          <w:p>
            <w:pPr>
              <w:spacing w:after="0"/>
            </w:pPr>
            <w:r/>
            <w:r>
              <w:rPr>
                <w:rFonts w:ascii="Arial" w:hAnsi="Arial"/>
                <w:b/>
                <w:color w:val="FFD54D"/>
                <w:sz w:val="17"/>
              </w:rPr>
              <w:t>Agent</w:t>
            </w:r>
          </w:p>
        </w:tc>
        <w:tc>
          <w:tcPr>
            <w:tcW w:type="dxa" w:w="3312"/>
            <w:shd w:fill="0B1018"/>
            <w:vAlign w:val="center"/>
          </w:tcPr>
          <w:p>
            <w:pPr>
              <w:spacing w:after="0"/>
            </w:pPr>
            <w:r/>
            <w:r>
              <w:rPr>
                <w:rFonts w:ascii="Arial" w:hAnsi="Arial"/>
                <w:b/>
                <w:color w:val="FFD54D"/>
                <w:sz w:val="17"/>
              </w:rPr>
              <w:t>Role</w:t>
            </w:r>
          </w:p>
        </w:tc>
        <w:tc>
          <w:tcPr>
            <w:tcW w:type="dxa" w:w="3312"/>
            <w:shd w:fill="0B1018"/>
            <w:vAlign w:val="center"/>
          </w:tcPr>
          <w:p>
            <w:pPr>
              <w:spacing w:after="0"/>
            </w:pPr>
            <w:r/>
            <w:r>
              <w:rPr>
                <w:rFonts w:ascii="Arial" w:hAnsi="Arial"/>
                <w:b/>
                <w:color w:val="FFD54D"/>
                <w:sz w:val="17"/>
              </w:rPr>
              <w:t>Output</w:t>
            </w:r>
          </w:p>
        </w:tc>
      </w:tr>
      <w:tr>
        <w:tc>
          <w:tcPr>
            <w:tcW w:type="dxa" w:w="3312"/>
            <w:shd w:fill="F6F8FF"/>
            <w:vAlign w:val="center"/>
          </w:tcPr>
          <w:p>
            <w:pPr>
              <w:spacing w:after="0"/>
            </w:pPr>
            <w:r/>
            <w:r>
              <w:rPr>
                <w:rFonts w:ascii="Arial" w:hAnsi="Arial"/>
                <w:b/>
                <w:color w:val="111827"/>
                <w:sz w:val="17"/>
              </w:rPr>
              <w:t>Supervisor</w:t>
            </w:r>
          </w:p>
        </w:tc>
        <w:tc>
          <w:tcPr>
            <w:tcW w:type="dxa" w:w="3312"/>
            <w:shd w:fill="FFFFFF"/>
            <w:vAlign w:val="center"/>
          </w:tcPr>
          <w:p>
            <w:pPr>
              <w:spacing w:after="0"/>
            </w:pPr>
            <w:r/>
            <w:r>
              <w:rPr>
                <w:rFonts w:ascii="Arial" w:hAnsi="Arial"/>
                <w:b w:val="0"/>
                <w:color w:val="111827"/>
                <w:sz w:val="17"/>
              </w:rPr>
              <w:t>Coordinates cross-agent workflow.</w:t>
            </w:r>
          </w:p>
        </w:tc>
        <w:tc>
          <w:tcPr>
            <w:tcW w:type="dxa" w:w="3312"/>
            <w:shd w:fill="FFFFFF"/>
            <w:vAlign w:val="center"/>
          </w:tcPr>
          <w:p>
            <w:pPr>
              <w:spacing w:after="0"/>
            </w:pPr>
            <w:r/>
            <w:r>
              <w:rPr>
                <w:rFonts w:ascii="Arial" w:hAnsi="Arial"/>
                <w:b w:val="0"/>
                <w:color w:val="111827"/>
                <w:sz w:val="17"/>
              </w:rPr>
              <w:t>Workflow state, War Room decisioning.</w:t>
            </w:r>
          </w:p>
        </w:tc>
      </w:tr>
      <w:tr>
        <w:tc>
          <w:tcPr>
            <w:tcW w:type="dxa" w:w="3312"/>
            <w:shd w:fill="F6F8FF"/>
            <w:vAlign w:val="center"/>
          </w:tcPr>
          <w:p>
            <w:pPr>
              <w:spacing w:after="0"/>
            </w:pPr>
            <w:r/>
            <w:r>
              <w:rPr>
                <w:rFonts w:ascii="Arial" w:hAnsi="Arial"/>
                <w:b/>
                <w:color w:val="111827"/>
                <w:sz w:val="17"/>
              </w:rPr>
              <w:t>Trend</w:t>
            </w:r>
          </w:p>
        </w:tc>
        <w:tc>
          <w:tcPr>
            <w:tcW w:type="dxa" w:w="3312"/>
            <w:shd w:fill="FFFFFF"/>
            <w:vAlign w:val="center"/>
          </w:tcPr>
          <w:p>
            <w:pPr>
              <w:spacing w:after="0"/>
            </w:pPr>
            <w:r/>
            <w:r>
              <w:rPr>
                <w:rFonts w:ascii="Arial" w:hAnsi="Arial"/>
                <w:b w:val="0"/>
                <w:color w:val="111827"/>
                <w:sz w:val="17"/>
              </w:rPr>
              <w:t>Discovers and scores opportunities.</w:t>
            </w:r>
          </w:p>
        </w:tc>
        <w:tc>
          <w:tcPr>
            <w:tcW w:type="dxa" w:w="3312"/>
            <w:shd w:fill="FFFFFF"/>
            <w:vAlign w:val="center"/>
          </w:tcPr>
          <w:p>
            <w:pPr>
              <w:spacing w:after="0"/>
            </w:pPr>
            <w:r/>
            <w:r>
              <w:rPr>
                <w:rFonts w:ascii="Arial" w:hAnsi="Arial"/>
                <w:b w:val="0"/>
                <w:color w:val="111827"/>
                <w:sz w:val="17"/>
              </w:rPr>
              <w:t>TrendOpportunity with rationale and recommended format.</w:t>
            </w:r>
          </w:p>
        </w:tc>
      </w:tr>
      <w:tr>
        <w:tc>
          <w:tcPr>
            <w:tcW w:type="dxa" w:w="3312"/>
            <w:shd w:fill="F6F8FF"/>
            <w:vAlign w:val="center"/>
          </w:tcPr>
          <w:p>
            <w:pPr>
              <w:spacing w:after="0"/>
            </w:pPr>
            <w:r/>
            <w:r>
              <w:rPr>
                <w:rFonts w:ascii="Arial" w:hAnsi="Arial"/>
                <w:b/>
                <w:color w:val="111827"/>
                <w:sz w:val="17"/>
              </w:rPr>
              <w:t>Brand DNA</w:t>
            </w:r>
          </w:p>
        </w:tc>
        <w:tc>
          <w:tcPr>
            <w:tcW w:type="dxa" w:w="3312"/>
            <w:shd w:fill="FFFFFF"/>
            <w:vAlign w:val="center"/>
          </w:tcPr>
          <w:p>
            <w:pPr>
              <w:spacing w:after="0"/>
            </w:pPr>
            <w:r/>
            <w:r>
              <w:rPr>
                <w:rFonts w:ascii="Arial" w:hAnsi="Arial"/>
                <w:b w:val="0"/>
                <w:color w:val="111827"/>
                <w:sz w:val="17"/>
              </w:rPr>
              <w:t>Maintains creator identity.</w:t>
            </w:r>
          </w:p>
        </w:tc>
        <w:tc>
          <w:tcPr>
            <w:tcW w:type="dxa" w:w="3312"/>
            <w:shd w:fill="FFFFFF"/>
            <w:vAlign w:val="center"/>
          </w:tcPr>
          <w:p>
            <w:pPr>
              <w:spacing w:after="0"/>
            </w:pPr>
            <w:r/>
            <w:r>
              <w:rPr>
                <w:rFonts w:ascii="Arial" w:hAnsi="Arial"/>
                <w:b w:val="0"/>
                <w:color w:val="111827"/>
                <w:sz w:val="17"/>
              </w:rPr>
              <w:t>Brand DNA records and profile memories.</w:t>
            </w:r>
          </w:p>
        </w:tc>
      </w:tr>
      <w:tr>
        <w:tc>
          <w:tcPr>
            <w:tcW w:type="dxa" w:w="3312"/>
            <w:shd w:fill="F6F8FF"/>
            <w:vAlign w:val="center"/>
          </w:tcPr>
          <w:p>
            <w:pPr>
              <w:spacing w:after="0"/>
            </w:pPr>
            <w:r/>
            <w:r>
              <w:rPr>
                <w:rFonts w:ascii="Arial" w:hAnsi="Arial"/>
                <w:b/>
                <w:color w:val="111827"/>
                <w:sz w:val="17"/>
              </w:rPr>
              <w:t>Content</w:t>
            </w:r>
          </w:p>
        </w:tc>
        <w:tc>
          <w:tcPr>
            <w:tcW w:type="dxa" w:w="3312"/>
            <w:shd w:fill="FFFFFF"/>
            <w:vAlign w:val="center"/>
          </w:tcPr>
          <w:p>
            <w:pPr>
              <w:spacing w:after="0"/>
            </w:pPr>
            <w:r/>
            <w:r>
              <w:rPr>
                <w:rFonts w:ascii="Arial" w:hAnsi="Arial"/>
                <w:b w:val="0"/>
                <w:color w:val="111827"/>
                <w:sz w:val="17"/>
              </w:rPr>
              <w:t>Generates content from scored trends.</w:t>
            </w:r>
          </w:p>
        </w:tc>
        <w:tc>
          <w:tcPr>
            <w:tcW w:type="dxa" w:w="3312"/>
            <w:shd w:fill="FFFFFF"/>
            <w:vAlign w:val="center"/>
          </w:tcPr>
          <w:p>
            <w:pPr>
              <w:spacing w:after="0"/>
            </w:pPr>
            <w:r/>
            <w:r>
              <w:rPr>
                <w:rFonts w:ascii="Arial" w:hAnsi="Arial"/>
                <w:b w:val="0"/>
                <w:color w:val="111827"/>
                <w:sz w:val="17"/>
              </w:rPr>
              <w:t>Drafts and media artifacts.</w:t>
            </w:r>
          </w:p>
        </w:tc>
      </w:tr>
      <w:tr>
        <w:tc>
          <w:tcPr>
            <w:tcW w:type="dxa" w:w="3312"/>
            <w:shd w:fill="F6F8FF"/>
            <w:vAlign w:val="center"/>
          </w:tcPr>
          <w:p>
            <w:pPr>
              <w:spacing w:after="0"/>
            </w:pPr>
            <w:r/>
            <w:r>
              <w:rPr>
                <w:rFonts w:ascii="Arial" w:hAnsi="Arial"/>
                <w:b/>
                <w:color w:val="111827"/>
                <w:sz w:val="17"/>
              </w:rPr>
              <w:t>Memory</w:t>
            </w:r>
          </w:p>
        </w:tc>
        <w:tc>
          <w:tcPr>
            <w:tcW w:type="dxa" w:w="3312"/>
            <w:shd w:fill="FFFFFF"/>
            <w:vAlign w:val="center"/>
          </w:tcPr>
          <w:p>
            <w:pPr>
              <w:spacing w:after="0"/>
            </w:pPr>
            <w:r/>
            <w:r>
              <w:rPr>
                <w:rFonts w:ascii="Arial" w:hAnsi="Arial"/>
                <w:b w:val="0"/>
                <w:color w:val="111827"/>
                <w:sz w:val="17"/>
              </w:rPr>
              <w:t>Retrieves and writes context.</w:t>
            </w:r>
          </w:p>
        </w:tc>
        <w:tc>
          <w:tcPr>
            <w:tcW w:type="dxa" w:w="3312"/>
            <w:shd w:fill="FFFFFF"/>
            <w:vAlign w:val="center"/>
          </w:tcPr>
          <w:p>
            <w:pPr>
              <w:spacing w:after="0"/>
            </w:pPr>
            <w:r/>
            <w:r>
              <w:rPr>
                <w:rFonts w:ascii="Arial" w:hAnsi="Arial"/>
                <w:b w:val="0"/>
                <w:color w:val="111827"/>
                <w:sz w:val="17"/>
              </w:rPr>
              <w:t>Relevant memory shards.</w:t>
            </w:r>
          </w:p>
        </w:tc>
      </w:tr>
      <w:tr>
        <w:tc>
          <w:tcPr>
            <w:tcW w:type="dxa" w:w="3312"/>
            <w:shd w:fill="F6F8FF"/>
            <w:vAlign w:val="center"/>
          </w:tcPr>
          <w:p>
            <w:pPr>
              <w:spacing w:after="0"/>
            </w:pPr>
            <w:r/>
            <w:r>
              <w:rPr>
                <w:rFonts w:ascii="Arial" w:hAnsi="Arial"/>
                <w:b/>
                <w:color w:val="111827"/>
                <w:sz w:val="17"/>
              </w:rPr>
              <w:t>Lead</w:t>
            </w:r>
          </w:p>
        </w:tc>
        <w:tc>
          <w:tcPr>
            <w:tcW w:type="dxa" w:w="3312"/>
            <w:shd w:fill="FFFFFF"/>
            <w:vAlign w:val="center"/>
          </w:tcPr>
          <w:p>
            <w:pPr>
              <w:spacing w:after="0"/>
            </w:pPr>
            <w:r/>
            <w:r>
              <w:rPr>
                <w:rFonts w:ascii="Arial" w:hAnsi="Arial"/>
                <w:b w:val="0"/>
                <w:color w:val="111827"/>
                <w:sz w:val="17"/>
              </w:rPr>
              <w:t>Classifies engagement.</w:t>
            </w:r>
          </w:p>
        </w:tc>
        <w:tc>
          <w:tcPr>
            <w:tcW w:type="dxa" w:w="3312"/>
            <w:shd w:fill="FFFFFF"/>
            <w:vAlign w:val="center"/>
          </w:tcPr>
          <w:p>
            <w:pPr>
              <w:spacing w:after="0"/>
            </w:pPr>
            <w:r/>
            <w:r>
              <w:rPr>
                <w:rFonts w:ascii="Arial" w:hAnsi="Arial"/>
                <w:b w:val="0"/>
                <w:color w:val="111827"/>
                <w:sz w:val="17"/>
              </w:rPr>
              <w:t>LeadEntity with confidence, priority, reply.</w:t>
            </w:r>
          </w:p>
        </w:tc>
      </w:tr>
      <w:tr>
        <w:tc>
          <w:tcPr>
            <w:tcW w:type="dxa" w:w="3312"/>
            <w:shd w:fill="F6F8FF"/>
            <w:vAlign w:val="center"/>
          </w:tcPr>
          <w:p>
            <w:pPr>
              <w:spacing w:after="0"/>
            </w:pPr>
            <w:r/>
            <w:r>
              <w:rPr>
                <w:rFonts w:ascii="Arial" w:hAnsi="Arial"/>
                <w:b/>
                <w:color w:val="111827"/>
                <w:sz w:val="17"/>
              </w:rPr>
              <w:t>Competitor</w:t>
            </w:r>
          </w:p>
        </w:tc>
        <w:tc>
          <w:tcPr>
            <w:tcW w:type="dxa" w:w="3312"/>
            <w:shd w:fill="FFFFFF"/>
            <w:vAlign w:val="center"/>
          </w:tcPr>
          <w:p>
            <w:pPr>
              <w:spacing w:after="0"/>
            </w:pPr>
            <w:r/>
            <w:r>
              <w:rPr>
                <w:rFonts w:ascii="Arial" w:hAnsi="Arial"/>
                <w:b w:val="0"/>
                <w:color w:val="111827"/>
                <w:sz w:val="17"/>
              </w:rPr>
              <w:t>Tracks competitor content and gaps.</w:t>
            </w:r>
          </w:p>
        </w:tc>
        <w:tc>
          <w:tcPr>
            <w:tcW w:type="dxa" w:w="3312"/>
            <w:shd w:fill="FFFFFF"/>
            <w:vAlign w:val="center"/>
          </w:tcPr>
          <w:p>
            <w:pPr>
              <w:spacing w:after="0"/>
            </w:pPr>
            <w:r/>
            <w:r>
              <w:rPr>
                <w:rFonts w:ascii="Arial" w:hAnsi="Arial"/>
                <w:b w:val="0"/>
                <w:color w:val="111827"/>
                <w:sz w:val="17"/>
              </w:rPr>
              <w:t>Insights and competitor opportunities.</w:t>
            </w:r>
          </w:p>
        </w:tc>
      </w:tr>
      <w:tr>
        <w:tc>
          <w:tcPr>
            <w:tcW w:type="dxa" w:w="3312"/>
            <w:shd w:fill="F6F8FF"/>
            <w:vAlign w:val="center"/>
          </w:tcPr>
          <w:p>
            <w:pPr>
              <w:spacing w:after="0"/>
            </w:pPr>
            <w:r/>
            <w:r>
              <w:rPr>
                <w:rFonts w:ascii="Arial" w:hAnsi="Arial"/>
                <w:b/>
                <w:color w:val="111827"/>
                <w:sz w:val="17"/>
              </w:rPr>
              <w:t>PR Risk</w:t>
            </w:r>
          </w:p>
        </w:tc>
        <w:tc>
          <w:tcPr>
            <w:tcW w:type="dxa" w:w="3312"/>
            <w:shd w:fill="FFFFFF"/>
            <w:vAlign w:val="center"/>
          </w:tcPr>
          <w:p>
            <w:pPr>
              <w:spacing w:after="0"/>
            </w:pPr>
            <w:r/>
            <w:r>
              <w:rPr>
                <w:rFonts w:ascii="Arial" w:hAnsi="Arial"/>
                <w:b w:val="0"/>
                <w:color w:val="111827"/>
                <w:sz w:val="17"/>
              </w:rPr>
              <w:t>Audits media and captions.</w:t>
            </w:r>
          </w:p>
        </w:tc>
        <w:tc>
          <w:tcPr>
            <w:tcW w:type="dxa" w:w="3312"/>
            <w:shd w:fill="FFFFFF"/>
            <w:vAlign w:val="center"/>
          </w:tcPr>
          <w:p>
            <w:pPr>
              <w:spacing w:after="0"/>
            </w:pPr>
            <w:r/>
            <w:r>
              <w:rPr>
                <w:rFonts w:ascii="Arial" w:hAnsi="Arial"/>
                <w:b w:val="0"/>
                <w:color w:val="111827"/>
                <w:sz w:val="17"/>
              </w:rPr>
              <w:t>Risk report and revised caption.</w:t>
            </w:r>
          </w:p>
        </w:tc>
      </w:tr>
      <w:tr>
        <w:tc>
          <w:tcPr>
            <w:tcW w:type="dxa" w:w="3312"/>
            <w:shd w:fill="F6F8FF"/>
            <w:vAlign w:val="center"/>
          </w:tcPr>
          <w:p>
            <w:pPr>
              <w:spacing w:after="0"/>
            </w:pPr>
            <w:r/>
            <w:r>
              <w:rPr>
                <w:rFonts w:ascii="Arial" w:hAnsi="Arial"/>
                <w:b/>
                <w:color w:val="111827"/>
                <w:sz w:val="17"/>
              </w:rPr>
              <w:t>Twin Chat</w:t>
            </w:r>
          </w:p>
        </w:tc>
        <w:tc>
          <w:tcPr>
            <w:tcW w:type="dxa" w:w="3312"/>
            <w:shd w:fill="FFFFFF"/>
            <w:vAlign w:val="center"/>
          </w:tcPr>
          <w:p>
            <w:pPr>
              <w:spacing w:after="0"/>
            </w:pPr>
            <w:r/>
            <w:r>
              <w:rPr>
                <w:rFonts w:ascii="Arial" w:hAnsi="Arial"/>
                <w:b w:val="0"/>
                <w:color w:val="111827"/>
                <w:sz w:val="17"/>
              </w:rPr>
              <w:t>Conversational strategist.</w:t>
            </w:r>
          </w:p>
        </w:tc>
        <w:tc>
          <w:tcPr>
            <w:tcW w:type="dxa" w:w="3312"/>
            <w:shd w:fill="FFFFFF"/>
            <w:vAlign w:val="center"/>
          </w:tcPr>
          <w:p>
            <w:pPr>
              <w:spacing w:after="0"/>
            </w:pPr>
            <w:r/>
            <w:r>
              <w:rPr>
                <w:rFonts w:ascii="Arial" w:hAnsi="Arial"/>
                <w:b w:val="0"/>
                <w:color w:val="111827"/>
                <w:sz w:val="17"/>
              </w:rPr>
              <w:t>Contextual answers with citations.</w:t>
            </w:r>
          </w:p>
        </w:tc>
      </w:tr>
    </w:tbl>
    <w:p>
      <w:pPr>
        <w:spacing w:after="40"/>
      </w:pPr>
    </w:p>
    <w:p>
      <w:pPr>
        <w:spacing w:before="240" w:after="100"/>
      </w:pPr>
      <w:r>
        <w:rPr>
          <w:rFonts w:ascii="Arial" w:hAnsi="Arial"/>
          <w:b/>
          <w:color w:val="00EED0"/>
          <w:sz w:val="34"/>
        </w:rPr>
        <w:t>8. UI And Mobile Experience</w:t>
      </w:r>
    </w:p>
    <w:p>
      <w:pPr>
        <w:spacing w:after="100" w:line="259" w:lineRule="auto"/>
      </w:pPr>
      <w:r>
        <w:rPr>
          <w:rFonts w:ascii="Arial" w:hAnsi="Arial"/>
          <w:color w:val="111827"/>
          <w:sz w:val="21"/>
        </w:rPr>
        <w:t>The UI intentionally avoids generic SaaS dashboards. BrandForge uses a retro cyber command-center design so the creator feels an AI team is actively working, not that they opened a static content form.</w:t>
      </w:r>
    </w:p>
    <w:p>
      <w:pPr>
        <w:pStyle w:val="ListBullet"/>
        <w:spacing w:after="60"/>
      </w:pPr>
      <w:r>
        <w:rPr>
          <w:rFonts w:ascii="Arial" w:hAnsi="Arial"/>
          <w:color w:val="111827"/>
          <w:sz w:val="20"/>
        </w:rPr>
        <w:t>Near-black background with visible grid overlay.</w:t>
      </w:r>
    </w:p>
    <w:p>
      <w:pPr>
        <w:pStyle w:val="ListBullet"/>
        <w:spacing w:after="60"/>
      </w:pPr>
      <w:r>
        <w:rPr>
          <w:rFonts w:ascii="Arial" w:hAnsi="Arial"/>
          <w:color w:val="111827"/>
          <w:sz w:val="20"/>
        </w:rPr>
        <w:t>White terminal borders, yellow accent, green success, red alert.</w:t>
      </w:r>
    </w:p>
    <w:p>
      <w:pPr>
        <w:pStyle w:val="ListBullet"/>
        <w:spacing w:after="60"/>
      </w:pPr>
      <w:r>
        <w:rPr>
          <w:rFonts w:ascii="Arial" w:hAnsi="Arial"/>
          <w:color w:val="111827"/>
          <w:sz w:val="20"/>
        </w:rPr>
        <w:t>Monospace command-center feel.</w:t>
      </w:r>
    </w:p>
    <w:p>
      <w:pPr>
        <w:pStyle w:val="ListBullet"/>
        <w:spacing w:after="60"/>
      </w:pPr>
      <w:r>
        <w:rPr>
          <w:rFonts w:ascii="Arial" w:hAnsi="Arial"/>
          <w:color w:val="111827"/>
          <w:sz w:val="20"/>
        </w:rPr>
        <w:t>Agent pulse cards, live logs, workflow buttons, and Digital Twin panels.</w:t>
      </w:r>
    </w:p>
    <w:p>
      <w:pPr>
        <w:pStyle w:val="ListBullet"/>
        <w:spacing w:after="60"/>
      </w:pPr>
      <w:r>
        <w:rPr>
          <w:rFonts w:ascii="Arial" w:hAnsi="Arial"/>
          <w:color w:val="111827"/>
          <w:sz w:val="20"/>
        </w:rPr>
        <w:t>Animated Lottie BrandForge header logo and custom launcher icon.</w:t>
      </w:r>
    </w:p>
    <w:p>
      <w:pPr>
        <w:pStyle w:val="ListBullet"/>
        <w:spacing w:after="60"/>
      </w:pPr>
      <w:r>
        <w:rPr>
          <w:rFonts w:ascii="Arial" w:hAnsi="Arial"/>
          <w:color w:val="111827"/>
          <w:sz w:val="20"/>
        </w:rPr>
        <w:t>Phone-first workflow with War Room / Office Kit direction.</w:t>
      </w:r>
    </w:p>
    <w:p>
      <w:pPr>
        <w:spacing w:before="240" w:after="100"/>
      </w:pPr>
      <w:r>
        <w:rPr>
          <w:rFonts w:ascii="Arial" w:hAnsi="Arial"/>
          <w:b/>
          <w:color w:val="00EED0"/>
          <w:sz w:val="34"/>
        </w:rPr>
        <w:t>9. Business And Market Potential</w:t>
      </w:r>
    </w:p>
    <w:p>
      <w:pPr>
        <w:spacing w:after="100" w:line="259" w:lineRule="auto"/>
      </w:pPr>
      <w:r>
        <w:rPr>
          <w:rFonts w:ascii="Arial" w:hAnsi="Arial"/>
          <w:color w:val="111827"/>
          <w:sz w:val="21"/>
        </w:rPr>
        <w:t>BrandForge starts with mobile-first creators in India and similar high-growth creator markets. These users already spend money on editing tools, scheduling tools, AI tools, templates, courses, and growth services, but lack one persistent operating system.</w:t>
      </w: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3312"/>
        <w:gridCol w:w="3312"/>
        <w:gridCol w:w="3312"/>
      </w:tblGrid>
      <w:tr>
        <w:tc>
          <w:tcPr>
            <w:tcW w:type="dxa" w:w="3312"/>
            <w:shd w:fill="0B1018"/>
            <w:vAlign w:val="center"/>
          </w:tcPr>
          <w:p>
            <w:pPr>
              <w:spacing w:after="0"/>
            </w:pPr>
            <w:r/>
            <w:r>
              <w:rPr>
                <w:rFonts w:ascii="Arial" w:hAnsi="Arial"/>
                <w:b/>
                <w:color w:val="FFD54D"/>
                <w:sz w:val="17"/>
              </w:rPr>
              <w:t>Customer Segment</w:t>
            </w:r>
          </w:p>
        </w:tc>
        <w:tc>
          <w:tcPr>
            <w:tcW w:type="dxa" w:w="3312"/>
            <w:shd w:fill="0B1018"/>
            <w:vAlign w:val="center"/>
          </w:tcPr>
          <w:p>
            <w:pPr>
              <w:spacing w:after="0"/>
            </w:pPr>
            <w:r/>
            <w:r>
              <w:rPr>
                <w:rFonts w:ascii="Arial" w:hAnsi="Arial"/>
                <w:b/>
                <w:color w:val="FFD54D"/>
                <w:sz w:val="17"/>
              </w:rPr>
              <w:t>Pain</w:t>
            </w:r>
          </w:p>
        </w:tc>
        <w:tc>
          <w:tcPr>
            <w:tcW w:type="dxa" w:w="3312"/>
            <w:shd w:fill="0B1018"/>
            <w:vAlign w:val="center"/>
          </w:tcPr>
          <w:p>
            <w:pPr>
              <w:spacing w:after="0"/>
            </w:pPr>
            <w:r/>
            <w:r>
              <w:rPr>
                <w:rFonts w:ascii="Arial" w:hAnsi="Arial"/>
                <w:b/>
                <w:color w:val="FFD54D"/>
                <w:sz w:val="17"/>
              </w:rPr>
              <w:t>BrandForge Value</w:t>
            </w:r>
          </w:p>
        </w:tc>
      </w:tr>
      <w:tr>
        <w:tc>
          <w:tcPr>
            <w:tcW w:type="dxa" w:w="3312"/>
            <w:shd w:fill="F6F8FF"/>
            <w:vAlign w:val="center"/>
          </w:tcPr>
          <w:p>
            <w:pPr>
              <w:spacing w:after="0"/>
            </w:pPr>
            <w:r/>
            <w:r>
              <w:rPr>
                <w:rFonts w:ascii="Arial" w:hAnsi="Arial"/>
                <w:b/>
                <w:color w:val="111827"/>
                <w:sz w:val="17"/>
              </w:rPr>
              <w:t>YouTubers / Instagram creators</w:t>
            </w:r>
          </w:p>
        </w:tc>
        <w:tc>
          <w:tcPr>
            <w:tcW w:type="dxa" w:w="3312"/>
            <w:shd w:fill="FFFFFF"/>
            <w:vAlign w:val="center"/>
          </w:tcPr>
          <w:p>
            <w:pPr>
              <w:spacing w:after="0"/>
            </w:pPr>
            <w:r/>
            <w:r>
              <w:rPr>
                <w:rFonts w:ascii="Arial" w:hAnsi="Arial"/>
                <w:b w:val="0"/>
                <w:color w:val="111827"/>
                <w:sz w:val="17"/>
              </w:rPr>
              <w:t>Need daily ideas and consistency.</w:t>
            </w:r>
          </w:p>
        </w:tc>
        <w:tc>
          <w:tcPr>
            <w:tcW w:type="dxa" w:w="3312"/>
            <w:shd w:fill="FFFFFF"/>
            <w:vAlign w:val="center"/>
          </w:tcPr>
          <w:p>
            <w:pPr>
              <w:spacing w:after="0"/>
            </w:pPr>
            <w:r/>
            <w:r>
              <w:rPr>
                <w:rFonts w:ascii="Arial" w:hAnsi="Arial"/>
                <w:b w:val="0"/>
                <w:color w:val="111827"/>
                <w:sz w:val="17"/>
              </w:rPr>
              <w:t>Trend radar, memory-aware content, PR audit, competitor gaps.</w:t>
            </w:r>
          </w:p>
        </w:tc>
      </w:tr>
      <w:tr>
        <w:tc>
          <w:tcPr>
            <w:tcW w:type="dxa" w:w="3312"/>
            <w:shd w:fill="F6F8FF"/>
            <w:vAlign w:val="center"/>
          </w:tcPr>
          <w:p>
            <w:pPr>
              <w:spacing w:after="0"/>
            </w:pPr>
            <w:r/>
            <w:r>
              <w:rPr>
                <w:rFonts w:ascii="Arial" w:hAnsi="Arial"/>
                <w:b/>
                <w:color w:val="111827"/>
                <w:sz w:val="17"/>
              </w:rPr>
              <w:t>Coaches / solopreneurs</w:t>
            </w:r>
          </w:p>
        </w:tc>
        <w:tc>
          <w:tcPr>
            <w:tcW w:type="dxa" w:w="3312"/>
            <w:shd w:fill="FFFFFF"/>
            <w:vAlign w:val="center"/>
          </w:tcPr>
          <w:p>
            <w:pPr>
              <w:spacing w:after="0"/>
            </w:pPr>
            <w:r/>
            <w:r>
              <w:rPr>
                <w:rFonts w:ascii="Arial" w:hAnsi="Arial"/>
                <w:b w:val="0"/>
                <w:color w:val="111827"/>
                <w:sz w:val="17"/>
              </w:rPr>
              <w:t>Need leads and credibility.</w:t>
            </w:r>
          </w:p>
        </w:tc>
        <w:tc>
          <w:tcPr>
            <w:tcW w:type="dxa" w:w="3312"/>
            <w:shd w:fill="FFFFFF"/>
            <w:vAlign w:val="center"/>
          </w:tcPr>
          <w:p>
            <w:pPr>
              <w:spacing w:after="0"/>
            </w:pPr>
            <w:r/>
            <w:r>
              <w:rPr>
                <w:rFonts w:ascii="Arial" w:hAnsi="Arial"/>
                <w:b w:val="0"/>
                <w:color w:val="111827"/>
                <w:sz w:val="17"/>
              </w:rPr>
              <w:t>Lead detection, authority content, brand-safe captions.</w:t>
            </w:r>
          </w:p>
        </w:tc>
      </w:tr>
      <w:tr>
        <w:tc>
          <w:tcPr>
            <w:tcW w:type="dxa" w:w="3312"/>
            <w:shd w:fill="F6F8FF"/>
            <w:vAlign w:val="center"/>
          </w:tcPr>
          <w:p>
            <w:pPr>
              <w:spacing w:after="0"/>
            </w:pPr>
            <w:r/>
            <w:r>
              <w:rPr>
                <w:rFonts w:ascii="Arial" w:hAnsi="Arial"/>
                <w:b/>
                <w:color w:val="111827"/>
                <w:sz w:val="17"/>
              </w:rPr>
              <w:t>Startup founders</w:t>
            </w:r>
          </w:p>
        </w:tc>
        <w:tc>
          <w:tcPr>
            <w:tcW w:type="dxa" w:w="3312"/>
            <w:shd w:fill="FFFFFF"/>
            <w:vAlign w:val="center"/>
          </w:tcPr>
          <w:p>
            <w:pPr>
              <w:spacing w:after="0"/>
            </w:pPr>
            <w:r/>
            <w:r>
              <w:rPr>
                <w:rFonts w:ascii="Arial" w:hAnsi="Arial"/>
                <w:b w:val="0"/>
                <w:color w:val="111827"/>
                <w:sz w:val="17"/>
              </w:rPr>
              <w:t>Need thought leadership with limited time.</w:t>
            </w:r>
          </w:p>
        </w:tc>
        <w:tc>
          <w:tcPr>
            <w:tcW w:type="dxa" w:w="3312"/>
            <w:shd w:fill="FFFFFF"/>
            <w:vAlign w:val="center"/>
          </w:tcPr>
          <w:p>
            <w:pPr>
              <w:spacing w:after="0"/>
            </w:pPr>
            <w:r/>
            <w:r>
              <w:rPr>
                <w:rFonts w:ascii="Arial" w:hAnsi="Arial"/>
                <w:b w:val="0"/>
                <w:color w:val="111827"/>
                <w:sz w:val="17"/>
              </w:rPr>
              <w:t>Linked strategy through Twin Chat, trends, and reusable memory.</w:t>
            </w:r>
          </w:p>
        </w:tc>
      </w:tr>
      <w:tr>
        <w:tc>
          <w:tcPr>
            <w:tcW w:type="dxa" w:w="3312"/>
            <w:shd w:fill="F6F8FF"/>
            <w:vAlign w:val="center"/>
          </w:tcPr>
          <w:p>
            <w:pPr>
              <w:spacing w:after="0"/>
            </w:pPr>
            <w:r/>
            <w:r>
              <w:rPr>
                <w:rFonts w:ascii="Arial" w:hAnsi="Arial"/>
                <w:b/>
                <w:color w:val="111827"/>
                <w:sz w:val="17"/>
              </w:rPr>
              <w:t>Small businesses</w:t>
            </w:r>
          </w:p>
        </w:tc>
        <w:tc>
          <w:tcPr>
            <w:tcW w:type="dxa" w:w="3312"/>
            <w:shd w:fill="FFFFFF"/>
            <w:vAlign w:val="center"/>
          </w:tcPr>
          <w:p>
            <w:pPr>
              <w:spacing w:after="0"/>
            </w:pPr>
            <w:r/>
            <w:r>
              <w:rPr>
                <w:rFonts w:ascii="Arial" w:hAnsi="Arial"/>
                <w:b w:val="0"/>
                <w:color w:val="111827"/>
                <w:sz w:val="17"/>
              </w:rPr>
              <w:t>Need simple content engine.</w:t>
            </w:r>
          </w:p>
        </w:tc>
        <w:tc>
          <w:tcPr>
            <w:tcW w:type="dxa" w:w="3312"/>
            <w:shd w:fill="FFFFFF"/>
            <w:vAlign w:val="center"/>
          </w:tcPr>
          <w:p>
            <w:pPr>
              <w:spacing w:after="0"/>
            </w:pPr>
            <w:r/>
            <w:r>
              <w:rPr>
                <w:rFonts w:ascii="Arial" w:hAnsi="Arial"/>
                <w:b w:val="0"/>
                <w:color w:val="111827"/>
                <w:sz w:val="17"/>
              </w:rPr>
              <w:t>Phone-first workflows and reusable Brand DNA.</w:t>
            </w:r>
          </w:p>
        </w:tc>
      </w:tr>
      <w:tr>
        <w:tc>
          <w:tcPr>
            <w:tcW w:type="dxa" w:w="3312"/>
            <w:shd w:fill="F6F8FF"/>
            <w:vAlign w:val="center"/>
          </w:tcPr>
          <w:p>
            <w:pPr>
              <w:spacing w:after="0"/>
            </w:pPr>
            <w:r/>
            <w:r>
              <w:rPr>
                <w:rFonts w:ascii="Arial" w:hAnsi="Arial"/>
                <w:b/>
                <w:color w:val="111827"/>
                <w:sz w:val="17"/>
              </w:rPr>
              <w:t>Agencies</w:t>
            </w:r>
          </w:p>
        </w:tc>
        <w:tc>
          <w:tcPr>
            <w:tcW w:type="dxa" w:w="3312"/>
            <w:shd w:fill="FFFFFF"/>
            <w:vAlign w:val="center"/>
          </w:tcPr>
          <w:p>
            <w:pPr>
              <w:spacing w:after="0"/>
            </w:pPr>
            <w:r/>
            <w:r>
              <w:rPr>
                <w:rFonts w:ascii="Arial" w:hAnsi="Arial"/>
                <w:b w:val="0"/>
                <w:color w:val="111827"/>
                <w:sz w:val="17"/>
              </w:rPr>
              <w:t>Need scale across creators.</w:t>
            </w:r>
          </w:p>
        </w:tc>
        <w:tc>
          <w:tcPr>
            <w:tcW w:type="dxa" w:w="3312"/>
            <w:shd w:fill="FFFFFF"/>
            <w:vAlign w:val="center"/>
          </w:tcPr>
          <w:p>
            <w:pPr>
              <w:spacing w:after="0"/>
            </w:pPr>
            <w:r/>
            <w:r>
              <w:rPr>
                <w:rFonts w:ascii="Arial" w:hAnsi="Arial"/>
                <w:b w:val="0"/>
                <w:color w:val="111827"/>
                <w:sz w:val="17"/>
              </w:rPr>
              <w:t>Future multi-creator workspace and reporting.</w:t>
            </w:r>
          </w:p>
        </w:tc>
      </w:tr>
    </w:tbl>
    <w:p>
      <w:pPr>
        <w:spacing w:after="40"/>
      </w:pP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4968"/>
        <w:gridCol w:w="4968"/>
      </w:tblGrid>
      <w:tr>
        <w:tc>
          <w:tcPr>
            <w:tcW w:type="dxa" w:w="4968"/>
            <w:shd w:fill="0B1018"/>
            <w:vAlign w:val="center"/>
          </w:tcPr>
          <w:p>
            <w:pPr>
              <w:spacing w:after="0"/>
            </w:pPr>
            <w:r/>
            <w:r>
              <w:rPr>
                <w:rFonts w:ascii="Arial" w:hAnsi="Arial"/>
                <w:b/>
                <w:color w:val="FFD54D"/>
                <w:sz w:val="19"/>
              </w:rPr>
              <w:t>Area</w:t>
            </w:r>
          </w:p>
        </w:tc>
        <w:tc>
          <w:tcPr>
            <w:tcW w:type="dxa" w:w="4968"/>
            <w:shd w:fill="0B1018"/>
            <w:vAlign w:val="center"/>
          </w:tcPr>
          <w:p>
            <w:pPr>
              <w:spacing w:after="0"/>
            </w:pPr>
            <w:r/>
            <w:r>
              <w:rPr>
                <w:rFonts w:ascii="Arial" w:hAnsi="Arial"/>
                <w:b/>
                <w:color w:val="FFD54D"/>
                <w:sz w:val="19"/>
              </w:rPr>
              <w:t>Details</w:t>
            </w:r>
          </w:p>
        </w:tc>
      </w:tr>
      <w:tr>
        <w:tc>
          <w:tcPr>
            <w:tcW w:type="dxa" w:w="4968"/>
            <w:shd w:fill="F6F8FF"/>
            <w:vAlign w:val="center"/>
          </w:tcPr>
          <w:p>
            <w:pPr>
              <w:spacing w:after="0"/>
            </w:pPr>
            <w:r/>
            <w:r>
              <w:rPr>
                <w:rFonts w:ascii="Arial" w:hAnsi="Arial"/>
                <w:b/>
                <w:color w:val="111827"/>
                <w:sz w:val="18"/>
              </w:rPr>
              <w:t>Subscription</w:t>
            </w:r>
          </w:p>
        </w:tc>
        <w:tc>
          <w:tcPr>
            <w:tcW w:type="dxa" w:w="4968"/>
            <w:shd w:fill="FFFFFF"/>
            <w:vAlign w:val="center"/>
          </w:tcPr>
          <w:p>
            <w:pPr>
              <w:spacing w:after="0"/>
            </w:pPr>
            <w:r/>
            <w:r>
              <w:rPr>
                <w:rFonts w:ascii="Arial" w:hAnsi="Arial"/>
                <w:b w:val="0"/>
                <w:color w:val="111827"/>
                <w:sz w:val="18"/>
              </w:rPr>
              <w:t>Creator Pro plan for memory, agents, reports, and higher usage.</w:t>
            </w:r>
          </w:p>
        </w:tc>
      </w:tr>
      <w:tr>
        <w:tc>
          <w:tcPr>
            <w:tcW w:type="dxa" w:w="4968"/>
            <w:shd w:fill="F6F8FF"/>
            <w:vAlign w:val="center"/>
          </w:tcPr>
          <w:p>
            <w:pPr>
              <w:spacing w:after="0"/>
            </w:pPr>
            <w:r/>
            <w:r>
              <w:rPr>
                <w:rFonts w:ascii="Arial" w:hAnsi="Arial"/>
                <w:b/>
                <w:color w:val="111827"/>
                <w:sz w:val="18"/>
              </w:rPr>
              <w:t>AI Credits</w:t>
            </w:r>
          </w:p>
        </w:tc>
        <w:tc>
          <w:tcPr>
            <w:tcW w:type="dxa" w:w="4968"/>
            <w:shd w:fill="FFFFFF"/>
            <w:vAlign w:val="center"/>
          </w:tcPr>
          <w:p>
            <w:pPr>
              <w:spacing w:after="0"/>
            </w:pPr>
            <w:r/>
            <w:r>
              <w:rPr>
                <w:rFonts w:ascii="Arial" w:hAnsi="Arial"/>
                <w:b w:val="0"/>
                <w:color w:val="111827"/>
                <w:sz w:val="18"/>
              </w:rPr>
              <w:t>Paid credits for generated media, heavy model use, and War Room runs.</w:t>
            </w:r>
          </w:p>
        </w:tc>
      </w:tr>
      <w:tr>
        <w:tc>
          <w:tcPr>
            <w:tcW w:type="dxa" w:w="4968"/>
            <w:shd w:fill="F6F8FF"/>
            <w:vAlign w:val="center"/>
          </w:tcPr>
          <w:p>
            <w:pPr>
              <w:spacing w:after="0"/>
            </w:pPr>
            <w:r/>
            <w:r>
              <w:rPr>
                <w:rFonts w:ascii="Arial" w:hAnsi="Arial"/>
                <w:b/>
                <w:color w:val="111827"/>
                <w:sz w:val="18"/>
              </w:rPr>
              <w:t>Agency Workspace</w:t>
            </w:r>
          </w:p>
        </w:tc>
        <w:tc>
          <w:tcPr>
            <w:tcW w:type="dxa" w:w="4968"/>
            <w:shd w:fill="FFFFFF"/>
            <w:vAlign w:val="center"/>
          </w:tcPr>
          <w:p>
            <w:pPr>
              <w:spacing w:after="0"/>
            </w:pPr>
            <w:r/>
            <w:r>
              <w:rPr>
                <w:rFonts w:ascii="Arial" w:hAnsi="Arial"/>
                <w:b w:val="0"/>
                <w:color w:val="111827"/>
                <w:sz w:val="18"/>
              </w:rPr>
              <w:t>Multi-creator dashboards, handoffs, and shared reports.</w:t>
            </w:r>
          </w:p>
        </w:tc>
      </w:tr>
      <w:tr>
        <w:tc>
          <w:tcPr>
            <w:tcW w:type="dxa" w:w="4968"/>
            <w:shd w:fill="F6F8FF"/>
            <w:vAlign w:val="center"/>
          </w:tcPr>
          <w:p>
            <w:pPr>
              <w:spacing w:after="0"/>
            </w:pPr>
            <w:r/>
            <w:r>
              <w:rPr>
                <w:rFonts w:ascii="Arial" w:hAnsi="Arial"/>
                <w:b/>
                <w:color w:val="111827"/>
                <w:sz w:val="18"/>
              </w:rPr>
              <w:t>Future Integrations</w:t>
            </w:r>
          </w:p>
        </w:tc>
        <w:tc>
          <w:tcPr>
            <w:tcW w:type="dxa" w:w="4968"/>
            <w:shd w:fill="FFFFFF"/>
            <w:vAlign w:val="center"/>
          </w:tcPr>
          <w:p>
            <w:pPr>
              <w:spacing w:after="0"/>
            </w:pPr>
            <w:r/>
            <w:r>
              <w:rPr>
                <w:rFonts w:ascii="Arial" w:hAnsi="Arial"/>
                <w:b w:val="0"/>
                <w:color w:val="111827"/>
                <w:sz w:val="18"/>
              </w:rPr>
              <w:t>Publishing, analytics feedback, CRM, WhatsApp, and brand collaboration workflows.</w:t>
            </w:r>
          </w:p>
        </w:tc>
      </w:tr>
    </w:tbl>
    <w:p>
      <w:pPr>
        <w:spacing w:after="40"/>
      </w:pPr>
    </w:p>
    <w:p>
      <w:pPr>
        <w:spacing w:before="240" w:after="100"/>
      </w:pPr>
      <w:r>
        <w:rPr>
          <w:rFonts w:ascii="Arial" w:hAnsi="Arial"/>
          <w:b/>
          <w:color w:val="00EED0"/>
          <w:sz w:val="34"/>
        </w:rPr>
        <w:t>10. Demo Script</w:t>
      </w:r>
    </w:p>
    <w:p>
      <w:pPr>
        <w:pStyle w:val="ListNumber"/>
        <w:spacing w:after="60"/>
      </w:pPr>
      <w:r>
        <w:rPr>
          <w:rFonts w:ascii="Arial" w:hAnsi="Arial"/>
          <w:sz w:val="20"/>
        </w:rPr>
        <w:t>Open Brand DNA. Save a creator profile or scrape a public profile URL.</w:t>
      </w:r>
    </w:p>
    <w:p>
      <w:pPr>
        <w:pStyle w:val="ListNumber"/>
        <w:spacing w:after="60"/>
      </w:pPr>
      <w:r>
        <w:rPr>
          <w:rFonts w:ascii="Arial" w:hAnsi="Arial"/>
          <w:sz w:val="20"/>
        </w:rPr>
        <w:t>Open Memory. Retrieve creator context and show saved memory shards.</w:t>
      </w:r>
    </w:p>
    <w:p>
      <w:pPr>
        <w:pStyle w:val="ListNumber"/>
        <w:spacing w:after="60"/>
      </w:pPr>
      <w:r>
        <w:rPr>
          <w:rFonts w:ascii="Arial" w:hAnsi="Arial"/>
          <w:sz w:val="20"/>
        </w:rPr>
        <w:t>Open Trend Radar. Fetch trends, view a source URL, and add an opportunity to memory.</w:t>
      </w:r>
    </w:p>
    <w:p>
      <w:pPr>
        <w:pStyle w:val="ListNumber"/>
        <w:spacing w:after="60"/>
      </w:pPr>
      <w:r>
        <w:rPr>
          <w:rFonts w:ascii="Arial" w:hAnsi="Arial"/>
          <w:sz w:val="20"/>
        </w:rPr>
        <w:t>Open Content Studio. Generate a Reel Script, Instagram Carousel, or X Thread.</w:t>
      </w:r>
    </w:p>
    <w:p>
      <w:pPr>
        <w:pStyle w:val="ListNumber"/>
        <w:spacing w:after="60"/>
      </w:pPr>
      <w:r>
        <w:rPr>
          <w:rFonts w:ascii="Arial" w:hAnsi="Arial"/>
          <w:sz w:val="20"/>
        </w:rPr>
        <w:t>Render media and open the generated media viewer.</w:t>
      </w:r>
    </w:p>
    <w:p>
      <w:pPr>
        <w:pStyle w:val="ListNumber"/>
        <w:spacing w:after="60"/>
      </w:pPr>
      <w:r>
        <w:rPr>
          <w:rFonts w:ascii="Arial" w:hAnsi="Arial"/>
          <w:sz w:val="20"/>
        </w:rPr>
        <w:t>Open PR Audit. Upload an image, add a caption, and generate a risk/caption report.</w:t>
      </w:r>
    </w:p>
    <w:p>
      <w:pPr>
        <w:pStyle w:val="ListNumber"/>
        <w:spacing w:after="60"/>
      </w:pPr>
      <w:r>
        <w:rPr>
          <w:rFonts w:ascii="Arial" w:hAnsi="Arial"/>
          <w:sz w:val="20"/>
        </w:rPr>
        <w:t>Open Competitor Intelligence. Analyze a public URL and inspect fetched content/gaps.</w:t>
      </w:r>
    </w:p>
    <w:p>
      <w:pPr>
        <w:pStyle w:val="ListNumber"/>
        <w:spacing w:after="60"/>
      </w:pPr>
      <w:r>
        <w:rPr>
          <w:rFonts w:ascii="Arial" w:hAnsi="Arial"/>
          <w:sz w:val="20"/>
        </w:rPr>
        <w:t>Open Twin Chat. Ask what to post next or how the brand is evolving.</w:t>
      </w:r>
    </w:p>
    <w:p>
      <w:pPr>
        <w:pStyle w:val="ListNumber"/>
        <w:spacing w:after="60"/>
      </w:pPr>
      <w:r>
        <w:rPr>
          <w:rFonts w:ascii="Arial" w:hAnsi="Arial"/>
          <w:sz w:val="20"/>
        </w:rPr>
        <w:t>Open War Room. Run the agent caption battle and show the winner.</w:t>
      </w:r>
    </w:p>
    <w:p>
      <w:pPr>
        <w:pStyle w:val="ListNumber"/>
        <w:spacing w:after="60"/>
      </w:pPr>
      <w:r>
        <w:rPr>
          <w:rFonts w:ascii="Arial" w:hAnsi="Arial"/>
          <w:sz w:val="20"/>
        </w:rPr>
        <w:t>Tap the BrandForge logo five times to show the debug health panel.</w:t>
      </w:r>
    </w:p>
    <w:p>
      <w:pPr>
        <w:spacing w:before="240" w:after="100"/>
      </w:pPr>
      <w:r>
        <w:rPr>
          <w:rFonts w:ascii="Arial" w:hAnsi="Arial"/>
          <w:b/>
          <w:color w:val="00EED0"/>
          <w:sz w:val="34"/>
        </w:rPr>
        <w:t>11. Judging Criteria Mapping</w:t>
      </w: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4968"/>
        <w:gridCol w:w="4968"/>
      </w:tblGrid>
      <w:tr>
        <w:tc>
          <w:tcPr>
            <w:tcW w:type="dxa" w:w="4968"/>
            <w:shd w:fill="0B1018"/>
            <w:vAlign w:val="center"/>
          </w:tcPr>
          <w:p>
            <w:pPr>
              <w:spacing w:after="0"/>
            </w:pPr>
            <w:r/>
            <w:r>
              <w:rPr>
                <w:rFonts w:ascii="Arial" w:hAnsi="Arial"/>
                <w:b/>
                <w:color w:val="FFD54D"/>
                <w:sz w:val="17"/>
              </w:rPr>
              <w:t>Criteria</w:t>
            </w:r>
          </w:p>
        </w:tc>
        <w:tc>
          <w:tcPr>
            <w:tcW w:type="dxa" w:w="4968"/>
            <w:shd w:fill="0B1018"/>
            <w:vAlign w:val="center"/>
          </w:tcPr>
          <w:p>
            <w:pPr>
              <w:spacing w:after="0"/>
            </w:pPr>
            <w:r/>
            <w:r>
              <w:rPr>
                <w:rFonts w:ascii="Arial" w:hAnsi="Arial"/>
                <w:b/>
                <w:color w:val="FFD54D"/>
                <w:sz w:val="17"/>
              </w:rPr>
              <w:t>How BrandForge Demonstrates It</w:t>
            </w:r>
          </w:p>
        </w:tc>
      </w:tr>
      <w:tr>
        <w:tc>
          <w:tcPr>
            <w:tcW w:type="dxa" w:w="4968"/>
            <w:shd w:fill="F6F8FF"/>
            <w:vAlign w:val="center"/>
          </w:tcPr>
          <w:p>
            <w:pPr>
              <w:spacing w:after="0"/>
            </w:pPr>
            <w:r/>
            <w:r>
              <w:rPr>
                <w:rFonts w:ascii="Arial" w:hAnsi="Arial"/>
                <w:b/>
                <w:color w:val="111827"/>
                <w:sz w:val="17"/>
              </w:rPr>
              <w:t>Innovation</w:t>
            </w:r>
          </w:p>
        </w:tc>
        <w:tc>
          <w:tcPr>
            <w:tcW w:type="dxa" w:w="4968"/>
            <w:shd w:fill="FFFFFF"/>
            <w:vAlign w:val="center"/>
          </w:tcPr>
          <w:p>
            <w:pPr>
              <w:spacing w:after="0"/>
            </w:pPr>
            <w:r/>
            <w:r>
              <w:rPr>
                <w:rFonts w:ascii="Arial" w:hAnsi="Arial"/>
                <w:b w:val="0"/>
                <w:color w:val="111827"/>
                <w:sz w:val="17"/>
              </w:rPr>
              <w:t>Moves beyond content generation into a persistent autonomous creator operating system.</w:t>
            </w:r>
          </w:p>
        </w:tc>
      </w:tr>
      <w:tr>
        <w:tc>
          <w:tcPr>
            <w:tcW w:type="dxa" w:w="4968"/>
            <w:shd w:fill="F6F8FF"/>
            <w:vAlign w:val="center"/>
          </w:tcPr>
          <w:p>
            <w:pPr>
              <w:spacing w:after="0"/>
            </w:pPr>
            <w:r/>
            <w:r>
              <w:rPr>
                <w:rFonts w:ascii="Arial" w:hAnsi="Arial"/>
                <w:b/>
                <w:color w:val="111827"/>
                <w:sz w:val="17"/>
              </w:rPr>
              <w:t>Technical Complexity</w:t>
            </w:r>
          </w:p>
        </w:tc>
        <w:tc>
          <w:tcPr>
            <w:tcW w:type="dxa" w:w="4968"/>
            <w:shd w:fill="FFFFFF"/>
            <w:vAlign w:val="center"/>
          </w:tcPr>
          <w:p>
            <w:pPr>
              <w:spacing w:after="0"/>
            </w:pPr>
            <w:r/>
            <w:r>
              <w:rPr>
                <w:rFonts w:ascii="Arial" w:hAnsi="Arial"/>
                <w:b w:val="0"/>
                <w:color w:val="111827"/>
                <w:sz w:val="17"/>
              </w:rPr>
              <w:t>Combines Android Clean Architecture, Room, DataStore, Hilt, Qdrant, Gemini, OpenRouter, Firecrawl, YouTube, voice, and media artifacts.</w:t>
            </w:r>
          </w:p>
        </w:tc>
      </w:tr>
      <w:tr>
        <w:tc>
          <w:tcPr>
            <w:tcW w:type="dxa" w:w="4968"/>
            <w:shd w:fill="F6F8FF"/>
            <w:vAlign w:val="center"/>
          </w:tcPr>
          <w:p>
            <w:pPr>
              <w:spacing w:after="0"/>
            </w:pPr>
            <w:r/>
            <w:r>
              <w:rPr>
                <w:rFonts w:ascii="Arial" w:hAnsi="Arial"/>
                <w:b/>
                <w:color w:val="111827"/>
                <w:sz w:val="17"/>
              </w:rPr>
              <w:t>AI Usage</w:t>
            </w:r>
          </w:p>
        </w:tc>
        <w:tc>
          <w:tcPr>
            <w:tcW w:type="dxa" w:w="4968"/>
            <w:shd w:fill="FFFFFF"/>
            <w:vAlign w:val="center"/>
          </w:tcPr>
          <w:p>
            <w:pPr>
              <w:spacing w:after="0"/>
            </w:pPr>
            <w:r/>
            <w:r>
              <w:rPr>
                <w:rFonts w:ascii="Arial" w:hAnsi="Arial"/>
                <w:b w:val="0"/>
                <w:color w:val="111827"/>
                <w:sz w:val="17"/>
              </w:rPr>
              <w:t>Uses memory retrieval, multimodal audit, model routing, classification, scoring, and multi-agent workflows.</w:t>
            </w:r>
          </w:p>
        </w:tc>
      </w:tr>
      <w:tr>
        <w:tc>
          <w:tcPr>
            <w:tcW w:type="dxa" w:w="4968"/>
            <w:shd w:fill="F6F8FF"/>
            <w:vAlign w:val="center"/>
          </w:tcPr>
          <w:p>
            <w:pPr>
              <w:spacing w:after="0"/>
            </w:pPr>
            <w:r/>
            <w:r>
              <w:rPr>
                <w:rFonts w:ascii="Arial" w:hAnsi="Arial"/>
                <w:b/>
                <w:color w:val="111827"/>
                <w:sz w:val="17"/>
              </w:rPr>
              <w:t>Real-World Impact</w:t>
            </w:r>
          </w:p>
        </w:tc>
        <w:tc>
          <w:tcPr>
            <w:tcW w:type="dxa" w:w="4968"/>
            <w:shd w:fill="FFFFFF"/>
            <w:vAlign w:val="center"/>
          </w:tcPr>
          <w:p>
            <w:pPr>
              <w:spacing w:after="0"/>
            </w:pPr>
            <w:r/>
            <w:r>
              <w:rPr>
                <w:rFonts w:ascii="Arial" w:hAnsi="Arial"/>
                <w:b w:val="0"/>
                <w:color w:val="111827"/>
                <w:sz w:val="17"/>
              </w:rPr>
              <w:t>Targets creators who need daily strategy, lead detection, brand consistency, and faster content execution.</w:t>
            </w:r>
          </w:p>
        </w:tc>
      </w:tr>
      <w:tr>
        <w:tc>
          <w:tcPr>
            <w:tcW w:type="dxa" w:w="4968"/>
            <w:shd w:fill="F6F8FF"/>
            <w:vAlign w:val="center"/>
          </w:tcPr>
          <w:p>
            <w:pPr>
              <w:spacing w:after="0"/>
            </w:pPr>
            <w:r/>
            <w:r>
              <w:rPr>
                <w:rFonts w:ascii="Arial" w:hAnsi="Arial"/>
                <w:b/>
                <w:color w:val="111827"/>
                <w:sz w:val="17"/>
              </w:rPr>
              <w:t>Scalability</w:t>
            </w:r>
          </w:p>
        </w:tc>
        <w:tc>
          <w:tcPr>
            <w:tcW w:type="dxa" w:w="4968"/>
            <w:shd w:fill="FFFFFF"/>
            <w:vAlign w:val="center"/>
          </w:tcPr>
          <w:p>
            <w:pPr>
              <w:spacing w:after="0"/>
            </w:pPr>
            <w:r/>
            <w:r>
              <w:rPr>
                <w:rFonts w:ascii="Arial" w:hAnsi="Arial"/>
                <w:b w:val="0"/>
                <w:color w:val="111827"/>
                <w:sz w:val="17"/>
              </w:rPr>
              <w:t>Repository/agent boundaries allow new data sources, agents, publishing integrations, and multi-creator agency mode.</w:t>
            </w:r>
          </w:p>
        </w:tc>
      </w:tr>
      <w:tr>
        <w:tc>
          <w:tcPr>
            <w:tcW w:type="dxa" w:w="4968"/>
            <w:shd w:fill="F6F8FF"/>
            <w:vAlign w:val="center"/>
          </w:tcPr>
          <w:p>
            <w:pPr>
              <w:spacing w:after="0"/>
            </w:pPr>
            <w:r/>
            <w:r>
              <w:rPr>
                <w:rFonts w:ascii="Arial" w:hAnsi="Arial"/>
                <w:b/>
                <w:color w:val="111827"/>
                <w:sz w:val="17"/>
              </w:rPr>
              <w:t>Demo Potential</w:t>
            </w:r>
          </w:p>
        </w:tc>
        <w:tc>
          <w:tcPr>
            <w:tcW w:type="dxa" w:w="4968"/>
            <w:shd w:fill="FFFFFF"/>
            <w:vAlign w:val="center"/>
          </w:tcPr>
          <w:p>
            <w:pPr>
              <w:spacing w:after="0"/>
            </w:pPr>
            <w:r/>
            <w:r>
              <w:rPr>
                <w:rFonts w:ascii="Arial" w:hAnsi="Arial"/>
                <w:b w:val="0"/>
                <w:color w:val="111827"/>
                <w:sz w:val="17"/>
              </w:rPr>
              <w:t>Physical APK shows real workflows, source URLs, memory retrieval, AI outputs, generated media viewer, and debug health checks.</w:t>
            </w:r>
          </w:p>
        </w:tc>
      </w:tr>
    </w:tbl>
    <w:p>
      <w:pPr>
        <w:spacing w:after="40"/>
      </w:pPr>
    </w:p>
    <w:p>
      <w:pPr>
        <w:spacing w:before="240" w:after="100"/>
      </w:pPr>
      <w:r>
        <w:rPr>
          <w:rFonts w:ascii="Arial" w:hAnsi="Arial"/>
          <w:b/>
          <w:color w:val="00EED0"/>
          <w:sz w:val="34"/>
        </w:rPr>
        <w:t>12. Roadmap</w:t>
      </w:r>
    </w:p>
    <w:p>
      <w:pPr>
        <w:pStyle w:val="ListBullet"/>
        <w:spacing w:after="60"/>
      </w:pPr>
      <w:r>
        <w:rPr>
          <w:rFonts w:ascii="Arial" w:hAnsi="Arial"/>
          <w:color w:val="111827"/>
          <w:sz w:val="20"/>
        </w:rPr>
        <w:t>Add full WorkManager overnight agent chains for daily scans and morning briefings.</w:t>
      </w:r>
    </w:p>
    <w:p>
      <w:pPr>
        <w:pStyle w:val="ListBullet"/>
        <w:spacing w:after="60"/>
      </w:pPr>
      <w:r>
        <w:rPr>
          <w:rFonts w:ascii="Arial" w:hAnsi="Arial"/>
          <w:color w:val="111827"/>
          <w:sz w:val="20"/>
        </w:rPr>
        <w:t>Add publishing integrations for Instagram, YouTube, X, LinkedIn, and WhatsApp workflows.</w:t>
      </w:r>
    </w:p>
    <w:p>
      <w:pPr>
        <w:pStyle w:val="ListBullet"/>
        <w:spacing w:after="60"/>
      </w:pPr>
      <w:r>
        <w:rPr>
          <w:rFonts w:ascii="Arial" w:hAnsi="Arial"/>
          <w:color w:val="111827"/>
          <w:sz w:val="20"/>
        </w:rPr>
        <w:t>Add deeper video support with frame extraction, richer video generation, and rendered storyboarding.</w:t>
      </w:r>
    </w:p>
    <w:p>
      <w:pPr>
        <w:pStyle w:val="ListBullet"/>
        <w:spacing w:after="60"/>
      </w:pPr>
      <w:r>
        <w:rPr>
          <w:rFonts w:ascii="Arial" w:hAnsi="Arial"/>
          <w:color w:val="111827"/>
          <w:sz w:val="20"/>
        </w:rPr>
        <w:t>Add analytics ingestion for closed-loop performance learning.</w:t>
      </w:r>
    </w:p>
    <w:p>
      <w:pPr>
        <w:pStyle w:val="ListBullet"/>
        <w:spacing w:after="60"/>
      </w:pPr>
      <w:r>
        <w:rPr>
          <w:rFonts w:ascii="Arial" w:hAnsi="Arial"/>
          <w:color w:val="111827"/>
          <w:sz w:val="20"/>
        </w:rPr>
        <w:t>Add agency workspace for multiple creators and Office Kit laptop War Room sync.</w:t>
      </w:r>
    </w:p>
    <w:p>
      <w:pPr>
        <w:pStyle w:val="ListBullet"/>
        <w:spacing w:after="60"/>
      </w:pPr>
      <w:r>
        <w:rPr>
          <w:rFonts w:ascii="Arial" w:hAnsi="Arial"/>
          <w:color w:val="111827"/>
          <w:sz w:val="20"/>
        </w:rPr>
        <w:t>Add stronger prompt-injection defenses for scraped web content.</w:t>
      </w:r>
    </w:p>
    <w:p>
      <w:pPr>
        <w:pStyle w:val="ListBullet"/>
        <w:spacing w:after="60"/>
      </w:pPr>
      <w:r>
        <w:rPr>
          <w:rFonts w:ascii="Arial" w:hAnsi="Arial"/>
          <w:color w:val="111827"/>
          <w:sz w:val="20"/>
        </w:rPr>
        <w:t>Add encrypted secret storage and production release hardening.</w:t>
      </w:r>
    </w:p>
    <w:p>
      <w:pPr>
        <w:spacing w:before="240" w:after="100"/>
      </w:pPr>
      <w:r>
        <w:rPr>
          <w:rFonts w:ascii="Arial" w:hAnsi="Arial"/>
          <w:b/>
          <w:color w:val="00EED0"/>
          <w:sz w:val="34"/>
        </w:rPr>
        <w:t>13. Risks And Mitigations</w:t>
      </w:r>
    </w:p>
    <w:tbl>
      <w:tblPr>
        <w:tblW w:type="auto" w:w="0"/>
        <w:jc w:val="center"/>
        <w:tblLayout w:type="autofit"/>
        <w:tblLook w:firstColumn="1" w:firstRow="1" w:lastColumn="0" w:lastRow="0" w:noHBand="0" w:noVBand="1" w:val="04A0"/>
        <w:tblBorders>
          <w:top w:val="single" w:sz="6" w:space="0" w:color="84A0FF"/>
          <w:left w:val="single" w:sz="6" w:space="0" w:color="84A0FF"/>
          <w:bottom w:val="single" w:sz="6" w:space="0" w:color="84A0FF"/>
          <w:right w:val="single" w:sz="6" w:space="0" w:color="84A0FF"/>
          <w:insideH w:val="single" w:sz="6" w:space="0" w:color="84A0FF"/>
          <w:insideV w:val="single" w:sz="6" w:space="0" w:color="84A0FF"/>
        </w:tblBorders>
      </w:tblPr>
      <w:tblGrid>
        <w:gridCol w:w="4968"/>
        <w:gridCol w:w="4968"/>
      </w:tblGrid>
      <w:tr>
        <w:tc>
          <w:tcPr>
            <w:tcW w:type="dxa" w:w="4968"/>
            <w:shd w:fill="0B1018"/>
            <w:vAlign w:val="center"/>
          </w:tcPr>
          <w:p>
            <w:pPr>
              <w:spacing w:after="0"/>
            </w:pPr>
            <w:r/>
            <w:r>
              <w:rPr>
                <w:rFonts w:ascii="Arial" w:hAnsi="Arial"/>
                <w:b/>
                <w:color w:val="FFD54D"/>
                <w:sz w:val="17"/>
              </w:rPr>
              <w:t>Risk</w:t>
            </w:r>
          </w:p>
        </w:tc>
        <w:tc>
          <w:tcPr>
            <w:tcW w:type="dxa" w:w="4968"/>
            <w:shd w:fill="0B1018"/>
            <w:vAlign w:val="center"/>
          </w:tcPr>
          <w:p>
            <w:pPr>
              <w:spacing w:after="0"/>
            </w:pPr>
            <w:r/>
            <w:r>
              <w:rPr>
                <w:rFonts w:ascii="Arial" w:hAnsi="Arial"/>
                <w:b/>
                <w:color w:val="FFD54D"/>
                <w:sz w:val="17"/>
              </w:rPr>
              <w:t>Mitigation</w:t>
            </w:r>
          </w:p>
        </w:tc>
      </w:tr>
      <w:tr>
        <w:tc>
          <w:tcPr>
            <w:tcW w:type="dxa" w:w="4968"/>
            <w:shd w:fill="F6F8FF"/>
            <w:vAlign w:val="center"/>
          </w:tcPr>
          <w:p>
            <w:pPr>
              <w:spacing w:after="0"/>
            </w:pPr>
            <w:r/>
            <w:r>
              <w:rPr>
                <w:rFonts w:ascii="Arial" w:hAnsi="Arial"/>
                <w:b/>
                <w:color w:val="111827"/>
                <w:sz w:val="17"/>
              </w:rPr>
              <w:t>Provider limits or model unavailability</w:t>
            </w:r>
          </w:p>
        </w:tc>
        <w:tc>
          <w:tcPr>
            <w:tcW w:type="dxa" w:w="4968"/>
            <w:shd w:fill="FFFFFF"/>
            <w:vAlign w:val="center"/>
          </w:tcPr>
          <w:p>
            <w:pPr>
              <w:spacing w:after="0"/>
            </w:pPr>
            <w:r/>
            <w:r>
              <w:rPr>
                <w:rFonts w:ascii="Arial" w:hAnsi="Arial"/>
                <w:b w:val="0"/>
                <w:color w:val="111827"/>
                <w:sz w:val="17"/>
              </w:rPr>
              <w:t>Persist failure cards, show error details, and support model routing/fallbacks.</w:t>
            </w:r>
          </w:p>
        </w:tc>
      </w:tr>
      <w:tr>
        <w:tc>
          <w:tcPr>
            <w:tcW w:type="dxa" w:w="4968"/>
            <w:shd w:fill="F6F8FF"/>
            <w:vAlign w:val="center"/>
          </w:tcPr>
          <w:p>
            <w:pPr>
              <w:spacing w:after="0"/>
            </w:pPr>
            <w:r/>
            <w:r>
              <w:rPr>
                <w:rFonts w:ascii="Arial" w:hAnsi="Arial"/>
                <w:b/>
                <w:color w:val="111827"/>
                <w:sz w:val="17"/>
              </w:rPr>
              <w:t>Scraped source quality</w:t>
            </w:r>
          </w:p>
        </w:tc>
        <w:tc>
          <w:tcPr>
            <w:tcW w:type="dxa" w:w="4968"/>
            <w:shd w:fill="FFFFFF"/>
            <w:vAlign w:val="center"/>
          </w:tcPr>
          <w:p>
            <w:pPr>
              <w:spacing w:after="0"/>
            </w:pPr>
            <w:r/>
            <w:r>
              <w:rPr>
                <w:rFonts w:ascii="Arial" w:hAnsi="Arial"/>
                <w:b w:val="0"/>
                <w:color w:val="111827"/>
                <w:sz w:val="17"/>
              </w:rPr>
              <w:t>Use exact scrape plus search-backed scrape, store source URLs, and show fetched evidence.</w:t>
            </w:r>
          </w:p>
        </w:tc>
      </w:tr>
      <w:tr>
        <w:tc>
          <w:tcPr>
            <w:tcW w:type="dxa" w:w="4968"/>
            <w:shd w:fill="F6F8FF"/>
            <w:vAlign w:val="center"/>
          </w:tcPr>
          <w:p>
            <w:pPr>
              <w:spacing w:after="0"/>
            </w:pPr>
            <w:r/>
            <w:r>
              <w:rPr>
                <w:rFonts w:ascii="Arial" w:hAnsi="Arial"/>
                <w:b/>
                <w:color w:val="111827"/>
                <w:sz w:val="17"/>
              </w:rPr>
              <w:t>Generic AI output</w:t>
            </w:r>
          </w:p>
        </w:tc>
        <w:tc>
          <w:tcPr>
            <w:tcW w:type="dxa" w:w="4968"/>
            <w:shd w:fill="FFFFFF"/>
            <w:vAlign w:val="center"/>
          </w:tcPr>
          <w:p>
            <w:pPr>
              <w:spacing w:after="0"/>
            </w:pPr>
            <w:r/>
            <w:r>
              <w:rPr>
                <w:rFonts w:ascii="Arial" w:hAnsi="Arial"/>
                <w:b w:val="0"/>
                <w:color w:val="111827"/>
                <w:sz w:val="17"/>
              </w:rPr>
              <w:t>Retrieve Brand DNA, goals, memories, competitor gaps, and trend rationale before generation.</w:t>
            </w:r>
          </w:p>
        </w:tc>
      </w:tr>
      <w:tr>
        <w:tc>
          <w:tcPr>
            <w:tcW w:type="dxa" w:w="4968"/>
            <w:shd w:fill="F6F8FF"/>
            <w:vAlign w:val="center"/>
          </w:tcPr>
          <w:p>
            <w:pPr>
              <w:spacing w:after="0"/>
            </w:pPr>
            <w:r/>
            <w:r>
              <w:rPr>
                <w:rFonts w:ascii="Arial" w:hAnsi="Arial"/>
                <w:b/>
                <w:color w:val="111827"/>
                <w:sz w:val="17"/>
              </w:rPr>
              <w:t>API key exposure</w:t>
            </w:r>
          </w:p>
        </w:tc>
        <w:tc>
          <w:tcPr>
            <w:tcW w:type="dxa" w:w="4968"/>
            <w:shd w:fill="FFFFFF"/>
            <w:vAlign w:val="center"/>
          </w:tcPr>
          <w:p>
            <w:pPr>
              <w:spacing w:after="0"/>
            </w:pPr>
            <w:r/>
            <w:r>
              <w:rPr>
                <w:rFonts w:ascii="Arial" w:hAnsi="Arial"/>
                <w:b w:val="0"/>
                <w:color w:val="111827"/>
                <w:sz w:val="17"/>
              </w:rPr>
              <w:t>Use .env/local.properties, gitignore, BuildConfig checks, and future encrypted production storage.</w:t>
            </w:r>
          </w:p>
        </w:tc>
      </w:tr>
      <w:tr>
        <w:tc>
          <w:tcPr>
            <w:tcW w:type="dxa" w:w="4968"/>
            <w:shd w:fill="F6F8FF"/>
            <w:vAlign w:val="center"/>
          </w:tcPr>
          <w:p>
            <w:pPr>
              <w:spacing w:after="0"/>
            </w:pPr>
            <w:r/>
            <w:r>
              <w:rPr>
                <w:rFonts w:ascii="Arial" w:hAnsi="Arial"/>
                <w:b/>
                <w:color w:val="111827"/>
                <w:sz w:val="17"/>
              </w:rPr>
              <w:t>Demo reliability</w:t>
            </w:r>
          </w:p>
        </w:tc>
        <w:tc>
          <w:tcPr>
            <w:tcW w:type="dxa" w:w="4968"/>
            <w:shd w:fill="FFFFFF"/>
            <w:vAlign w:val="center"/>
          </w:tcPr>
          <w:p>
            <w:pPr>
              <w:spacing w:after="0"/>
            </w:pPr>
            <w:r/>
            <w:r>
              <w:rPr>
                <w:rFonts w:ascii="Arial" w:hAnsi="Arial"/>
                <w:b w:val="0"/>
                <w:color w:val="111827"/>
                <w:sz w:val="17"/>
              </w:rPr>
              <w:t>Debug panel, health checks, visible error logs, and seeded test actions help diagnose quickly.</w:t>
            </w:r>
          </w:p>
        </w:tc>
      </w:tr>
    </w:tbl>
    <w:p>
      <w:pPr>
        <w:spacing w:after="40"/>
      </w:pPr>
    </w:p>
    <w:p>
      <w:pPr>
        <w:spacing w:before="240" w:after="100"/>
      </w:pPr>
      <w:r>
        <w:rPr>
          <w:rFonts w:ascii="Arial" w:hAnsi="Arial"/>
          <w:b/>
          <w:color w:val="00EED0"/>
          <w:sz w:val="34"/>
        </w:rPr>
        <w:t>14. Final Verdict</w:t>
      </w:r>
    </w:p>
    <w:tbl>
      <w:tblPr>
        <w:tblW w:type="auto" w:w="0"/>
        <w:jc w:val="center"/>
        <w:tblLayout w:type="autofit"/>
        <w:tblLook w:firstColumn="1" w:firstRow="1" w:lastColumn="0" w:lastRow="0" w:noHBand="0" w:noVBand="1" w:val="04A0"/>
        <w:tblBorders>
          <w:top w:val="single" w:sz="10" w:space="0" w:color="00EED0"/>
          <w:left w:val="single" w:sz="10" w:space="0" w:color="00EED0"/>
          <w:bottom w:val="single" w:sz="10" w:space="0" w:color="00EED0"/>
          <w:right w:val="single" w:sz="10" w:space="0" w:color="00EED0"/>
          <w:insideH w:val="single" w:sz="10" w:space="0" w:color="00EED0"/>
          <w:insideV w:val="single" w:sz="10" w:space="0" w:color="00EED0"/>
        </w:tblBorders>
      </w:tblPr>
      <w:tblGrid>
        <w:gridCol w:w="9936"/>
      </w:tblGrid>
      <w:tr>
        <w:tc>
          <w:tcPr>
            <w:tcW w:type="dxa" w:w="9936"/>
            <w:shd w:fill="EFFFFB"/>
          </w:tcPr>
          <w:p>
            <w:pPr>
              <w:spacing w:after="0"/>
            </w:pPr>
            <w:r>
              <w:rPr>
                <w:rFonts w:ascii="Arial" w:hAnsi="Arial"/>
                <w:b/>
                <w:color w:val="111827"/>
                <w:sz w:val="20"/>
              </w:rPr>
              <w:t xml:space="preserve">VERDICT: </w:t>
            </w:r>
            <w:r>
              <w:rPr>
                <w:rFonts w:ascii="Arial" w:hAnsi="Arial"/>
                <w:color w:val="111827"/>
                <w:sz w:val="20"/>
              </w:rPr>
              <w:t>BrandForge is a strong hackathon contender because it demonstrates a real autonomous AI system on Android, not just a prompt wrapper. Its strongest differentiator is the Creator Digital Twin: memory, Brand DNA, trends, competitors, leads, PR risk, and content all feed the same evolving creator context.</w:t>
            </w:r>
          </w:p>
        </w:tc>
      </w:tr>
    </w:tbl>
    <w:p>
      <w:pPr>
        <w:spacing w:after="40"/>
      </w:pPr>
    </w:p>
    <w:p>
      <w:pPr>
        <w:spacing w:after="100" w:line="259" w:lineRule="auto"/>
      </w:pPr>
      <w:r>
        <w:rPr>
          <w:rFonts w:ascii="Arial" w:hAnsi="Arial"/>
          <w:color w:val="111827"/>
          <w:sz w:val="21"/>
        </w:rPr>
        <w:t>The creator sleeps. BrandForge works.</w:t>
      </w:r>
    </w:p>
    <w:sectPr w:rsidR="00FC693F" w:rsidRPr="0006063C" w:rsidSect="00034616">
      <w:footerReference w:type="default" r:id="rId9"/>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47D"/>
        <w:sz w:val="16"/>
      </w:rPr>
      <w:t>BrandForge - Autonomous AI Social Media Engine - Creator Digital Twin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