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5C"/>
          <w:sz w:val="30"/>
        </w:rPr>
        <w:t>MANAGEMENT OF CHANGE REQUEST</w:t>
      </w:r>
    </w:p>
    <w:p>
      <w:pPr>
        <w:jc w:val="center"/>
      </w:pPr>
      <w:r>
        <w:rPr>
          <w:color w:val="444444"/>
          <w:sz w:val="20"/>
        </w:rPr>
        <w:t>MOC-2026-0087  |  Upgrade of Mechanical Seal Arrangement, P-2104A/B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MOC Number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MOC-2026-0087</w:t>
            </w:r>
          </w:p>
        </w:tc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Date raised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2026-09-01</w:t>
            </w:r>
          </w:p>
        </w:tc>
      </w:tr>
      <w:tr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Change type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Permanent - Engineering / Hardware</w:t>
            </w:r>
          </w:p>
        </w:tc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Risk rank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CDU-2 - Crude Distillation Unit - 2</w:t>
            </w:r>
          </w:p>
        </w:tc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Equipment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P-2104A / P-2104B</w:t>
            </w:r>
          </w:p>
        </w:tc>
      </w:tr>
      <w:tr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Originator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S. Pai</w:t>
            </w:r>
          </w:p>
        </w:tc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Current status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Pending Technical Review</w:t>
            </w:r>
          </w:p>
        </w:tc>
      </w:tr>
      <w:tr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Target completion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2026-10-15</w:t>
            </w:r>
          </w:p>
        </w:tc>
        <w:tc>
          <w:tcPr>
            <w:tcW w:type="dxa" w:w="2493"/>
            <w:shd w:val="clear" w:fill="EEF2F6"/>
          </w:tcPr>
          <w:p>
            <w:r>
              <w:rPr>
                <w:b/>
                <w:sz w:val="18"/>
              </w:rPr>
              <w:t>Arising from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INC-2026-0042</w:t>
            </w:r>
          </w:p>
        </w:tc>
      </w:tr>
    </w:tbl>
    <w:p>
      <w:pPr>
        <w:pStyle w:val="Heading2"/>
      </w:pPr>
      <w:r>
        <w:t>1. Reason for change</w:t>
      </w:r>
    </w:p>
    <w:p>
      <w:r>
        <w:t>Corrective action CAPA-0042-1 arising from incident INC-2026-0042 dated 2026-08-29.</w:t>
      </w:r>
    </w:p>
    <w:p>
      <w:pPr>
        <w:pStyle w:val="Heading2"/>
      </w:pPr>
      <w:r>
        <w:t>2. Existing arrangement</w:t>
      </w:r>
    </w:p>
    <w:p>
      <w:r>
        <w:t>API 682 Category 1, Arrangement 1 (single unpressurised) cartridge seal with API Plan 52 external reservoir. Seal kit part SK-682-2104.</w:t>
      </w:r>
    </w:p>
    <w:p>
      <w:pPr>
        <w:pStyle w:val="Heading2"/>
      </w:pPr>
      <w:r>
        <w:t>3. Proposed arrangement</w:t>
      </w:r>
    </w:p>
    <w:p>
      <w:r>
        <w:t>API 682 Category 2, Arrangement 3 (dual pressurised) cartridge seal with API Plan 53B bladder accumulator barrier fluid system. Seal kit part SK-682-2104-A3.</w:t>
      </w:r>
    </w:p>
    <w:p>
      <w:pPr>
        <w:pStyle w:val="Heading2"/>
      </w:pPr>
      <w:r>
        <w:t>4. Technical justification</w:t>
      </w:r>
    </w:p>
    <w:p>
      <w:pPr>
        <w:pStyle w:val="ListBullet"/>
      </w:pPr>
      <w:r>
        <w:t>RCO service at 345 degC with a flash point below the operating temperature; a leak path to atmosphere is a Tier 2 process safety risk.</w:t>
      </w:r>
    </w:p>
    <w:p>
      <w:pPr>
        <w:pStyle w:val="ListBullet"/>
      </w:pPr>
      <w:r>
        <w:t>Arrangement 3 contains any inboard face failure within the barrier fluid, converting a loss of containment into an alarm.</w:t>
      </w:r>
    </w:p>
    <w:p>
      <w:pPr>
        <w:pStyle w:val="ListBullet"/>
      </w:pPr>
      <w:r>
        <w:t>Plan 53B removes the operator-dependent reservoir top-up that was a contributing factor in INC-2026-0042.</w:t>
      </w:r>
    </w:p>
    <w:p>
      <w:pPr>
        <w:pStyle w:val="Heading2"/>
      </w:pPr>
      <w:r>
        <w:t>5. 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DCE6EF"/>
          </w:tcPr>
          <w:p>
            <w:r>
              <w:rPr>
                <w:b/>
                <w:sz w:val="17"/>
              </w:rPr>
              <w:t>Discipline</w:t>
            </w:r>
          </w:p>
        </w:tc>
        <w:tc>
          <w:tcPr>
            <w:tcW w:type="dxa" w:w="7540"/>
            <w:shd w:val="clear" w:fill="DCE6EF"/>
          </w:tcPr>
          <w:p>
            <w:r>
              <w:rPr>
                <w:b/>
                <w:sz w:val="17"/>
              </w:rPr>
              <w:t>Impact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Process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No change to process conditions or unit yields.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Piping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Removal of Plan 52 reservoir piping; new 53B accumulator skid, 0.9 m x 0.6 m footprint, at grade adjacent to pump.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Electrical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New level and pressure transmitters, 2 x 4-20 mA loops to DCS. Two new DCS alarm points required.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SOP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SOP-CDU2-014 requires revision (Rev 5) for barrier fluid pre-start checks.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2 hour refresher for all CDU-2 shift personnel before commissioning.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Estimated INR 34.6 lakh for both pumps including spares.</w:t>
            </w:r>
          </w:p>
        </w:tc>
      </w:tr>
    </w:tbl>
    <w:p>
      <w:pPr>
        <w:pStyle w:val="Heading2"/>
      </w:pPr>
      <w:r>
        <w:t>6. Constraint on execution</w:t>
      </w:r>
    </w:p>
    <w:p>
      <w:r>
        <w:rPr>
          <w:b/>
          <w:color w:val="8A1C1C"/>
        </w:rPr>
        <w:t>Long lead item: seal kit SK-682-2104-A3 shows zero stock against a minimum of 2. Vendor lead time is 45 days. See SPR-ROT-001.</w:t>
      </w:r>
    </w:p>
    <w:p>
      <w:r>
        <w:t>Consequently the earliest realistic execution date is governed by material availability rather than by engineering approval. The 45 day vendor lead time on seal kit SK-682-2104-A3 means that even with immediate approval and a purchase order placed on 2026-09-01, material would not be on site before mid October 2026. The target completion date of 2026-10-15 should be regarded as at risk.</w:t>
      </w:r>
    </w:p>
    <w:p>
      <w:pPr>
        <w:pStyle w:val="Heading2"/>
      </w:pPr>
      <w:r>
        <w:t>7. Safety review comment</w:t>
      </w:r>
    </w:p>
    <w:p>
      <w:r>
        <w:rPr>
          <w:b/>
        </w:rPr>
        <w:t xml:space="preserve">N. Bhat (Safety Officer), 2026-09-03: </w:t>
      </w:r>
      <w:r>
        <w:t>Concur with the upgrade. Note that Safety Circular SC-2026-11 restricts hot work in this area until 2026-11-30; the accumulator skid tie-in must therefore be scheduled inside the CDU-2 planned shutdown window or a separate deviation must be approved.</w:t>
      </w:r>
    </w:p>
    <w:p>
      <w:pPr>
        <w:pStyle w:val="Heading2"/>
      </w:pPr>
      <w:r>
        <w:t>8. Pre-commissioning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fill="DCE6EF"/>
          </w:tcPr>
          <w:p>
            <w:r>
              <w:rPr>
                <w:b/>
                <w:sz w:val="17"/>
              </w:rPr>
              <w:t>No.</w:t>
            </w:r>
          </w:p>
        </w:tc>
        <w:tc>
          <w:tcPr>
            <w:tcW w:type="dxa" w:w="6520"/>
            <w:shd w:val="clear" w:fill="DCE6EF"/>
          </w:tcPr>
          <w:p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2154"/>
            <w:shd w:val="clear" w:fill="DCE6EF"/>
          </w:tcPr>
          <w:p>
            <w:r>
              <w:rPr>
                <w:b/>
                <w:sz w:val="17"/>
              </w:rPr>
              <w:t>Responsible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Revise SOP-CDU2-014 to Rev 5 covering barrier fluid pre-start checks and the 0.05 mm alignment tolerance record.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A. Fernandes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Configure two new DCS alarm points for barrier fluid level low and barrier fluid pressure low.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Instrumentation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Complete 2 hour refresher for all CDU-2 shift personnel.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A. Fernandes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Update the P&amp;ID PID-CDU2-003 and the equipment data sheet to reflect the Plan 53B system.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Engineering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Add barrier fluid level to the operator shift round check sheet (also required by CAPA-0042-3).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M. Shetty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Obtain hot work deviation permit or schedule tie-in inside the planned shutdown window, per SC-2026-11.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K. Rao</w:t>
            </w:r>
          </w:p>
        </w:tc>
      </w:tr>
    </w:tbl>
    <w:p>
      <w:pPr>
        <w:pStyle w:val="Heading2"/>
      </w:pPr>
      <w:r>
        <w:t>9. Approval 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val="clear" w:fill="DCE6EF"/>
          </w:tcPr>
          <w:p>
            <w:r>
              <w:rPr>
                <w:b/>
                <w:sz w:val="17"/>
              </w:rPr>
              <w:t>Stage</w:t>
            </w:r>
          </w:p>
        </w:tc>
        <w:tc>
          <w:tcPr>
            <w:tcW w:type="dxa" w:w="2268"/>
            <w:shd w:val="clear" w:fill="DCE6EF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1701"/>
            <w:shd w:val="clear" w:fill="DCE6EF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2268"/>
            <w:shd w:val="clear" w:fill="DCE6EF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Originator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S. Pai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2026-09-01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Signed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Reviewer - Process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P. D'Souza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2026-09-02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Signed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Reviewer - Safety (HAZOP screening)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N. Bhat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2026-09-03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Signed with comment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Reviewer - Inspection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V. Nayak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Approver - DGM Operations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A. Fernandes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Pending</w:t>
            </w:r>
          </w:p>
        </w:tc>
      </w:tr>
    </w:tbl>
    <w:p/>
    <w:p>
      <w:r>
        <w:rPr>
          <w:b/>
          <w:sz w:val="18"/>
        </w:rPr>
        <w:t>This change shall not be executed until all approval stages above show Signed and the material availability constraint in Section 6 is resolved.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CONFIDENTIAL - INTERNAL USE ONLY   -   SYNTHETIC DOCUMENT - generated for SIH26117 prototype evaluation. Not an actual MRPL record.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B3D5C"/>
        <w:sz w:val="16"/>
      </w:rPr>
      <w:t>MRPL  |  Mangalore Refinery and Petrochemicals Limited | Katipalla, Mangaluru, Karnataka | Crude Distillation Unit - 2  |  MOC-2026-0087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Upgrade of Mechanical Seal Arrangement, P-2104A/B</dc:title>
  <dc:subject/>
  <dc:creator>S. Pai</dc:creator>
  <cp:keywords/>
  <dc:description>SYNTHETIC DOCUMENT - generated for SIH26117 prototype evaluation. Not an actual MRPL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