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55F6B"/>
          <w:sz w:val="17"/>
        </w:rPr>
        <w:t>MANGALORE REFINERY AND PETROCHEMICALS LIMITED</w:t>
      </w:r>
    </w:p>
    <w:p>
      <w:pPr>
        <w:spacing w:after="40"/>
      </w:pPr>
      <w:r>
        <w:rPr>
          <w:b/>
          <w:color w:val="0B3C5D"/>
          <w:sz w:val="38"/>
        </w:rPr>
        <w:t>P-2104B Return-to-Service Assessment</w:t>
      </w:r>
    </w:p>
    <w:p>
      <w:r>
        <w:rPr>
          <w:i/>
          <w:color w:val="555F6B"/>
          <w:sz w:val="21"/>
        </w:rPr>
        <w:t>CDU-2 rotating equipment / prepared for the morning review</w:t>
      </w:r>
    </w:p>
    <w:p>
      <w:pPr>
        <w:pBdr>
          <w:bottom w:val="single" w:sz="12" w:color="0B3C5D"/>
        </w:pBdr>
      </w:pPr>
    </w:p>
    <w:p>
      <w:pPr>
        <w:spacing w:before="240" w:after="60"/>
      </w:pPr>
      <w:r>
        <w:rPr>
          <w:b/>
          <w:color w:val="0B3C5D"/>
          <w:sz w:val="24"/>
        </w:rPr>
        <w:t>Recommendation</w:t>
      </w:r>
    </w:p>
    <w:p>
      <w:r>
        <w:t>Pump P-2104B must not be returned to service on its existing seal arrangement. Vibration has risen from 3.9 mm/s to 9.6 mm/s over eight weeks, crossing the 7.1 mm/s alert threshold on 2026-08-13 [VIB-CDU2-2026_Vibration_Log.xlsx, sheet Readings].</w:t>
      </w:r>
    </w:p>
    <w:p>
      <w:pPr>
        <w:spacing w:before="240" w:after="60"/>
      </w:pPr>
      <w:r>
        <w:rPr>
          <w:b/>
          <w:color w:val="0B3C5D"/>
          <w:sz w:val="24"/>
        </w:rPr>
        <w:t>Evidence</w:t>
      </w:r>
    </w:p>
    <w:p>
      <w:pPr>
        <w:pStyle w:val="ListBullet"/>
        <w:spacing w:after="60"/>
      </w:pPr>
      <w:r>
        <w:t>Overall velocity reached 9.6 mm/s on 2026-08-27, which is 87% of the 11.0 mm/s trip limit [VIB-CDU2-2026_Vibration_Log.xlsx, sheet Limits].</w:t>
      </w:r>
    </w:p>
    <w:p>
      <w:pPr>
        <w:pStyle w:val="ListBullet"/>
        <w:spacing w:after="60"/>
      </w:pPr>
      <w:r>
        <w:t>The August seal failure on the same machine was attributed to Plan 52 pot level loss [INC-2026-0042_Seal_Failure_P-2104B.pdf, p.2].</w:t>
      </w:r>
    </w:p>
    <w:p>
      <w:pPr>
        <w:pStyle w:val="ListBullet"/>
        <w:spacing w:after="60"/>
      </w:pPr>
      <w:r>
        <w:t>HAZOP action H7-03 covering seal-pot low-level alarms remains OVERDUE [HAZOP-CDU2-2024_Node7_Action_Register.pdf, p.1].</w:t>
      </w:r>
    </w:p>
    <w:p>
      <w:pPr>
        <w:spacing w:before="240" w:after="60"/>
      </w:pPr>
      <w:r>
        <w:rPr>
          <w:b/>
          <w:color w:val="0B3C5D"/>
          <w:sz w:val="24"/>
        </w:rPr>
        <w:t>Blockers</w:t>
      </w:r>
    </w:p>
    <w:p>
      <w:pPr>
        <w:pStyle w:val="ListBullet"/>
        <w:spacing w:after="60"/>
      </w:pPr>
      <w:r>
        <w:t>Seal kit SK-682-2104-A3 shows zero on hand with a 45-day lead time [SPR-ROT-001_Spares_Inventory.xlsx, sheet Stock].</w:t>
      </w:r>
    </w:p>
    <w:p>
      <w:pPr>
        <w:pStyle w:val="ListBullet"/>
        <w:spacing w:after="60"/>
      </w:pPr>
      <w:r>
        <w:t>Hot work in CDU-2 is suspended until 2026-11-30 under circular SC-2026-11 [SC-2026-11_Hot_Work_Restriction_CDU2.pdf, p.1].</w:t>
      </w:r>
    </w:p>
    <w:p>
      <w:pPr>
        <w:pStyle w:val="ListBullet"/>
        <w:spacing w:after="60"/>
      </w:pPr>
      <w:r>
        <w:t>Two operators have lapsed competency for the changeover SOP [TRN-CDU2-MATRIX_Competency_Matrix.xlsx, sheet Matrix].</w:t>
      </w:r>
    </w:p>
    <w:p>
      <w:pPr>
        <w:spacing w:before="240" w:after="60"/>
      </w:pPr>
      <w:r>
        <w:rPr>
          <w:b/>
          <w:color w:val="0B3C5D"/>
          <w:sz w:val="24"/>
        </w:rPr>
        <w:t>Next steps</w:t>
      </w:r>
    </w:p>
    <w:p>
      <w:r>
        <w:t>Raise an expedite request against the seal kit, close H7-03 before restart, and run the changeover on P-2104A per SOP-CDU2-014 Rev 4 step 7 [SOP-CDU2-014_Rev4_Pump_Changeover.pdf, p.3].</w:t>
      </w:r>
    </w:p>
    <w:p>
      <w:pPr>
        <w:spacing w:before="360"/>
      </w:pPr>
      <w:r>
        <w:rPr>
          <w:b/>
          <w:color w:val="C04A1E"/>
          <w:sz w:val="22"/>
        </w:rPr>
        <w:t>PROVENANCE AND CHAIN OF CUSTODY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44"/>
        <w:gridCol w:w="7200"/>
      </w:tblGrid>
      <w:tr>
        <w:tc>
          <w:tcPr>
            <w:tcW w:type="dxa" w:w="4752"/>
          </w:tcPr>
          <w:p>
            <w:r>
              <w:rPr>
                <w:b/>
                <w:sz w:val="17"/>
              </w:rPr>
              <w:t>Generated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2026-09-03 20:14:13 (on-premise)</w:t>
            </w:r>
          </w:p>
        </w:tc>
      </w:tr>
      <w:tr>
        <w:tc>
          <w:tcPr>
            <w:tcW w:type="dxa" w:w="4752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qwen2.5:7b-instruct served locally at http://127.0.0.1:11434</w:t>
            </w:r>
          </w:p>
        </w:tc>
      </w:tr>
      <w:tr>
        <w:tc>
          <w:tcPr>
            <w:tcW w:type="dxa" w:w="4752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Can we return P-2104B to service, and what is blocking the seal upgrade?</w:t>
            </w:r>
          </w:p>
        </w:tc>
      </w:tr>
      <w:tr>
        <w:tc>
          <w:tcPr>
            <w:tcW w:type="dxa" w:w="4752"/>
          </w:tcPr>
          <w:p>
            <w:r>
              <w:rPr>
                <w:b/>
                <w:sz w:val="17"/>
              </w:rPr>
              <w:t>Sources cited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6 document reference(s)</w:t>
            </w:r>
          </w:p>
        </w:tc>
      </w:tr>
      <w:tr>
        <w:tc>
          <w:tcPr>
            <w:tcW w:type="dxa" w:w="4752"/>
          </w:tcPr>
          <w:p>
            <w:r>
              <w:rPr>
                <w:b/>
                <w:sz w:val="17"/>
              </w:rPr>
              <w:t>Audit chain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29 records, intact, head e827297318776cb6cd24bfcc90b12de4</w:t>
            </w:r>
          </w:p>
        </w:tc>
      </w:tr>
      <w:tr>
        <w:tc>
          <w:tcPr>
            <w:tcW w:type="dxa" w:w="4752"/>
          </w:tcPr>
          <w:p>
            <w:r>
              <w:rPr>
                <w:b/>
                <w:sz w:val="17"/>
              </w:rPr>
              <w:t>Session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4194ed5e9f57</w:t>
            </w:r>
          </w:p>
        </w:tc>
      </w:tr>
    </w:tbl>
    <w:p>
      <w:pPr>
        <w:spacing w:before="160"/>
      </w:pPr>
      <w:r>
        <w:rPr>
          <w:b/>
          <w:sz w:val="18"/>
        </w:rPr>
        <w:t>Sources</w:t>
      </w:r>
    </w:p>
    <w:p>
      <w:pPr>
        <w:pStyle w:val="ListNumber"/>
      </w:pPr>
      <w:r>
        <w:rPr>
          <w:sz w:val="17"/>
        </w:rPr>
        <w:t>VIB-CDU2-2026_Vibration_Log.xlsx, sheet Readings</w:t>
      </w:r>
    </w:p>
    <w:p>
      <w:pPr>
        <w:pStyle w:val="ListNumber"/>
      </w:pPr>
      <w:r>
        <w:rPr>
          <w:sz w:val="17"/>
        </w:rPr>
        <w:t>INC-2026-0042_Seal_Failure_P-2104B.pdf, p.2</w:t>
      </w:r>
    </w:p>
    <w:p>
      <w:pPr>
        <w:pStyle w:val="ListNumber"/>
      </w:pPr>
      <w:r>
        <w:rPr>
          <w:sz w:val="17"/>
        </w:rPr>
        <w:t>HAZOP-CDU2-2024_Node7_Action_Register.pdf, p.1</w:t>
      </w:r>
    </w:p>
    <w:p>
      <w:pPr>
        <w:pStyle w:val="ListNumber"/>
      </w:pPr>
      <w:r>
        <w:rPr>
          <w:sz w:val="17"/>
        </w:rPr>
        <w:t>SPR-ROT-001_Spares_Inventory.xlsx, sheet Stock</w:t>
      </w:r>
    </w:p>
    <w:p>
      <w:pPr>
        <w:pStyle w:val="ListNumber"/>
      </w:pPr>
      <w:r>
        <w:rPr>
          <w:sz w:val="17"/>
        </w:rPr>
        <w:t>SC-2026-11_Hot_Work_Restriction_CDU2.pdf, p.1</w:t>
      </w:r>
    </w:p>
    <w:p>
      <w:pPr>
        <w:pStyle w:val="ListNumber"/>
      </w:pPr>
      <w:r>
        <w:rPr>
          <w:sz w:val="17"/>
        </w:rPr>
        <w:t>SOP-CDU2-014_Rev4_Pump_Changeover.pdf, p.3</w:t>
      </w:r>
    </w:p>
    <w:p>
      <w:pPr>
        <w:spacing w:before="200"/>
        <w:jc w:val="left"/>
      </w:pPr>
      <w:r>
        <w:rPr>
          <w:i/>
          <w:color w:val="555F6B"/>
          <w:sz w:val="15"/>
        </w:rPr>
        <w:t>Generated on-premise by the Sovereign AI Workbench. No data left this machine. Source documents are synthetic prototype data.</w:t>
      </w:r>
    </w:p>
    <w:sectPr w:rsidR="00FC693F" w:rsidRPr="0006063C" w:rsidSect="00034616">
      <w:pgSz w:w="12240" w:h="15840"/>
      <w:pgMar w:top="1224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