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BFDBFE"/>
                <w:spacing w:val="80"/>
                <w:sz w:val="20"/>
                <w:szCs w:val="20"/>
              </w:rPr>
              <w:t xml:space="preserve">INTERVIEW PREPARATION GUIDE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Digital-Campaign ROI
Optimization Analytics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Project Explanation in Interview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2563EB" w:val="clear"/>
              </w:rPr>
              <w:t xml:space="preserve">  Meta Ads · Power BI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059669" w:val="clear"/>
              </w:rPr>
              <w:t xml:space="preserve">  Portfolio Project  </w:t>
            </w:r>
          </w:p>
        </w:tc>
      </w:tr>
    </w:tbl>
    <w:p>
      <w:pPr>
        <w:spacing w:before="2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Portfolio Project  ·  Data Analytics  ·  2025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1A56DB"/>
          <w:sz w:val="20"/>
          <w:szCs w:val="20"/>
          <w:u w:val="single"/>
        </w:rPr>
        <w:t xml:space="preserve">https://github.com/YashINDataYRJ</w:t>
      </w:r>
    </w:p>
    <w:p>
      <w:pPr>
        <w:pageBreakBefore/>
      </w:pP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1 — HIGH-LEVEL OVERVIEW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Suggested Opening Statement</w:t>
            </w:r>
          </w:p>
        </w:tc>
      </w:tr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928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"This is a Digital Campaign ROI &amp; Conversion Analytics Dashboard that tracks the effectiveness of ad campaigns across key KPIs such as impressions, clicks, engagements, conversions, and budget. It provides a complete funnel view—from awareness to engagement to purchases—along with demographic, geographic, and time-based insights."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2 — WALK THROUGH THE FUNNEL METRICS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Top-of-Funnel Performance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At the top of the funnel, the ads generated 216K impressions and 25.4K clicks, yielding a CTR of 11.76%. This is well above the industry benchmark of 1–2%, which signals the ad creatives and targeting were highly effective at capturing attention.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216,000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✔ Strong Reach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Clicks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25,400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✔ High Volume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CTR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11.76%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1–2%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✔ Excellent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13.56%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~3%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✔ Excellent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5.21%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2–5%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✔ Good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Purchase Rate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0.61%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~1%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⚠ Needs Work</w:t>
            </w:r>
          </w:p>
        </w:tc>
      </w:tr>
      <w:tr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Purchases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1,300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⚠ Low Funnel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FF5A1F" w:sz="12"/>
              <w:bottom w:val="none" w:sz="0"/>
              <w:right w:val="none" w:sz="0"/>
            </w:tcBorders>
            <w:shd w:fill="FFF3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5A1F"/>
                <w:sz w:val="20"/>
                <w:szCs w:val="20"/>
              </w:rPr>
              <w:t xml:space="preserve">KEY TAKEAWAY — Say this to the interviewer:</w:t>
            </w:r>
          </w:p>
        </w:tc>
      </w:tr>
      <w:tr>
        <w:tc>
          <w:tcPr>
            <w:tcW w:type="dxa" w:w="9360"/>
            <w:tcBorders>
              <w:top w:val="none" w:sz="0"/>
              <w:left w:val="thick" w:color="FF5A1F" w:sz="12"/>
              <w:bottom w:val="none" w:sz="0"/>
              <w:right w:val="none" w:sz="0"/>
            </w:tcBorders>
            <w:shd w:fill="FFF3E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"The ads are very effective at generating awareness and engagement, but the lower funnel is leaking heavily—likely due to landing page experience, audience mismatch, or weak conversion offers."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3 — BREAK DOWN BY AUDIENCE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Demographics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Females (43%) engage significantly more than males (22%); campaigns should lean into female-centric creatives.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The 18–30 age group drives the majority of interactions — this is your core audience.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Targeting should be refined toward young adult females for maximum ROI.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Geography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India and Brazil = highest engagement volume → ideal for reach-focused campaigns.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Germany and UK = higher purchasing power → ideal for premium/conversion campaigns.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Strategy: segment campaigns by volume vs. value objectives per geography.</w:t>
      </w: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4 — TIME &amp; SEASONALITY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Weekly engagement is consistent — no major drop-offs, showing sustained campaign interest.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Hourly peaks occur in the afternoon and evening (15:00–20:00 hrs) — schedule ad delivery here.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Calendar spikes on 19th–21st and 25th–27th suggest event-driven or promotion-linked surges.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0E9F6E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E9F6E"/>
                <w:sz w:val="22"/>
                <w:szCs w:val="22"/>
              </w:rPr>
              <w:t xml:space="preserve">Insight: Budget-weight ad delivery toward afternoon/evening slots for maximum impression efficiency.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5 — AD TYPE PERFORMANCE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1200"/>
        <w:gridCol w:w="1560"/>
        <w:gridCol w:w="1560"/>
        <w:gridCol w:w="1480"/>
      </w:tblGrid>
      <w:tr>
        <w:trPr>
          <w:tblHeader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Type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Conv. Rate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Eng. Rate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Carousel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48K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6K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11.7%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5.1%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13.4%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Image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51K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6K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11.7%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4.9%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13.5%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Stories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72K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8K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11.8%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5.2%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13.6%</w:t>
            </w:r>
          </w:p>
        </w:tc>
      </w:tr>
      <w:tr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Video ★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46K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5K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11.9%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5.2%</w:t>
            </w:r>
          </w:p>
        </w:tc>
        <w:tc>
          <w:tcPr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13.7%</w:t>
            </w:r>
          </w:p>
        </w:tc>
      </w:tr>
    </w:tbl>
    <w:p>
      <w:pPr>
        <w:spacing w:before="10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Video ads have the highest CTR, Conversion Rate, and Engagement Rate — best overall performer.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Stories ads deliver strong impressions and high engagement — second priority.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Shift budget allocation toward Video and Stories for optimal ROI per dollar spent.</w:t>
      </w: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STEP 6 — WRAP UP WITH INSIGHTS &amp; RECOMMENDATIONS</w:t>
      </w:r>
    </w:p>
    <w:p>
      <w:pPr>
        <w:spacing w:before="10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Summary — What to say to close your interview answer: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Strong awareness &amp; engagement (CTR 11.76%, ER 13.56%), but purchase funnel efficiency is low (0.61%) → optimize landing pages, retargeting, and offers.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Core target audience = young females, 18–30, in India &amp; Brazil → refine campaign targeting accordingly.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Best-performing formats = Video and Stories → increase budget allocation here.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Peak engagement times = afternoons &amp; evenings → schedule ad delivery during 15:00–20:00.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Geographic strategy: volume-focus in India/Brazil, value/conversion-focus in Germany/UK.</w:t>
      </w:r>
    </w:p>
    <w:p>
      <w:pPr>
        <w:spacing w:before="12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0E9F6E" w:sz="12"/>
              <w:bottom w:val="none" w:sz="0"/>
              <w:right w:val="none" w:sz="0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928"/>
                <w:sz w:val="22"/>
                <w:szCs w:val="22"/>
              </w:rPr>
              <w:t xml:space="preserve">"If I were leading this project, I would focus on conversion optimization and retargeting strategies to capture users who engage but do not purchase — this is the highest-leverage opportunity in the funnel."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GitHub: https://github.com/YashINDataYRJ  |  LinkedIn: https://www.linkedin.com/in/yashraj33/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Digital-Campaign-ROI-Optimization-Conversion-Analytics</w:t>
    </w:r>
    <w:r>
      <w:rPr>
        <w:rFonts w:ascii="Arial" w:cs="Arial" w:eastAsia="Arial" w:hAnsi="Arial"/>
        <w:color w:val="6B7280"/>
        <w:sz w:val="18"/>
        <w:szCs w:val="18"/>
      </w:rPr>
      <w:t xml:space="preserve">	Interview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1A56DB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  <w:rPr>
        <w:rFonts w:ascii="Arial" w:cs="Arial" w:eastAsia="Arial" w:hAnsi="Arial"/>
        <w:color w:val="0E9F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2026-03-09T15:20:23.423Z</dcterms:created>
  <dcterms:modified xsi:type="dcterms:W3CDTF">2026-03-09T15:20:23.424Z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