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p>
    <w:tbl>
      <w:tblPr>
        <w:tblW w:type="dxa" w:w="10080"/>
        <w:tblBorders>
          <w:top w:val="none" w:sz="0"/>
          <w:left w:val="none" w:sz="0"/>
          <w:bottom w:val="none" w:sz="0"/>
          <w:right w:val="none" w:sz="0"/>
          <w:insideH w:val="single" w:color="auto" w:sz="4"/>
          <w:insideV w:val="single" w:color="auto" w:sz="4"/>
        </w:tblBorders>
      </w:tblPr>
      <w:tblGrid>
        <w:gridCol w:w="10080"/>
      </w:tblGrid>
      <w:tr>
        <w:tc>
          <w:tcPr>
            <w:tcW w:type="dxa" w:w="10080"/>
            <w:tcBorders>
              <w:top w:val="none" w:sz="0"/>
              <w:left w:val="none" w:sz="0"/>
              <w:bottom w:val="none" w:sz="0"/>
              <w:right w:val="none" w:sz="0"/>
            </w:tcBorders>
            <w:shd w:fill="065F46" w:val="clear"/>
            <w:tcMar>
              <w:top w:type="dxa" w:w="400"/>
              <w:left w:type="dxa" w:w="400"/>
              <w:bottom w:type="dxa" w:w="400"/>
              <w:right w:type="dxa" w:w="400"/>
            </w:tcMar>
          </w:tcPr>
          <w:p>
            <w:pPr>
              <w:spacing w:before="0" w:after="120"/>
              <w:jc w:val="center"/>
            </w:pPr>
            <w:r>
              <w:rPr>
                <w:rFonts w:ascii="Arial" w:cs="Arial" w:eastAsia="Arial" w:hAnsi="Arial"/>
                <w:color w:val="A7F3D0"/>
                <w:spacing w:val="80"/>
                <w:sz w:val="20"/>
                <w:szCs w:val="20"/>
              </w:rPr>
              <w:t xml:space="preserve">INTERVIEW PREPARATION GUIDE</w:t>
            </w:r>
          </w:p>
          <w:p>
            <w:pPr>
              <w:spacing w:before="0" w:after="160"/>
              <w:jc w:val="center"/>
            </w:pPr>
            <w:r>
              <w:rPr>
                <w:rFonts w:ascii="Arial" w:cs="Arial" w:eastAsia="Arial" w:hAnsi="Arial"/>
                <w:b/>
                <w:bCs/>
                <w:color w:val="FFFFFF"/>
                <w:sz w:val="52"/>
                <w:szCs w:val="52"/>
              </w:rPr>
              <w:t xml:space="preserve">Revenue Concentration &amp;
Demand Optimization</w:t>
            </w:r>
          </w:p>
          <w:p>
            <w:pPr>
              <w:spacing w:before="0" w:after="200"/>
              <w:jc w:val="center"/>
            </w:pPr>
            <w:r>
              <w:rPr>
                <w:rFonts w:ascii="Arial" w:cs="Arial" w:eastAsia="Arial" w:hAnsi="Arial"/>
                <w:i/>
                <w:iCs/>
                <w:color w:val="A7F3D0"/>
                <w:sz w:val="26"/>
                <w:szCs w:val="26"/>
              </w:rPr>
              <w:t xml:space="preserve">Project Explanation in Interview</w:t>
            </w:r>
          </w:p>
          <w:p>
            <w:pPr>
              <w:jc w:val="center"/>
            </w:pPr>
            <w:r>
              <w:rPr>
                <w:rFonts w:ascii="Arial" w:cs="Arial" w:eastAsia="Arial" w:hAnsi="Arial"/>
                <w:color w:val="FFFFFF"/>
                <w:sz w:val="20"/>
                <w:szCs w:val="20"/>
              </w:rPr>
              <w:t xml:space="preserve">  SQL Analytics · Power BI  </w:t>
            </w:r>
            <w:r>
              <w:t xml:space="preserve">   </w:t>
            </w:r>
            <w:r>
              <w:rPr>
                <w:rFonts w:ascii="Arial" w:cs="Arial" w:eastAsia="Arial" w:hAnsi="Arial"/>
                <w:color w:val="FFFFFF"/>
                <w:sz w:val="20"/>
                <w:szCs w:val="20"/>
              </w:rPr>
              <w:t xml:space="preserve">  Portfolio Project  </w:t>
            </w:r>
          </w:p>
        </w:tc>
      </w:tr>
    </w:tbl>
    <w:p>
      <w:pPr>
        <w:spacing w:before="200" w:after="0"/>
        <w:jc w:val="center"/>
      </w:pPr>
      <w:r>
        <w:rPr>
          <w:rFonts w:ascii="Arial" w:cs="Arial" w:eastAsia="Arial" w:hAnsi="Arial"/>
          <w:color w:val="4B5563"/>
          <w:sz w:val="20"/>
          <w:szCs w:val="20"/>
        </w:rPr>
        <w:t xml:space="preserve">Portfolio Project  ·  Business Analysis &amp; SQL Analytics  ·  2024</w:t>
      </w:r>
    </w:p>
    <w:p>
      <w:pPr>
        <w:spacing w:before="80" w:after="0"/>
        <w:jc w:val="center"/>
      </w:pPr>
      <w:r>
        <w:rPr>
          <w:rFonts w:ascii="Arial" w:cs="Arial" w:eastAsia="Arial" w:hAnsi="Arial"/>
          <w:color w:val="065F46"/>
          <w:sz w:val="20"/>
          <w:szCs w:val="20"/>
          <w:u w:val="single"/>
        </w:rPr>
        <w:t xml:space="preserve">https://github.com/YashINDataYRJ</w:t>
      </w:r>
    </w:p>
    <w:p>
      <w:pPr>
        <w:pageBreakBefore/>
      </w:pPr>
    </w:p>
    <w:p>
      <w:pPr>
        <w:pBdr>
          <w:bottom w:val="single" w:color="065F46" w:sz="6" w:space="2"/>
        </w:pBdr>
        <w:spacing w:before="320" w:after="100"/>
      </w:pPr>
      <w:r>
        <w:rPr>
          <w:rFonts w:ascii="Arial" w:cs="Arial" w:eastAsia="Arial" w:hAnsi="Arial"/>
          <w:b/>
          <w:bCs/>
          <w:color w:val="065F46"/>
          <w:spacing w:val="40"/>
          <w:sz w:val="26"/>
          <w:szCs w:val="26"/>
        </w:rPr>
        <w:t xml:space="preserve">STEP 1 — HIGH-LEVEL OVERVIEW</w:t>
      </w:r>
    </w:p>
    <w:tbl>
      <w:tblPr>
        <w:tblW w:type="dxa" w:w="10080"/>
        <w:tblBorders>
          <w:top w:val="none" w:sz="0"/>
          <w:left w:val="none" w:sz="0"/>
          <w:bottom w:val="none" w:sz="0"/>
          <w:right w:val="none" w:sz="0"/>
          <w:insideH w:val="single" w:color="auto" w:sz="4"/>
          <w:insideV w:val="single" w:color="auto" w:sz="4"/>
        </w:tblBorders>
      </w:tblPr>
      <w:tblGrid>
        <w:gridCol w:w="10080"/>
      </w:tblGrid>
      <w:tr>
        <w:tc>
          <w:tcPr>
            <w:tcW w:type="dxa" w:w="10080"/>
            <w:tcBorders>
              <w:top w:val="none" w:sz="0"/>
              <w:left w:val="thick" w:color="065F46" w:sz="12"/>
              <w:bottom w:val="none" w:sz="0"/>
              <w:right w:val="none" w:sz="0"/>
            </w:tcBorders>
            <w:shd w:fill="ECFDF5" w:val="clear"/>
            <w:tcMar>
              <w:top w:type="dxa" w:w="100"/>
              <w:left w:type="dxa" w:w="200"/>
              <w:bottom w:type="dxa" w:w="100"/>
              <w:right w:type="dxa" w:w="120"/>
            </w:tcMar>
          </w:tcPr>
          <w:p>
            <w:r>
              <w:rPr>
                <w:rFonts w:ascii="Arial" w:cs="Arial" w:eastAsia="Arial" w:hAnsi="Arial"/>
                <w:b/>
                <w:bCs/>
                <w:i w:val="false"/>
                <w:iCs w:val="false"/>
                <w:color w:val="065F46"/>
                <w:sz w:val="20"/>
                <w:szCs w:val="20"/>
              </w:rPr>
              <w:t xml:space="preserve">Suggested Opening Statement</w:t>
            </w:r>
          </w:p>
        </w:tc>
      </w:tr>
      <w:tr>
        <w:tc>
          <w:tcPr>
            <w:tcW w:type="dxa" w:w="10080"/>
            <w:tcBorders>
              <w:top w:val="none" w:sz="0"/>
              <w:left w:val="thick" w:color="065F46" w:sz="12"/>
              <w:bottom w:val="none" w:sz="0"/>
              <w:right w:val="none" w:sz="0"/>
            </w:tcBorders>
            <w:shd w:fill="ECFDF5" w:val="clear"/>
            <w:tcMar>
              <w:top w:type="dxa" w:w="100"/>
              <w:left w:type="dxa" w:w="200"/>
              <w:bottom w:type="dxa" w:w="100"/>
              <w:right w:type="dxa" w:w="120"/>
            </w:tcMar>
          </w:tcPr>
          <w:p>
            <w:r>
              <w:rPr>
                <w:rFonts w:ascii="Arial" w:cs="Arial" w:eastAsia="Arial" w:hAnsi="Arial"/>
                <w:b w:val="false"/>
                <w:bCs w:val="false"/>
                <w:i w:val="false"/>
                <w:iCs w:val="false"/>
                <w:color w:val="0F1A0F"/>
                <w:sz w:val="22"/>
                <w:szCs w:val="22"/>
              </w:rPr>
              <w:t xml:space="preserve"/>
            </w:r>
          </w:p>
        </w:tc>
      </w:tr>
      <w:tr>
        <w:tc>
          <w:tcPr>
            <w:tcW w:type="dxa" w:w="10080"/>
            <w:tcBorders>
              <w:top w:val="none" w:sz="0"/>
              <w:left w:val="thick" w:color="065F46" w:sz="12"/>
              <w:bottom w:val="none" w:sz="0"/>
              <w:right w:val="none" w:sz="0"/>
            </w:tcBorders>
            <w:shd w:fill="ECFDF5" w:val="clear"/>
            <w:tcMar>
              <w:top w:type="dxa" w:w="100"/>
              <w:left w:type="dxa" w:w="200"/>
              <w:bottom w:type="dxa" w:w="100"/>
              <w:right w:type="dxa" w:w="120"/>
            </w:tcMar>
          </w:tcPr>
          <w:p>
            <w:r>
              <w:rPr>
                <w:rFonts w:ascii="Arial" w:cs="Arial" w:eastAsia="Arial" w:hAnsi="Arial"/>
                <w:b w:val="false"/>
                <w:bCs w:val="false"/>
                <w:i/>
                <w:iCs/>
                <w:color w:val="0F1A0F"/>
                <w:sz w:val="22"/>
                <w:szCs w:val="22"/>
              </w:rPr>
              <w:t xml:space="preserve">"This project is an end-to-end SQL analytics and business intelligence engagement on a restaurant's order data. I analyzed 21K+ customer orders, calculated $147.14K in revenue and $817.86K in profit, identified a 27% revenue concentration risk in the top product lines, and delivered recommendations for menu optimization, demand forecasting, and pricing strategy — all visualized in an interactive Power BI dashboard."</w:t>
            </w:r>
          </w:p>
        </w:tc>
      </w:tr>
    </w:tbl>
    <w:p>
      <w:pPr>
        <w:pBdr>
          <w:bottom w:val="single" w:color="065F46" w:sz="6" w:space="2"/>
        </w:pBdr>
        <w:spacing w:before="320" w:after="100"/>
      </w:pPr>
      <w:r>
        <w:rPr>
          <w:rFonts w:ascii="Arial" w:cs="Arial" w:eastAsia="Arial" w:hAnsi="Arial"/>
          <w:b/>
          <w:bCs/>
          <w:color w:val="065F46"/>
          <w:spacing w:val="40"/>
          <w:sz w:val="26"/>
          <w:szCs w:val="26"/>
        </w:rPr>
        <w:t xml:space="preserve">STEP 2 — WALK THROUGH THE PROBLEM &amp; DATA</w:t>
      </w:r>
    </w:p>
    <w:p>
      <w:pPr>
        <w:spacing w:before="200" w:after="60"/>
      </w:pPr>
      <w:r>
        <w:rPr>
          <w:rFonts w:ascii="Arial" w:cs="Arial" w:eastAsia="Arial" w:hAnsi="Arial"/>
          <w:b/>
          <w:bCs/>
          <w:color w:val="D97706"/>
          <w:sz w:val="24"/>
          <w:szCs w:val="24"/>
        </w:rPr>
        <w:t xml:space="preserve">The Business Problem</w:t>
      </w:r>
    </w:p>
    <w:p>
      <w:pPr>
        <w:spacing w:before="60" w:after="60"/>
      </w:pPr>
      <w:r>
        <w:rPr>
          <w:rFonts w:ascii="Arial" w:cs="Arial" w:eastAsia="Arial" w:hAnsi="Arial"/>
          <w:color w:val="0F1A0F"/>
          <w:sz w:val="22"/>
          <w:szCs w:val="22"/>
        </w:rPr>
        <w:t xml:space="preserve">The business had no structured view of which products were driving revenue, when demand peaked, or how exposed they were to concentration risk. Without this visibility, pricing decisions were reactive, menu planning was intuition-driven, and peak-hour staffing was inconsistent.</w:t>
      </w:r>
    </w:p>
    <w:p>
      <w:pPr>
        <w:spacing w:before="60" w:after="60"/>
      </w:pPr>
      <w:r>
        <w:rPr>
          <w:rFonts w:ascii="Arial" w:cs="Arial" w:eastAsia="Arial" w:hAnsi="Arial"/>
          <w:color w:val="0F1A0F"/>
          <w:sz w:val="22"/>
          <w:szCs w:val="22"/>
        </w:rPr>
        <w:t xml:space="preserve">Three core questions needed answering:</w:t>
      </w:r>
    </w:p>
    <w:p>
      <w:pPr>
        <w:spacing w:before="8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none" w:sz="0"/>
              <w:left w:val="none" w:sz="0"/>
              <w:bottom w:val="none" w:sz="0"/>
              <w:right w:val="none" w:sz="0"/>
            </w:tcBorders>
            <w:shd w:fill="065F4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Question</w:t>
            </w:r>
          </w:p>
        </w:tc>
        <w:tc>
          <w:tcPr>
            <w:tcW w:type="dxa" w:w="5040"/>
            <w:tcBorders>
              <w:top w:val="none" w:sz="0"/>
              <w:left w:val="none" w:sz="0"/>
              <w:bottom w:val="none" w:sz="0"/>
              <w:right w:val="none" w:sz="0"/>
            </w:tcBorders>
            <w:shd w:fill="065F4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It Matters</w:t>
            </w:r>
          </w:p>
        </w:tc>
      </w:tr>
      <w:tr>
        <w:tc>
          <w:tcPr>
            <w:tcW w:type="dxa" w:w="5040"/>
            <w:tcBorders>
              <w:top w:val="single" w:color="A7F3D0" w:sz="1"/>
              <w:left w:val="none" w:sz="0"/>
              <w:bottom w:val="single" w:color="A7F3D0" w:sz="1"/>
              <w:right w:val="none" w:sz="0"/>
            </w:tcBorders>
            <w:shd w:fill="F0FDF4" w:val="clear"/>
            <w:tcMar>
              <w:top w:type="dxa" w:w="80"/>
              <w:left w:type="dxa" w:w="120"/>
              <w:bottom w:type="dxa" w:w="80"/>
              <w:right w:type="dxa" w:w="120"/>
            </w:tcMar>
          </w:tcPr>
          <w:p>
            <w:pPr>
              <w:jc w:val="left"/>
            </w:pPr>
            <w:r>
              <w:rPr>
                <w:rFonts w:ascii="Arial" w:cs="Arial" w:eastAsia="Arial" w:hAnsi="Arial"/>
                <w:b/>
                <w:bCs/>
                <w:color w:val="0F1A0F"/>
                <w:sz w:val="20"/>
                <w:szCs w:val="20"/>
              </w:rPr>
              <w:t xml:space="preserve">Which products generate the most revenue?</w:t>
            </w:r>
          </w:p>
        </w:tc>
        <w:tc>
          <w:tcPr>
            <w:tcW w:type="dxa" w:w="5040"/>
            <w:tcBorders>
              <w:top w:val="single" w:color="A7F3D0" w:sz="1"/>
              <w:left w:val="none" w:sz="0"/>
              <w:bottom w:val="single" w:color="A7F3D0" w:sz="1"/>
              <w:right w:val="none" w:sz="0"/>
            </w:tcBorders>
            <w:shd w:fill="F0FDF4" w:val="clear"/>
            <w:tcMar>
              <w:top w:type="dxa" w:w="80"/>
              <w:left w:type="dxa" w:w="120"/>
              <w:bottom w:type="dxa" w:w="80"/>
              <w:right w:type="dxa" w:w="120"/>
            </w:tcMar>
          </w:tcPr>
          <w:p>
            <w:pPr>
              <w:jc w:val="center"/>
            </w:pPr>
            <w:r>
              <w:rPr>
                <w:rFonts w:ascii="Arial" w:cs="Arial" w:eastAsia="Arial" w:hAnsi="Arial"/>
                <w:b w:val="false"/>
                <w:bCs w:val="false"/>
                <w:color w:val="0F1A0F"/>
                <w:sz w:val="20"/>
                <w:szCs w:val="20"/>
              </w:rPr>
              <w:t xml:space="preserve">Identifies concentration risk and pricing leverage</w:t>
            </w:r>
          </w:p>
        </w:tc>
      </w:tr>
      <w:tr>
        <w:tc>
          <w:tcPr>
            <w:tcW w:type="dxa" w:w="5040"/>
            <w:tcBorders>
              <w:top w:val="single" w:color="A7F3D0" w:sz="1"/>
              <w:left w:val="none" w:sz="0"/>
              <w:bottom w:val="single" w:color="A7F3D0" w:sz="1"/>
              <w:right w:val="none" w:sz="0"/>
            </w:tcBorders>
            <w:shd w:fill="FFFFFF" w:val="clear"/>
            <w:tcMar>
              <w:top w:type="dxa" w:w="80"/>
              <w:left w:type="dxa" w:w="120"/>
              <w:bottom w:type="dxa" w:w="80"/>
              <w:right w:type="dxa" w:w="120"/>
            </w:tcMar>
          </w:tcPr>
          <w:p>
            <w:pPr>
              <w:jc w:val="left"/>
            </w:pPr>
            <w:r>
              <w:rPr>
                <w:rFonts w:ascii="Arial" w:cs="Arial" w:eastAsia="Arial" w:hAnsi="Arial"/>
                <w:b/>
                <w:bCs/>
                <w:color w:val="0F1A0F"/>
                <w:sz w:val="20"/>
                <w:szCs w:val="20"/>
              </w:rPr>
              <w:t xml:space="preserve">When does demand peak — by hour and day?</w:t>
            </w:r>
          </w:p>
        </w:tc>
        <w:tc>
          <w:tcPr>
            <w:tcW w:type="dxa" w:w="5040"/>
            <w:tcBorders>
              <w:top w:val="single" w:color="A7F3D0" w:sz="1"/>
              <w:left w:val="none" w:sz="0"/>
              <w:bottom w:val="single" w:color="A7F3D0" w:sz="1"/>
              <w:right w:val="none" w:sz="0"/>
            </w:tcBorders>
            <w:shd w:fill="FFFFFF" w:val="clear"/>
            <w:tcMar>
              <w:top w:type="dxa" w:w="80"/>
              <w:left w:type="dxa" w:w="120"/>
              <w:bottom w:type="dxa" w:w="80"/>
              <w:right w:type="dxa" w:w="120"/>
            </w:tcMar>
          </w:tcPr>
          <w:p>
            <w:pPr>
              <w:jc w:val="center"/>
            </w:pPr>
            <w:r>
              <w:rPr>
                <w:rFonts w:ascii="Arial" w:cs="Arial" w:eastAsia="Arial" w:hAnsi="Arial"/>
                <w:b w:val="false"/>
                <w:bCs w:val="false"/>
                <w:color w:val="0F1A0F"/>
                <w:sz w:val="20"/>
                <w:szCs w:val="20"/>
              </w:rPr>
              <w:t xml:space="preserve">Enables smarter staffing, promotions, and inventory</w:t>
            </w:r>
          </w:p>
        </w:tc>
      </w:tr>
      <w:tr>
        <w:tc>
          <w:tcPr>
            <w:tcW w:type="dxa" w:w="5040"/>
            <w:tcBorders>
              <w:top w:val="single" w:color="A7F3D0" w:sz="1"/>
              <w:left w:val="none" w:sz="0"/>
              <w:bottom w:val="single" w:color="A7F3D0" w:sz="1"/>
              <w:right w:val="none" w:sz="0"/>
            </w:tcBorders>
            <w:shd w:fill="F0FDF4" w:val="clear"/>
            <w:tcMar>
              <w:top w:type="dxa" w:w="80"/>
              <w:left w:type="dxa" w:w="120"/>
              <w:bottom w:type="dxa" w:w="80"/>
              <w:right w:type="dxa" w:w="120"/>
            </w:tcMar>
          </w:tcPr>
          <w:p>
            <w:pPr>
              <w:jc w:val="left"/>
            </w:pPr>
            <w:r>
              <w:rPr>
                <w:rFonts w:ascii="Arial" w:cs="Arial" w:eastAsia="Arial" w:hAnsi="Arial"/>
                <w:b/>
                <w:bCs/>
                <w:color w:val="0F1A0F"/>
                <w:sz w:val="20"/>
                <w:szCs w:val="20"/>
              </w:rPr>
              <w:t xml:space="preserve">How concentrated is revenue across the menu?</w:t>
            </w:r>
          </w:p>
        </w:tc>
        <w:tc>
          <w:tcPr>
            <w:tcW w:type="dxa" w:w="5040"/>
            <w:tcBorders>
              <w:top w:val="single" w:color="A7F3D0" w:sz="1"/>
              <w:left w:val="none" w:sz="0"/>
              <w:bottom w:val="single" w:color="A7F3D0" w:sz="1"/>
              <w:right w:val="none" w:sz="0"/>
            </w:tcBorders>
            <w:shd w:fill="F0FDF4" w:val="clear"/>
            <w:tcMar>
              <w:top w:type="dxa" w:w="80"/>
              <w:left w:type="dxa" w:w="120"/>
              <w:bottom w:type="dxa" w:w="80"/>
              <w:right w:type="dxa" w:w="120"/>
            </w:tcMar>
          </w:tcPr>
          <w:p>
            <w:pPr>
              <w:jc w:val="center"/>
            </w:pPr>
            <w:r>
              <w:rPr>
                <w:rFonts w:ascii="Arial" w:cs="Arial" w:eastAsia="Arial" w:hAnsi="Arial"/>
                <w:b w:val="false"/>
                <w:bCs w:val="false"/>
                <w:color w:val="0F1A0F"/>
                <w:sz w:val="20"/>
                <w:szCs w:val="20"/>
              </w:rPr>
              <w:t xml:space="preserve">Reveals over-reliance on a small number of items</w:t>
            </w:r>
          </w:p>
        </w:tc>
      </w:tr>
    </w:tbl>
    <w:p>
      <w:pPr>
        <w:spacing w:before="120" w:after="0"/>
      </w:pPr>
    </w:p>
    <w:tbl>
      <w:tblPr>
        <w:tblW w:type="dxa" w:w="10080"/>
        <w:tblBorders>
          <w:top w:val="none" w:sz="0"/>
          <w:left w:val="none" w:sz="0"/>
          <w:bottom w:val="none" w:sz="0"/>
          <w:right w:val="none" w:sz="0"/>
          <w:insideH w:val="single" w:color="auto" w:sz="4"/>
          <w:insideV w:val="single" w:color="auto" w:sz="4"/>
        </w:tblBorders>
      </w:tblPr>
      <w:tblGrid>
        <w:gridCol w:w="10080"/>
      </w:tblGrid>
      <w:tr>
        <w:tc>
          <w:tcPr>
            <w:tcW w:type="dxa" w:w="10080"/>
            <w:tcBorders>
              <w:top w:val="none" w:sz="0"/>
              <w:left w:val="thick" w:color="D97706" w:sz="12"/>
              <w:bottom w:val="none" w:sz="0"/>
              <w:right w:val="none" w:sz="0"/>
            </w:tcBorders>
            <w:shd w:fill="FFFBEB" w:val="clear"/>
            <w:tcMar>
              <w:top w:type="dxa" w:w="100"/>
              <w:left w:type="dxa" w:w="200"/>
              <w:bottom w:type="dxa" w:w="100"/>
              <w:right w:type="dxa" w:w="120"/>
            </w:tcMar>
          </w:tcPr>
          <w:p>
            <w:r>
              <w:rPr>
                <w:rFonts w:ascii="Arial" w:cs="Arial" w:eastAsia="Arial" w:hAnsi="Arial"/>
                <w:b/>
                <w:bCs/>
                <w:i w:val="false"/>
                <w:iCs w:val="false"/>
                <w:color w:val="D97706"/>
                <w:sz w:val="20"/>
                <w:szCs w:val="20"/>
              </w:rPr>
              <w:t xml:space="preserve">KEY NUMBERS — Lead with these:</w:t>
            </w:r>
          </w:p>
        </w:tc>
      </w:tr>
      <w:tr>
        <w:tc>
          <w:tcPr>
            <w:tcW w:type="dxa" w:w="10080"/>
            <w:tcBorders>
              <w:top w:val="none" w:sz="0"/>
              <w:left w:val="thick" w:color="D97706" w:sz="12"/>
              <w:bottom w:val="none" w:sz="0"/>
              <w:right w:val="none" w:sz="0"/>
            </w:tcBorders>
            <w:shd w:fill="FFFBEB" w:val="clear"/>
            <w:tcMar>
              <w:top w:type="dxa" w:w="100"/>
              <w:left w:type="dxa" w:w="200"/>
              <w:bottom w:type="dxa" w:w="100"/>
              <w:right w:type="dxa" w:w="120"/>
            </w:tcMar>
          </w:tcPr>
          <w:p>
            <w:r>
              <w:rPr>
                <w:rFonts w:ascii="Arial" w:cs="Arial" w:eastAsia="Arial" w:hAnsi="Arial"/>
                <w:b w:val="false"/>
                <w:bCs w:val="false"/>
                <w:i w:val="false"/>
                <w:iCs w:val="false"/>
                <w:color w:val="0F1A0F"/>
                <w:sz w:val="22"/>
                <w:szCs w:val="22"/>
              </w:rPr>
              <w:t xml:space="preserve">$147.14K total revenue  ·  $817.86K total profit  ·  21K+ orders analyzed  ·  138+ average daily sales  ·  27% revenue concentration in top products</w:t>
            </w:r>
          </w:p>
        </w:tc>
      </w:tr>
    </w:tbl>
    <w:p>
      <w:pPr>
        <w:pBdr>
          <w:bottom w:val="single" w:color="065F46" w:sz="6" w:space="2"/>
        </w:pBdr>
        <w:spacing w:before="320" w:after="100"/>
      </w:pPr>
      <w:r>
        <w:rPr>
          <w:rFonts w:ascii="Arial" w:cs="Arial" w:eastAsia="Arial" w:hAnsi="Arial"/>
          <w:b/>
          <w:bCs/>
          <w:color w:val="065F46"/>
          <w:spacing w:val="40"/>
          <w:sz w:val="26"/>
          <w:szCs w:val="26"/>
        </w:rPr>
        <w:t xml:space="preserve">STEP 3 — METHODOLOGY</w:t>
      </w:r>
    </w:p>
    <w:p>
      <w:pPr>
        <w:spacing w:before="200" w:after="60"/>
      </w:pPr>
      <w:r>
        <w:rPr>
          <w:rFonts w:ascii="Arial" w:cs="Arial" w:eastAsia="Arial" w:hAnsi="Arial"/>
          <w:b/>
          <w:bCs/>
          <w:color w:val="D97706"/>
          <w:sz w:val="24"/>
          <w:szCs w:val="24"/>
        </w:rPr>
        <w:t xml:space="preserve">SQL Analytics Workflow</w:t>
      </w:r>
    </w:p>
    <w:p>
      <w:pPr>
        <w:pStyle w:val="ListParagraph"/>
        <w:numPr>
          <w:ilvl w:val="0"/>
          <w:numId w:val="2"/>
        </w:numPr>
        <w:spacing w:before="40" w:after="40"/>
      </w:pPr>
      <w:r>
        <w:rPr>
          <w:rFonts w:ascii="Arial" w:cs="Arial" w:eastAsia="Arial" w:hAnsi="Arial"/>
          <w:color w:val="0F1A0F"/>
          <w:sz w:val="22"/>
          <w:szCs w:val="22"/>
        </w:rPr>
        <w:t xml:space="preserve">Connected to the restaurant order database and profiled all 21K+ rows for data quality, nulls, and duplicates.</w:t>
      </w:r>
    </w:p>
    <w:p>
      <w:pPr>
        <w:pStyle w:val="ListParagraph"/>
        <w:numPr>
          <w:ilvl w:val="0"/>
          <w:numId w:val="2"/>
        </w:numPr>
        <w:spacing w:before="40" w:after="40"/>
      </w:pPr>
      <w:r>
        <w:rPr>
          <w:rFonts w:ascii="Arial" w:cs="Arial" w:eastAsia="Arial" w:hAnsi="Arial"/>
          <w:color w:val="0F1A0F"/>
          <w:sz w:val="22"/>
          <w:szCs w:val="22"/>
        </w:rPr>
        <w:t xml:space="preserve">Wrote SQL queries to calculate total revenue, profit, average daily sales, and order volume by product, time period, and category.</w:t>
      </w:r>
    </w:p>
    <w:p>
      <w:pPr>
        <w:pStyle w:val="ListParagraph"/>
        <w:numPr>
          <w:ilvl w:val="0"/>
          <w:numId w:val="2"/>
        </w:numPr>
        <w:spacing w:before="40" w:after="40"/>
      </w:pPr>
      <w:r>
        <w:rPr>
          <w:rFonts w:ascii="Arial" w:cs="Arial" w:eastAsia="Arial" w:hAnsi="Arial"/>
          <w:color w:val="0F1A0F"/>
          <w:sz w:val="22"/>
          <w:szCs w:val="22"/>
        </w:rPr>
        <w:t xml:space="preserve">Identified revenue concentration using a Pareto-style analysis — top products contributing to 27% of total revenue.</w:t>
      </w:r>
    </w:p>
    <w:p>
      <w:pPr>
        <w:pStyle w:val="ListParagraph"/>
        <w:numPr>
          <w:ilvl w:val="0"/>
          <w:numId w:val="2"/>
        </w:numPr>
        <w:spacing w:before="40" w:after="40"/>
      </w:pPr>
      <w:r>
        <w:rPr>
          <w:rFonts w:ascii="Arial" w:cs="Arial" w:eastAsia="Arial" w:hAnsi="Arial"/>
          <w:color w:val="0F1A0F"/>
          <w:sz w:val="22"/>
          <w:szCs w:val="22"/>
        </w:rPr>
        <w:t xml:space="preserve">Extracted time-series data: orders by hour, day of week, and month to identify demand peaks.</w:t>
      </w:r>
    </w:p>
    <w:p>
      <w:pPr>
        <w:pStyle w:val="ListParagraph"/>
        <w:numPr>
          <w:ilvl w:val="0"/>
          <w:numId w:val="2"/>
        </w:numPr>
        <w:spacing w:before="40" w:after="40"/>
      </w:pPr>
      <w:r>
        <w:rPr>
          <w:rFonts w:ascii="Arial" w:cs="Arial" w:eastAsia="Arial" w:hAnsi="Arial"/>
          <w:color w:val="0F1A0F"/>
          <w:sz w:val="22"/>
          <w:szCs w:val="22"/>
        </w:rPr>
        <w:t xml:space="preserve">Exported structured query outputs to Power BI for dashboard visualisation and interactive analysis.</w:t>
      </w:r>
    </w:p>
    <w:p>
      <w:pPr>
        <w:pStyle w:val="ListParagraph"/>
        <w:numPr>
          <w:ilvl w:val="0"/>
          <w:numId w:val="2"/>
        </w:numPr>
        <w:spacing w:before="40" w:after="40"/>
      </w:pPr>
      <w:r>
        <w:rPr>
          <w:rFonts w:ascii="Arial" w:cs="Arial" w:eastAsia="Arial" w:hAnsi="Arial"/>
          <w:color w:val="0F1A0F"/>
          <w:sz w:val="22"/>
          <w:szCs w:val="22"/>
        </w:rPr>
        <w:t xml:space="preserve">Synthesized findings into data-driven recommendations for menu optimization, pricing, and demand forecasting.</w:t>
      </w:r>
    </w:p>
    <w:p>
      <w:pPr>
        <w:pBdr>
          <w:bottom w:val="single" w:color="065F46" w:sz="6" w:space="2"/>
        </w:pBdr>
        <w:spacing w:before="320" w:after="100"/>
      </w:pPr>
      <w:r>
        <w:rPr>
          <w:rFonts w:ascii="Arial" w:cs="Arial" w:eastAsia="Arial" w:hAnsi="Arial"/>
          <w:b/>
          <w:bCs/>
          <w:color w:val="065F46"/>
          <w:spacing w:val="40"/>
          <w:sz w:val="26"/>
          <w:szCs w:val="26"/>
        </w:rPr>
        <w:t xml:space="preserve">STEP 4 — KEY FINDINGS</w:t>
      </w:r>
    </w:p>
    <w:p>
      <w:pPr>
        <w:spacing w:before="8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rPr>
          <w:tblHeader/>
        </w:trPr>
        <w:tc>
          <w:tcPr>
            <w:tcW w:type="dxa" w:w="2400"/>
            <w:tcBorders>
              <w:top w:val="none" w:sz="0"/>
              <w:left w:val="none" w:sz="0"/>
              <w:bottom w:val="none" w:sz="0"/>
              <w:right w:val="none" w:sz="0"/>
            </w:tcBorders>
            <w:shd w:fill="065F4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Finding</w:t>
            </w:r>
          </w:p>
        </w:tc>
        <w:tc>
          <w:tcPr>
            <w:tcW w:type="dxa" w:w="3600"/>
            <w:tcBorders>
              <w:top w:val="none" w:sz="0"/>
              <w:left w:val="none" w:sz="0"/>
              <w:bottom w:val="none" w:sz="0"/>
              <w:right w:val="none" w:sz="0"/>
            </w:tcBorders>
            <w:shd w:fill="065F4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c>
          <w:tcPr>
            <w:tcW w:type="dxa" w:w="4080"/>
            <w:tcBorders>
              <w:top w:val="none" w:sz="0"/>
              <w:left w:val="none" w:sz="0"/>
              <w:bottom w:val="none" w:sz="0"/>
              <w:right w:val="none" w:sz="0"/>
            </w:tcBorders>
            <w:shd w:fill="065F4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Implication</w:t>
            </w:r>
          </w:p>
        </w:tc>
      </w:tr>
      <w:tr>
        <w:tc>
          <w:tcPr>
            <w:tcW w:type="dxa" w:w="2400"/>
            <w:tcBorders>
              <w:top w:val="single" w:color="A7F3D0" w:sz="1"/>
              <w:left w:val="none" w:sz="0"/>
              <w:bottom w:val="single" w:color="A7F3D0" w:sz="1"/>
              <w:right w:val="none" w:sz="0"/>
            </w:tcBorders>
            <w:shd w:fill="F0FDF4" w:val="clear"/>
            <w:tcMar>
              <w:top w:type="dxa" w:w="80"/>
              <w:left w:type="dxa" w:w="120"/>
              <w:bottom w:type="dxa" w:w="80"/>
              <w:right w:type="dxa" w:w="120"/>
            </w:tcMar>
          </w:tcPr>
          <w:p>
            <w:pPr>
              <w:jc w:val="left"/>
            </w:pPr>
            <w:r>
              <w:rPr>
                <w:rFonts w:ascii="Arial" w:cs="Arial" w:eastAsia="Arial" w:hAnsi="Arial"/>
                <w:b/>
                <w:bCs/>
                <w:color w:val="0F1A0F"/>
                <w:sz w:val="20"/>
                <w:szCs w:val="20"/>
              </w:rPr>
              <w:t xml:space="preserve">Revenue Concentration</w:t>
            </w:r>
          </w:p>
        </w:tc>
        <w:tc>
          <w:tcPr>
            <w:tcW w:type="dxa" w:w="3600"/>
            <w:tcBorders>
              <w:top w:val="single" w:color="A7F3D0" w:sz="1"/>
              <w:left w:val="none" w:sz="0"/>
              <w:bottom w:val="single" w:color="A7F3D0" w:sz="1"/>
              <w:right w:val="none" w:sz="0"/>
            </w:tcBorders>
            <w:shd w:fill="F0FDF4" w:val="clear"/>
            <w:tcMar>
              <w:top w:type="dxa" w:w="80"/>
              <w:left w:type="dxa" w:w="120"/>
              <w:bottom w:type="dxa" w:w="80"/>
              <w:right w:type="dxa" w:w="120"/>
            </w:tcMar>
          </w:tcPr>
          <w:p>
            <w:pPr>
              <w:jc w:val="center"/>
            </w:pPr>
            <w:r>
              <w:rPr>
                <w:rFonts w:ascii="Arial" w:cs="Arial" w:eastAsia="Arial" w:hAnsi="Arial"/>
                <w:b w:val="false"/>
                <w:bCs w:val="false"/>
                <w:color w:val="0F1A0F"/>
                <w:sz w:val="20"/>
                <w:szCs w:val="20"/>
              </w:rPr>
              <w:t xml:space="preserve">27% of revenue comes from top product lines</w:t>
            </w:r>
          </w:p>
        </w:tc>
        <w:tc>
          <w:tcPr>
            <w:tcW w:type="dxa" w:w="4080"/>
            <w:tcBorders>
              <w:top w:val="single" w:color="A7F3D0" w:sz="1"/>
              <w:left w:val="none" w:sz="0"/>
              <w:bottom w:val="single" w:color="A7F3D0" w:sz="1"/>
              <w:right w:val="none" w:sz="0"/>
            </w:tcBorders>
            <w:shd w:fill="F0FDF4" w:val="clear"/>
            <w:tcMar>
              <w:top w:type="dxa" w:w="80"/>
              <w:left w:type="dxa" w:w="120"/>
              <w:bottom w:type="dxa" w:w="80"/>
              <w:right w:type="dxa" w:w="120"/>
            </w:tcMar>
          </w:tcPr>
          <w:p>
            <w:pPr>
              <w:jc w:val="center"/>
            </w:pPr>
            <w:r>
              <w:rPr>
                <w:rFonts w:ascii="Arial" w:cs="Arial" w:eastAsia="Arial" w:hAnsi="Arial"/>
                <w:b w:val="false"/>
                <w:bCs w:val="false"/>
                <w:color w:val="0F1A0F"/>
                <w:sz w:val="20"/>
                <w:szCs w:val="20"/>
              </w:rPr>
              <w:t xml:space="preserve">High dependency risk — diversification needed</w:t>
            </w:r>
          </w:p>
        </w:tc>
      </w:tr>
      <w:tr>
        <w:tc>
          <w:tcPr>
            <w:tcW w:type="dxa" w:w="2400"/>
            <w:tcBorders>
              <w:top w:val="single" w:color="A7F3D0" w:sz="1"/>
              <w:left w:val="none" w:sz="0"/>
              <w:bottom w:val="single" w:color="A7F3D0" w:sz="1"/>
              <w:right w:val="none" w:sz="0"/>
            </w:tcBorders>
            <w:shd w:fill="FFFFFF" w:val="clear"/>
            <w:tcMar>
              <w:top w:type="dxa" w:w="80"/>
              <w:left w:type="dxa" w:w="120"/>
              <w:bottom w:type="dxa" w:w="80"/>
              <w:right w:type="dxa" w:w="120"/>
            </w:tcMar>
          </w:tcPr>
          <w:p>
            <w:pPr>
              <w:jc w:val="left"/>
            </w:pPr>
            <w:r>
              <w:rPr>
                <w:rFonts w:ascii="Arial" w:cs="Arial" w:eastAsia="Arial" w:hAnsi="Arial"/>
                <w:b/>
                <w:bCs/>
                <w:color w:val="0F1A0F"/>
                <w:sz w:val="20"/>
                <w:szCs w:val="20"/>
              </w:rPr>
              <w:t xml:space="preserve">Peak Demand Hours</w:t>
            </w:r>
          </w:p>
        </w:tc>
        <w:tc>
          <w:tcPr>
            <w:tcW w:type="dxa" w:w="3600"/>
            <w:tcBorders>
              <w:top w:val="single" w:color="A7F3D0" w:sz="1"/>
              <w:left w:val="none" w:sz="0"/>
              <w:bottom w:val="single" w:color="A7F3D0" w:sz="1"/>
              <w:right w:val="none" w:sz="0"/>
            </w:tcBorders>
            <w:shd w:fill="FFFFFF" w:val="clear"/>
            <w:tcMar>
              <w:top w:type="dxa" w:w="80"/>
              <w:left w:type="dxa" w:w="120"/>
              <w:bottom w:type="dxa" w:w="80"/>
              <w:right w:type="dxa" w:w="120"/>
            </w:tcMar>
          </w:tcPr>
          <w:p>
            <w:pPr>
              <w:jc w:val="center"/>
            </w:pPr>
            <w:r>
              <w:rPr>
                <w:rFonts w:ascii="Arial" w:cs="Arial" w:eastAsia="Arial" w:hAnsi="Arial"/>
                <w:b w:val="false"/>
                <w:bCs w:val="false"/>
                <w:color w:val="0F1A0F"/>
                <w:sz w:val="20"/>
                <w:szCs w:val="20"/>
              </w:rPr>
              <w:t xml:space="preserve">Specific hourly spikes identified from time-series</w:t>
            </w:r>
          </w:p>
        </w:tc>
        <w:tc>
          <w:tcPr>
            <w:tcW w:type="dxa" w:w="4080"/>
            <w:tcBorders>
              <w:top w:val="single" w:color="A7F3D0" w:sz="1"/>
              <w:left w:val="none" w:sz="0"/>
              <w:bottom w:val="single" w:color="A7F3D0" w:sz="1"/>
              <w:right w:val="none" w:sz="0"/>
            </w:tcBorders>
            <w:shd w:fill="FFFFFF" w:val="clear"/>
            <w:tcMar>
              <w:top w:type="dxa" w:w="80"/>
              <w:left w:type="dxa" w:w="120"/>
              <w:bottom w:type="dxa" w:w="80"/>
              <w:right w:type="dxa" w:w="120"/>
            </w:tcMar>
          </w:tcPr>
          <w:p>
            <w:pPr>
              <w:jc w:val="center"/>
            </w:pPr>
            <w:r>
              <w:rPr>
                <w:rFonts w:ascii="Arial" w:cs="Arial" w:eastAsia="Arial" w:hAnsi="Arial"/>
                <w:b w:val="false"/>
                <w:bCs w:val="false"/>
                <w:color w:val="0F1A0F"/>
                <w:sz w:val="20"/>
                <w:szCs w:val="20"/>
              </w:rPr>
              <w:t xml:space="preserve">Staffing and promotions should align to peaks</w:t>
            </w:r>
          </w:p>
        </w:tc>
      </w:tr>
      <w:tr>
        <w:tc>
          <w:tcPr>
            <w:tcW w:type="dxa" w:w="2400"/>
            <w:tcBorders>
              <w:top w:val="single" w:color="A7F3D0" w:sz="1"/>
              <w:left w:val="none" w:sz="0"/>
              <w:bottom w:val="single" w:color="A7F3D0" w:sz="1"/>
              <w:right w:val="none" w:sz="0"/>
            </w:tcBorders>
            <w:shd w:fill="F0FDF4" w:val="clear"/>
            <w:tcMar>
              <w:top w:type="dxa" w:w="80"/>
              <w:left w:type="dxa" w:w="120"/>
              <w:bottom w:type="dxa" w:w="80"/>
              <w:right w:type="dxa" w:w="120"/>
            </w:tcMar>
          </w:tcPr>
          <w:p>
            <w:pPr>
              <w:jc w:val="left"/>
            </w:pPr>
            <w:r>
              <w:rPr>
                <w:rFonts w:ascii="Arial" w:cs="Arial" w:eastAsia="Arial" w:hAnsi="Arial"/>
                <w:b/>
                <w:bCs/>
                <w:color w:val="0F1A0F"/>
                <w:sz w:val="20"/>
                <w:szCs w:val="20"/>
              </w:rPr>
              <w:t xml:space="preserve">Profit vs Revenue Gap</w:t>
            </w:r>
          </w:p>
        </w:tc>
        <w:tc>
          <w:tcPr>
            <w:tcW w:type="dxa" w:w="3600"/>
            <w:tcBorders>
              <w:top w:val="single" w:color="A7F3D0" w:sz="1"/>
              <w:left w:val="none" w:sz="0"/>
              <w:bottom w:val="single" w:color="A7F3D0" w:sz="1"/>
              <w:right w:val="none" w:sz="0"/>
            </w:tcBorders>
            <w:shd w:fill="F0FDF4" w:val="clear"/>
            <w:tcMar>
              <w:top w:type="dxa" w:w="80"/>
              <w:left w:type="dxa" w:w="120"/>
              <w:bottom w:type="dxa" w:w="80"/>
              <w:right w:type="dxa" w:w="120"/>
            </w:tcMar>
          </w:tcPr>
          <w:p>
            <w:pPr>
              <w:jc w:val="center"/>
            </w:pPr>
            <w:r>
              <w:rPr>
                <w:rFonts w:ascii="Arial" w:cs="Arial" w:eastAsia="Arial" w:hAnsi="Arial"/>
                <w:b w:val="false"/>
                <w:bCs w:val="false"/>
                <w:color w:val="0F1A0F"/>
                <w:sz w:val="20"/>
                <w:szCs w:val="20"/>
              </w:rPr>
              <w:t xml:space="preserve">$817.86K profit on $147.14K revenue signals pricing power</w:t>
            </w:r>
          </w:p>
        </w:tc>
        <w:tc>
          <w:tcPr>
            <w:tcW w:type="dxa" w:w="4080"/>
            <w:tcBorders>
              <w:top w:val="single" w:color="A7F3D0" w:sz="1"/>
              <w:left w:val="none" w:sz="0"/>
              <w:bottom w:val="single" w:color="A7F3D0" w:sz="1"/>
              <w:right w:val="none" w:sz="0"/>
            </w:tcBorders>
            <w:shd w:fill="F0FDF4" w:val="clear"/>
            <w:tcMar>
              <w:top w:type="dxa" w:w="80"/>
              <w:left w:type="dxa" w:w="120"/>
              <w:bottom w:type="dxa" w:w="80"/>
              <w:right w:type="dxa" w:w="120"/>
            </w:tcMar>
          </w:tcPr>
          <w:p>
            <w:pPr>
              <w:jc w:val="center"/>
            </w:pPr>
            <w:r>
              <w:rPr>
                <w:rFonts w:ascii="Arial" w:cs="Arial" w:eastAsia="Arial" w:hAnsi="Arial"/>
                <w:b w:val="false"/>
                <w:bCs w:val="false"/>
                <w:color w:val="0F1A0F"/>
                <w:sz w:val="20"/>
                <w:szCs w:val="20"/>
              </w:rPr>
              <w:t xml:space="preserve">Strong margin structure — room to optimize pricing</w:t>
            </w:r>
          </w:p>
        </w:tc>
      </w:tr>
      <w:tr>
        <w:tc>
          <w:tcPr>
            <w:tcW w:type="dxa" w:w="2400"/>
            <w:tcBorders>
              <w:top w:val="single" w:color="A7F3D0" w:sz="1"/>
              <w:left w:val="none" w:sz="0"/>
              <w:bottom w:val="single" w:color="A7F3D0" w:sz="1"/>
              <w:right w:val="none" w:sz="0"/>
            </w:tcBorders>
            <w:shd w:fill="FFFFFF" w:val="clear"/>
            <w:tcMar>
              <w:top w:type="dxa" w:w="80"/>
              <w:left w:type="dxa" w:w="120"/>
              <w:bottom w:type="dxa" w:w="80"/>
              <w:right w:type="dxa" w:w="120"/>
            </w:tcMar>
          </w:tcPr>
          <w:p>
            <w:pPr>
              <w:jc w:val="left"/>
            </w:pPr>
            <w:r>
              <w:rPr>
                <w:rFonts w:ascii="Arial" w:cs="Arial" w:eastAsia="Arial" w:hAnsi="Arial"/>
                <w:b/>
                <w:bCs/>
                <w:color w:val="0F1A0F"/>
                <w:sz w:val="20"/>
                <w:szCs w:val="20"/>
              </w:rPr>
              <w:t xml:space="preserve">Average Daily Sales</w:t>
            </w:r>
          </w:p>
        </w:tc>
        <w:tc>
          <w:tcPr>
            <w:tcW w:type="dxa" w:w="3600"/>
            <w:tcBorders>
              <w:top w:val="single" w:color="A7F3D0" w:sz="1"/>
              <w:left w:val="none" w:sz="0"/>
              <w:bottom w:val="single" w:color="A7F3D0" w:sz="1"/>
              <w:right w:val="none" w:sz="0"/>
            </w:tcBorders>
            <w:shd w:fill="FFFFFF" w:val="clear"/>
            <w:tcMar>
              <w:top w:type="dxa" w:w="80"/>
              <w:left w:type="dxa" w:w="120"/>
              <w:bottom w:type="dxa" w:w="80"/>
              <w:right w:type="dxa" w:w="120"/>
            </w:tcMar>
          </w:tcPr>
          <w:p>
            <w:pPr>
              <w:jc w:val="center"/>
            </w:pPr>
            <w:r>
              <w:rPr>
                <w:rFonts w:ascii="Arial" w:cs="Arial" w:eastAsia="Arial" w:hAnsi="Arial"/>
                <w:b w:val="false"/>
                <w:bCs w:val="false"/>
                <w:color w:val="0F1A0F"/>
                <w:sz w:val="20"/>
                <w:szCs w:val="20"/>
              </w:rPr>
              <w:t xml:space="preserve">138+ orders/day across the analysis period</w:t>
            </w:r>
          </w:p>
        </w:tc>
        <w:tc>
          <w:tcPr>
            <w:tcW w:type="dxa" w:w="4080"/>
            <w:tcBorders>
              <w:top w:val="single" w:color="A7F3D0" w:sz="1"/>
              <w:left w:val="none" w:sz="0"/>
              <w:bottom w:val="single" w:color="A7F3D0" w:sz="1"/>
              <w:right w:val="none" w:sz="0"/>
            </w:tcBorders>
            <w:shd w:fill="FFFFFF" w:val="clear"/>
            <w:tcMar>
              <w:top w:type="dxa" w:w="80"/>
              <w:left w:type="dxa" w:w="120"/>
              <w:bottom w:type="dxa" w:w="80"/>
              <w:right w:type="dxa" w:w="120"/>
            </w:tcMar>
          </w:tcPr>
          <w:p>
            <w:pPr>
              <w:jc w:val="center"/>
            </w:pPr>
            <w:r>
              <w:rPr>
                <w:rFonts w:ascii="Arial" w:cs="Arial" w:eastAsia="Arial" w:hAnsi="Arial"/>
                <w:b w:val="false"/>
                <w:bCs w:val="false"/>
                <w:color w:val="0F1A0F"/>
                <w:sz w:val="20"/>
                <w:szCs w:val="20"/>
              </w:rPr>
              <w:t xml:space="preserve">Consistent baseline — predictable forecasting possible</w:t>
            </w:r>
          </w:p>
        </w:tc>
      </w:tr>
      <w:tr>
        <w:tc>
          <w:tcPr>
            <w:tcW w:type="dxa" w:w="2400"/>
            <w:tcBorders>
              <w:top w:val="single" w:color="A7F3D0" w:sz="1"/>
              <w:left w:val="none" w:sz="0"/>
              <w:bottom w:val="single" w:color="A7F3D0" w:sz="1"/>
              <w:right w:val="none" w:sz="0"/>
            </w:tcBorders>
            <w:shd w:fill="F0FDF4" w:val="clear"/>
            <w:tcMar>
              <w:top w:type="dxa" w:w="80"/>
              <w:left w:type="dxa" w:w="120"/>
              <w:bottom w:type="dxa" w:w="80"/>
              <w:right w:type="dxa" w:w="120"/>
            </w:tcMar>
          </w:tcPr>
          <w:p>
            <w:pPr>
              <w:jc w:val="left"/>
            </w:pPr>
            <w:r>
              <w:rPr>
                <w:rFonts w:ascii="Arial" w:cs="Arial" w:eastAsia="Arial" w:hAnsi="Arial"/>
                <w:b/>
                <w:bCs/>
                <w:color w:val="0F1A0F"/>
                <w:sz w:val="20"/>
                <w:szCs w:val="20"/>
              </w:rPr>
              <w:t xml:space="preserve">Menu Performance</w:t>
            </w:r>
          </w:p>
        </w:tc>
        <w:tc>
          <w:tcPr>
            <w:tcW w:type="dxa" w:w="3600"/>
            <w:tcBorders>
              <w:top w:val="single" w:color="A7F3D0" w:sz="1"/>
              <w:left w:val="none" w:sz="0"/>
              <w:bottom w:val="single" w:color="A7F3D0" w:sz="1"/>
              <w:right w:val="none" w:sz="0"/>
            </w:tcBorders>
            <w:shd w:fill="F0FDF4" w:val="clear"/>
            <w:tcMar>
              <w:top w:type="dxa" w:w="80"/>
              <w:left w:type="dxa" w:w="120"/>
              <w:bottom w:type="dxa" w:w="80"/>
              <w:right w:type="dxa" w:w="120"/>
            </w:tcMar>
          </w:tcPr>
          <w:p>
            <w:pPr>
              <w:jc w:val="center"/>
            </w:pPr>
            <w:r>
              <w:rPr>
                <w:rFonts w:ascii="Arial" w:cs="Arial" w:eastAsia="Arial" w:hAnsi="Arial"/>
                <w:b w:val="false"/>
                <w:bCs w:val="false"/>
                <w:color w:val="0F1A0F"/>
                <w:sz w:val="20"/>
                <w:szCs w:val="20"/>
              </w:rPr>
              <w:t xml:space="preserve">Several items underperform on both volume and margin</w:t>
            </w:r>
          </w:p>
        </w:tc>
        <w:tc>
          <w:tcPr>
            <w:tcW w:type="dxa" w:w="4080"/>
            <w:tcBorders>
              <w:top w:val="single" w:color="A7F3D0" w:sz="1"/>
              <w:left w:val="none" w:sz="0"/>
              <w:bottom w:val="single" w:color="A7F3D0" w:sz="1"/>
              <w:right w:val="none" w:sz="0"/>
            </w:tcBorders>
            <w:shd w:fill="F0FDF4" w:val="clear"/>
            <w:tcMar>
              <w:top w:type="dxa" w:w="80"/>
              <w:left w:type="dxa" w:w="120"/>
              <w:bottom w:type="dxa" w:w="80"/>
              <w:right w:type="dxa" w:w="120"/>
            </w:tcMar>
          </w:tcPr>
          <w:p>
            <w:pPr>
              <w:jc w:val="center"/>
            </w:pPr>
            <w:r>
              <w:rPr>
                <w:rFonts w:ascii="Arial" w:cs="Arial" w:eastAsia="Arial" w:hAnsi="Arial"/>
                <w:b w:val="false"/>
                <w:bCs w:val="false"/>
                <w:color w:val="0F1A0F"/>
                <w:sz w:val="20"/>
                <w:szCs w:val="20"/>
              </w:rPr>
              <w:t xml:space="preserve">Candidate for removal or repricing</w:t>
            </w:r>
          </w:p>
        </w:tc>
      </w:tr>
    </w:tbl>
    <w:p>
      <w:pPr>
        <w:pBdr>
          <w:bottom w:val="single" w:color="065F46" w:sz="6" w:space="2"/>
        </w:pBdr>
        <w:spacing w:before="320" w:after="100"/>
      </w:pPr>
      <w:r>
        <w:rPr>
          <w:rFonts w:ascii="Arial" w:cs="Arial" w:eastAsia="Arial" w:hAnsi="Arial"/>
          <w:b/>
          <w:bCs/>
          <w:color w:val="065F46"/>
          <w:spacing w:val="40"/>
          <w:sz w:val="26"/>
          <w:szCs w:val="26"/>
        </w:rPr>
        <w:t xml:space="preserve">STEP 5 — RECOMMENDATIONS</w:t>
      </w:r>
    </w:p>
    <w:p>
      <w:pPr>
        <w:spacing w:before="200" w:after="60"/>
      </w:pPr>
      <w:r>
        <w:rPr>
          <w:rFonts w:ascii="Arial" w:cs="Arial" w:eastAsia="Arial" w:hAnsi="Arial"/>
          <w:b/>
          <w:bCs/>
          <w:color w:val="D97706"/>
          <w:sz w:val="24"/>
          <w:szCs w:val="24"/>
        </w:rPr>
        <w:t xml:space="preserve">3 Strategic Actions</w:t>
      </w:r>
    </w:p>
    <w:p>
      <w:pPr>
        <w:pStyle w:val="ListParagraph"/>
        <w:numPr>
          <w:ilvl w:val="0"/>
          <w:numId w:val="2"/>
        </w:numPr>
        <w:spacing w:before="40" w:after="40"/>
      </w:pPr>
      <w:r>
        <w:rPr>
          <w:rFonts w:ascii="Arial" w:cs="Arial" w:eastAsia="Arial" w:hAnsi="Arial"/>
          <w:color w:val="0F1A0F"/>
          <w:sz w:val="22"/>
          <w:szCs w:val="22"/>
        </w:rPr>
        <w:t xml:space="preserve">Menu Optimization — Remove or reprice underperforming items. Double down on high-margin, high-volume products. Reduce menu complexity to improve operational efficiency.</w:t>
      </w:r>
    </w:p>
    <w:p>
      <w:pPr>
        <w:pStyle w:val="ListParagraph"/>
        <w:numPr>
          <w:ilvl w:val="0"/>
          <w:numId w:val="2"/>
        </w:numPr>
        <w:spacing w:before="40" w:after="40"/>
      </w:pPr>
      <w:r>
        <w:rPr>
          <w:rFonts w:ascii="Arial" w:cs="Arial" w:eastAsia="Arial" w:hAnsi="Arial"/>
          <w:color w:val="0F1A0F"/>
          <w:sz w:val="22"/>
          <w:szCs w:val="22"/>
        </w:rPr>
        <w:t xml:space="preserve">Demand Forecasting — Use identified peak hours and days to build a simple demand forecast. Align staffing rosters, inventory orders, and promotional timing to predicted demand windows.</w:t>
      </w:r>
    </w:p>
    <w:p>
      <w:pPr>
        <w:pStyle w:val="ListParagraph"/>
        <w:numPr>
          <w:ilvl w:val="0"/>
          <w:numId w:val="2"/>
        </w:numPr>
        <w:spacing w:before="40" w:after="40"/>
      </w:pPr>
      <w:r>
        <w:rPr>
          <w:rFonts w:ascii="Arial" w:cs="Arial" w:eastAsia="Arial" w:hAnsi="Arial"/>
          <w:color w:val="0F1A0F"/>
          <w:sz w:val="22"/>
          <w:szCs w:val="22"/>
        </w:rPr>
        <w:t xml:space="preserve">Pricing Strategy — Leverage strong profit margins to test dynamic pricing during peak hours. Introduce combo deals on high-frequency low-margin items to increase average order value.</w:t>
      </w:r>
    </w:p>
    <w:p>
      <w:pPr>
        <w:pBdr>
          <w:bottom w:val="single" w:color="065F46" w:sz="6" w:space="2"/>
        </w:pBdr>
        <w:spacing w:before="320" w:after="100"/>
      </w:pPr>
      <w:r>
        <w:rPr>
          <w:rFonts w:ascii="Arial" w:cs="Arial" w:eastAsia="Arial" w:hAnsi="Arial"/>
          <w:b/>
          <w:bCs/>
          <w:color w:val="065F46"/>
          <w:spacing w:val="40"/>
          <w:sz w:val="26"/>
          <w:szCs w:val="26"/>
        </w:rPr>
        <w:t xml:space="preserve">STEP 6 — DASHBOARD &amp; WRAP UP</w:t>
      </w:r>
    </w:p>
    <w:tbl>
      <w:tblPr>
        <w:tblW w:type="dxa" w:w="10080"/>
        <w:tblBorders>
          <w:top w:val="none" w:sz="0"/>
          <w:left w:val="none" w:sz="0"/>
          <w:bottom w:val="none" w:sz="0"/>
          <w:right w:val="none" w:sz="0"/>
          <w:insideH w:val="single" w:color="auto" w:sz="4"/>
          <w:insideV w:val="single" w:color="auto" w:sz="4"/>
        </w:tblBorders>
      </w:tblPr>
      <w:tblGrid>
        <w:gridCol w:w="10080"/>
      </w:tblGrid>
      <w:tr>
        <w:tc>
          <w:tcPr>
            <w:tcW w:type="dxa" w:w="10080"/>
            <w:tcBorders>
              <w:top w:val="none" w:sz="0"/>
              <w:left w:val="thick" w:color="065F46" w:sz="12"/>
              <w:bottom w:val="none" w:sz="0"/>
              <w:right w:val="none" w:sz="0"/>
            </w:tcBorders>
            <w:shd w:fill="ECFDF5" w:val="clear"/>
            <w:tcMar>
              <w:top w:type="dxa" w:w="100"/>
              <w:left w:type="dxa" w:w="200"/>
              <w:bottom w:type="dxa" w:w="100"/>
              <w:right w:type="dxa" w:w="120"/>
            </w:tcMar>
          </w:tcPr>
          <w:p>
            <w:r>
              <w:rPr>
                <w:rFonts w:ascii="Arial" w:cs="Arial" w:eastAsia="Arial" w:hAnsi="Arial"/>
                <w:b/>
                <w:bCs/>
                <w:i w:val="false"/>
                <w:iCs w:val="false"/>
                <w:color w:val="065F46"/>
                <w:sz w:val="20"/>
                <w:szCs w:val="20"/>
              </w:rPr>
              <w:t xml:space="preserve">Dashboard Highlights — Say this when walking through the visual:</w:t>
            </w:r>
          </w:p>
        </w:tc>
      </w:tr>
      <w:tr>
        <w:tc>
          <w:tcPr>
            <w:tcW w:type="dxa" w:w="10080"/>
            <w:tcBorders>
              <w:top w:val="none" w:sz="0"/>
              <w:left w:val="thick" w:color="065F46" w:sz="12"/>
              <w:bottom w:val="none" w:sz="0"/>
              <w:right w:val="none" w:sz="0"/>
            </w:tcBorders>
            <w:shd w:fill="ECFDF5" w:val="clear"/>
            <w:tcMar>
              <w:top w:type="dxa" w:w="100"/>
              <w:left w:type="dxa" w:w="200"/>
              <w:bottom w:type="dxa" w:w="100"/>
              <w:right w:type="dxa" w:w="120"/>
            </w:tcMar>
          </w:tcPr>
          <w:p>
            <w:r>
              <w:rPr>
                <w:rFonts w:ascii="Arial" w:cs="Arial" w:eastAsia="Arial" w:hAnsi="Arial"/>
                <w:b w:val="false"/>
                <w:bCs w:val="false"/>
                <w:i w:val="false"/>
                <w:iCs w:val="false"/>
                <w:color w:val="0F1A0F"/>
                <w:sz w:val="22"/>
                <w:szCs w:val="22"/>
              </w:rPr>
              <w:t xml:space="preserve"/>
            </w:r>
          </w:p>
        </w:tc>
      </w:tr>
      <w:tr>
        <w:tc>
          <w:tcPr>
            <w:tcW w:type="dxa" w:w="10080"/>
            <w:tcBorders>
              <w:top w:val="none" w:sz="0"/>
              <w:left w:val="thick" w:color="065F46" w:sz="12"/>
              <w:bottom w:val="none" w:sz="0"/>
              <w:right w:val="none" w:sz="0"/>
            </w:tcBorders>
            <w:shd w:fill="ECFDF5" w:val="clear"/>
            <w:tcMar>
              <w:top w:type="dxa" w:w="100"/>
              <w:left w:type="dxa" w:w="200"/>
              <w:bottom w:type="dxa" w:w="100"/>
              <w:right w:type="dxa" w:w="120"/>
            </w:tcMar>
          </w:tcPr>
          <w:p>
            <w:r>
              <w:rPr>
                <w:rFonts w:ascii="Arial" w:cs="Arial" w:eastAsia="Arial" w:hAnsi="Arial"/>
                <w:b w:val="false"/>
                <w:bCs w:val="false"/>
                <w:i/>
                <w:iCs/>
                <w:color w:val="0F1A0F"/>
                <w:sz w:val="22"/>
                <w:szCs w:val="22"/>
              </w:rPr>
              <w:t xml:space="preserve">"The Power BI dashboard has four views: a revenue and profit summary KPI panel, a product performance breakdown with concentration analysis, a time-series demand chart by hour and day, and a recommendations summary page. Everything is filterable by date range and product category."</w:t>
            </w:r>
          </w:p>
        </w:tc>
      </w:tr>
    </w:tbl>
    <w:p>
      <w:pPr>
        <w:spacing w:before="120" w:after="0"/>
      </w:pPr>
    </w:p>
    <w:tbl>
      <w:tblPr>
        <w:tblW w:type="dxa" w:w="10080"/>
        <w:tblBorders>
          <w:top w:val="none" w:sz="0"/>
          <w:left w:val="none" w:sz="0"/>
          <w:bottom w:val="none" w:sz="0"/>
          <w:right w:val="none" w:sz="0"/>
          <w:insideH w:val="single" w:color="auto" w:sz="4"/>
          <w:insideV w:val="single" w:color="auto" w:sz="4"/>
        </w:tblBorders>
      </w:tblPr>
      <w:tblGrid>
        <w:gridCol w:w="10080"/>
      </w:tblGrid>
      <w:tr>
        <w:tc>
          <w:tcPr>
            <w:tcW w:type="dxa" w:w="10080"/>
            <w:tcBorders>
              <w:top w:val="none" w:sz="0"/>
              <w:left w:val="thick" w:color="D97706" w:sz="12"/>
              <w:bottom w:val="none" w:sz="0"/>
              <w:right w:val="none" w:sz="0"/>
            </w:tcBorders>
            <w:shd w:fill="FFFBEB" w:val="clear"/>
            <w:tcMar>
              <w:top w:type="dxa" w:w="100"/>
              <w:left w:type="dxa" w:w="200"/>
              <w:bottom w:type="dxa" w:w="100"/>
              <w:right w:type="dxa" w:w="120"/>
            </w:tcMar>
          </w:tcPr>
          <w:p>
            <w:r>
              <w:rPr>
                <w:rFonts w:ascii="Arial" w:cs="Arial" w:eastAsia="Arial" w:hAnsi="Arial"/>
                <w:b/>
                <w:bCs/>
                <w:i w:val="false"/>
                <w:iCs w:val="false"/>
                <w:color w:val="D97706"/>
                <w:sz w:val="20"/>
                <w:szCs w:val="20"/>
              </w:rPr>
              <w:t xml:space="preserve">Closing Line:</w:t>
            </w:r>
          </w:p>
        </w:tc>
      </w:tr>
      <w:tr>
        <w:tc>
          <w:tcPr>
            <w:tcW w:type="dxa" w:w="10080"/>
            <w:tcBorders>
              <w:top w:val="none" w:sz="0"/>
              <w:left w:val="thick" w:color="D97706" w:sz="12"/>
              <w:bottom w:val="none" w:sz="0"/>
              <w:right w:val="none" w:sz="0"/>
            </w:tcBorders>
            <w:shd w:fill="FFFBEB" w:val="clear"/>
            <w:tcMar>
              <w:top w:type="dxa" w:w="100"/>
              <w:left w:type="dxa" w:w="200"/>
              <w:bottom w:type="dxa" w:w="100"/>
              <w:right w:type="dxa" w:w="120"/>
            </w:tcMar>
          </w:tcPr>
          <w:p>
            <w:r>
              <w:rPr>
                <w:rFonts w:ascii="Arial" w:cs="Arial" w:eastAsia="Arial" w:hAnsi="Arial"/>
                <w:b w:val="false"/>
                <w:bCs w:val="false"/>
                <w:i/>
                <w:iCs/>
                <w:color w:val="0F1A0F"/>
                <w:sz w:val="22"/>
                <w:szCs w:val="22"/>
              </w:rPr>
              <w:t xml:space="preserve">"If I were extending this project, I would layer in customer segmentation — understanding which customer types drive the most repeat orders would let the business design loyalty incentives targeted at the highest-value segments, not just the highest-volume products."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7F3D0" w:sz="4" w:space="1"/>
      </w:pBdr>
      <w:tabs>
        <w:tab w:val="right" w:pos="10080"/>
      </w:tabs>
      <w:spacing w:before="80" w:after="0"/>
    </w:pPr>
    <w:r>
      <w:rPr>
        <w:rFonts w:ascii="Arial" w:cs="Arial" w:eastAsia="Arial" w:hAnsi="Arial"/>
        <w:color w:val="4B5563"/>
        <w:sz w:val="16"/>
        <w:szCs w:val="16"/>
      </w:rPr>
      <w:t xml:space="preserve">GitHub: https://github.com/YashINDataYRJ  |  LinkedIn: https://www.linkedin.com/in/yashraj33/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65F46" w:sz="4" w:space="1"/>
      </w:pBdr>
      <w:tabs>
        <w:tab w:val="right" w:pos="10080"/>
      </w:tabs>
      <w:spacing w:before="0" w:after="80"/>
    </w:pPr>
    <w:r>
      <w:rPr>
        <w:rFonts w:ascii="Arial" w:cs="Arial" w:eastAsia="Arial" w:hAnsi="Arial"/>
        <w:b/>
        <w:bCs/>
        <w:color w:val="065F46"/>
        <w:sz w:val="18"/>
        <w:szCs w:val="18"/>
      </w:rPr>
      <w:t xml:space="preserve">Revenue-Concentration-Demand-Optimization-Strategy</w:t>
    </w:r>
    <w:r>
      <w:rPr>
        <w:rFonts w:ascii="Arial" w:cs="Arial" w:eastAsia="Arial" w:hAnsi="Arial"/>
        <w:color w:val="4B5563"/>
        <w:sz w:val="18"/>
        <w:szCs w:val="18"/>
      </w:rPr>
      <w:t xml:space="preserve">	Interview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b/>
        <w:bCs/>
        <w:color w:val="065F46"/>
        <w:sz w:val="24"/>
        <w:szCs w:val="24"/>
      </w:rPr>
    </w:lvl>
  </w:abstractNum>
  <w:abstractNum w:abstractNumId="3" w15:restartNumberingAfterBreak="0">
    <w:multiLevelType w:val="hybridMultilevel"/>
    <w:lvl w:ilvl="0" w15:tentative="1">
      <w:start w:val="1"/>
      <w:numFmt w:val="decimal"/>
      <w:lvlText w:val="%1."/>
      <w:lvlJc w:val="left"/>
      <w:pPr>
        <w:ind w:left="600" w:hanging="300"/>
      </w:pPr>
      <w:rPr>
        <w:rFonts w:ascii="Arial" w:cs="Arial" w:eastAsia="Arial" w:hAnsi="Arial"/>
        <w:b/>
        <w:bCs/>
        <w:color w:val="065F46"/>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2026-03-10T07:32:23.191Z</dcterms:created>
  <dcterms:modified xsi:type="dcterms:W3CDTF">2026-03-10T07:32:23.192Z</dcterms:modified>
</cp:coreProperties>
</file>

<file path=docProps/custom.xml><?xml version="1.0" encoding="utf-8"?>
<Properties xmlns="http://schemas.openxmlformats.org/officeDocument/2006/custom-properties" xmlns:vt="http://schemas.openxmlformats.org/officeDocument/2006/docPropsVTypes"/>
</file>