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INTERVIEW PREPARATION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Digital-Campaign ROI
Optimization Analytics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Project Explanation in 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Meta Ads · Power BI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Portfolio Project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https://github.com/YashINdataXYX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1 — HIGH-LEVEL OVERVIEW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Suggested Opening Statement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"This is a Digital Campaign ROI &amp; Conversion Analytics Dashboard that tracks the effectiveness of ad campaigns across key KPIs such as impressions, clicks, engagements, conversions, and budget. It provides a complete funnel view—from awareness to engagement to purchases—along with demographic, geographic, and time-based insights."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2 — WALK THROUGH THE FUNNEL METRICS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Top-of-Funnel Performance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At the top of the funnel, the ads generated 216K impressions and 25.4K clicks, yielding a CTR of 11.76%. This is well above the industry benchmark of 1–2%, which signals the ad creatives and targeting were highly effective at capturing attention.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216,000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Strong Reach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Clicks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25,400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High Volume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CTR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11.76%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1–2%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Excellent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13.56%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~3%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Excellent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5.21%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2–5%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Good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 Rate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0.61%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~1%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Purchases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1,300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⚠ Low Funnel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A1F"/>
                <w:sz w:val="20"/>
                <w:szCs w:val="20"/>
              </w:rPr>
              <w:t xml:space="preserve">KEY TAKEAWAY — Say this to the interviewer: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"The ads are very effective at generating awareness and engagement, but the lower funnel is leaking heavily—likely due to landing page experience, audience mismatch, or weak conversion offers."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3 — BREAK DOWN BY AUDIENCE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Demographics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Females (43%) engage significantly more than males (22%); campaigns should lean into female-centric creatives.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18–30 age group drives the majority of interactions — this is your core audience.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Targeting should be refined toward young adult females for maximum ROI.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Geography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India and Brazil = highest engagement volume → ideal for reach-focused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Germany and UK = higher purchasing power → ideal for premium/conversion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Strategy: segment campaigns by volume vs. value objectives per geography.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4 — TIME &amp; SEASONALITY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Weekly engagement is consistent — no major drop-offs, showing sustained campaign interest.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Hourly peaks occur in the afternoon and evening (15:00–20:00 hrs) — schedule ad delivery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Calendar spikes on 19th–21st and 25th–27th suggest event-driven or promotion-linked surges.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0E9F6E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9F6E"/>
                <w:sz w:val="22"/>
                <w:szCs w:val="22"/>
              </w:rPr>
              <w:t xml:space="preserve">Insight: Budget-weight ad delivery toward afternoon/evening slots for maximum impression efficiency.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5 — AD TYPE PERFORMANCE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200"/>
        <w:gridCol w:w="1560"/>
        <w:gridCol w:w="1560"/>
        <w:gridCol w:w="1480"/>
      </w:tblGrid>
      <w:tr>
        <w:trPr>
          <w:tblHeader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Conv. Rate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Eng. Rate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Carousel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48K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5.1%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13.4%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51K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4.9%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13.5%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Stories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72K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8K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11.8%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Video ★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46K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11.9%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13.7%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Video ads have the highest CTR, Conversion Rate, and Engagement Rate — best overall performer.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Stories ads deliver strong impressions and high engagement — second priority.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Shift budget allocation toward Video and Stories for optimal ROI per dollar spent.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6 — WRAP UP WITH INSIGHTS &amp; RECOMMENDATIONS</w:t>
      </w:r>
    </w:p>
    <w:p>
      <w:pPr>
        <w:spacing w:before="1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Summary — What to say to close your interview answer: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Strong awareness &amp; engagement (CTR 11.76%, ER 13.56%), but purchase funnel efficiency is low (0.61%) → optimize landing pages, retargeting, and offers.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Core target audience = young females, 18–30, in India &amp; Brazil → refine campaign targeting accordingly.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Best-performing formats = Video and Stories → increase budget allocation here.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Peak engagement times = afternoons &amp; evenings → schedule ad delivery during 15:00–20:00.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Geographic strategy: volume-focus in India/Brazil, value/conversion-focus in Germany/UK.</w:t>
      </w:r>
    </w:p>
    <w:p>
      <w:pPr>
        <w:spacing w:before="12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0E9F6E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"If I were leading this project, I would focus on conversion optimization and retargeting strategies to capture users who engage but do not purchase — this is the highest-leverage opportunity in the funnel."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https://github.com/YashINdataXYX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2026-03-07T14:26:34.572Z</dcterms:created>
  <dcterms:modified xsi:type="dcterms:W3CDTF">2026-03-07T14:26:34.573Z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