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F4E79"/>
          <w:sz w:val="40"/>
          <w:szCs w:val="40"/>
        </w:rPr>
        <w:t xml:space="preserve">PROJECT INTERVIEW EXPLANATION</w:t>
      </w:r>
    </w:p>
    <w:p>
      <w:pPr>
        <w:spacing w:before="0" w:after="240"/>
        <w:jc w:val="center"/>
      </w:pPr>
      <w:r>
        <w:rPr>
          <w:rFonts w:ascii="Arial" w:cs="Arial" w:eastAsia="Arial" w:hAnsi="Arial"/>
          <w:color w:val="2E75B6"/>
          <w:sz w:val="24"/>
          <w:szCs w:val="24"/>
        </w:rPr>
        <w:t xml:space="preserve">How to explain the Nexus Automobile Simulation — clearly, confidently, and with impact</w:t>
      </w:r>
    </w:p>
    <w:p>
      <w:pPr>
        <w:pBdr>
          <w:bottom w:val="single" w:color="2E75B6" w:sz="4" w:space="1"/>
        </w:pBdr>
        <w:spacing w:before="120" w:after="120"/>
      </w:pPr>
    </w:p>
    <w:p>
      <w:pPr>
        <w:pStyle w:val="Heading1"/>
        <w:spacing w:before="320" w:after="160"/>
      </w:pPr>
      <w:r>
        <w:rPr>
          <w:rFonts w:ascii="Arial" w:cs="Arial" w:eastAsia="Arial" w:hAnsi="Arial"/>
          <w:b/>
          <w:bCs/>
          <w:color w:val="1F4E79"/>
          <w:sz w:val="32"/>
          <w:szCs w:val="32"/>
        </w:rPr>
        <w:t xml:space="preserve">1. The One-Paragraph Pitch</w:t>
      </w:r>
    </w:p>
    <w:p>
      <w:pPr>
        <w:spacing w:before="80" w:after="80"/>
      </w:pPr>
      <w:r>
        <w:rPr>
          <w:rFonts w:ascii="Arial" w:cs="Arial" w:eastAsia="Arial" w:hAnsi="Arial"/>
          <w:sz w:val="22"/>
          <w:szCs w:val="22"/>
        </w:rPr>
        <w:t xml:space="preserve">"I led the engineering and strategic decisions for Nexus Automobile in a ten-round business simulation modelled on the real automotive industry. Starting with two car models and a basic production line, I grew the company to five models — including a luxury vehicle and a commercially viable electric car — while increasing post-tax profit by over 2,100%, bringing productivity index from 1.00 to 1.92, and ending with a share price of £8,863. Every major decision — automation timing, R&amp;D allocation, new model launches — was driven by data from round-by-round company reports, competitive analysis, and financial indicators."</w:t>
      </w:r>
    </w:p>
    <w:p>
      <w:pPr>
        <w:pStyle w:val="Heading1"/>
        <w:spacing w:before="320" w:after="160"/>
      </w:pPr>
      <w:r>
        <w:rPr>
          <w:rFonts w:ascii="Arial" w:cs="Arial" w:eastAsia="Arial" w:hAnsi="Arial"/>
          <w:b/>
          <w:bCs/>
          <w:color w:val="1F4E79"/>
          <w:sz w:val="32"/>
          <w:szCs w:val="32"/>
        </w:rPr>
        <w:t xml:space="preserve">2. Common Interview Questions and Strong Answers</w:t>
      </w:r>
    </w:p>
    <w:p>
      <w:pPr>
        <w:pStyle w:val="Heading2"/>
        <w:spacing w:before="240" w:after="120"/>
      </w:pPr>
      <w:r>
        <w:rPr>
          <w:rFonts w:ascii="Arial" w:cs="Arial" w:eastAsia="Arial" w:hAnsi="Arial"/>
          <w:b/>
          <w:bCs/>
          <w:color w:val="2E75B6"/>
          <w:sz w:val="26"/>
          <w:szCs w:val="26"/>
        </w:rPr>
        <w:t xml:space="preserve">Q: What was the project about?</w:t>
      </w:r>
    </w:p>
    <w:p>
      <w:pPr>
        <w:spacing w:before="80" w:after="80"/>
      </w:pPr>
      <w:r>
        <w:rPr>
          <w:rFonts w:ascii="Arial" w:cs="Arial" w:eastAsia="Arial" w:hAnsi="Arial"/>
          <w:sz w:val="22"/>
          <w:szCs w:val="22"/>
        </w:rPr>
        <w:t xml:space="preserve">"It was a competitive business simulation with ten other companies in the automotive sector. I acted as the Technical and Engineering Executive for Nexus Automobile. My decisions covered where to invest in automation, how much to spend on R&amp;D, when to launch new models, how to price them, and how to manage a workforce that grew from 2,046 to over 6,000 people.</w:t>
      </w:r>
    </w:p>
    <w:p>
      <w:pPr>
        <w:spacing w:before="80" w:after="80"/>
      </w:pPr>
      <w:r>
        <w:rPr>
          <w:rFonts w:ascii="Arial" w:cs="Arial" w:eastAsia="Arial" w:hAnsi="Arial"/>
          <w:sz w:val="22"/>
          <w:szCs w:val="22"/>
        </w:rPr>
        <w:t xml:space="preserve">The simulation introduced real-world pressure: external shocks like inflation and oil price hikes, regulatory push toward EVs, and nine competitor companies all making different strategic bets. The goal was to grow profitably while building an engineering-led competitive advantage."</w:t>
      </w:r>
    </w:p>
    <w:p>
      <w:pPr>
        <w:pStyle w:val="Heading2"/>
        <w:spacing w:before="240" w:after="120"/>
      </w:pPr>
      <w:r>
        <w:rPr>
          <w:rFonts w:ascii="Arial" w:cs="Arial" w:eastAsia="Arial" w:hAnsi="Arial"/>
          <w:b/>
          <w:bCs/>
          <w:color w:val="2E75B6"/>
          <w:sz w:val="26"/>
          <w:szCs w:val="26"/>
        </w:rPr>
        <w:t xml:space="preserve">Q: What was your biggest decision and how did you make it?</w:t>
      </w:r>
    </w:p>
    <w:p>
      <w:pPr>
        <w:spacing w:before="80" w:after="80"/>
      </w:pPr>
      <w:r>
        <w:rPr>
          <w:rFonts w:ascii="Arial" w:cs="Arial" w:eastAsia="Arial" w:hAnsi="Arial"/>
          <w:sz w:val="22"/>
          <w:szCs w:val="22"/>
        </w:rPr>
        <w:t xml:space="preserve">"The decision to launch the Ionex electric vehicle in Round 6. It was expensive and risky — EV margins started at 5% compared to 15–18% for Regalia. I justified the investment for three reasons: first, regulatory signals (EEA policies) made EV capability non-negotiable for long-term compliance; second, competitors were investing in EV space and early entry meant a learning advantage; third, our R&amp;D had already improved design and battery-adjacent engineering to a point where the launch risk was manageable.</w:t>
      </w:r>
    </w:p>
    <w:p>
      <w:pPr>
        <w:spacing w:before="80" w:after="80"/>
      </w:pPr>
      <w:r>
        <w:rPr>
          <w:rFonts w:ascii="Arial" w:cs="Arial" w:eastAsia="Arial" w:hAnsi="Arial"/>
          <w:sz w:val="22"/>
          <w:szCs w:val="22"/>
        </w:rPr>
        <w:t xml:space="preserve">By Round 9, Ionex reached 80,000 units and 12% margins. That decision added significant long-term value to the portfolio."</w:t>
      </w:r>
    </w:p>
    <w:p>
      <w:pPr>
        <w:pStyle w:val="Heading2"/>
        <w:spacing w:before="240" w:after="120"/>
      </w:pPr>
      <w:r>
        <w:rPr>
          <w:rFonts w:ascii="Arial" w:cs="Arial" w:eastAsia="Arial" w:hAnsi="Arial"/>
          <w:b/>
          <w:bCs/>
          <w:color w:val="2E75B6"/>
          <w:sz w:val="26"/>
          <w:szCs w:val="26"/>
        </w:rPr>
        <w:t xml:space="preserve">Q: What went wrong and how did you handle it?</w:t>
      </w:r>
    </w:p>
    <w:p>
      <w:pPr>
        <w:spacing w:before="80" w:after="80"/>
      </w:pPr>
      <w:r>
        <w:rPr>
          <w:rFonts w:ascii="Arial" w:cs="Arial" w:eastAsia="Arial" w:hAnsi="Arial"/>
          <w:sz w:val="22"/>
          <w:szCs w:val="22"/>
        </w:rPr>
        <w:t xml:space="preserve">"Two things. In Rounds 1–3, when we scaled the workforce rapidly from 2,046 to 4,000, productivity per worker actually dropped — from 43.12 to 38.88 cars per worker per year. Scaling people faster than automation and training could absorb created inefficiency.</w:t>
      </w:r>
    </w:p>
    <w:p>
      <w:pPr>
        <w:spacing w:before="80" w:after="80"/>
      </w:pPr>
      <w:r>
        <w:rPr>
          <w:rFonts w:ascii="Arial" w:cs="Arial" w:eastAsia="Arial" w:hAnsi="Arial"/>
          <w:sz w:val="22"/>
          <w:szCs w:val="22"/>
        </w:rPr>
        <w:t xml:space="preserve">I corrected this by pausing aggressive hiring in Rounds 4 and 5, reducing the workforce to 3,550, while doubling down on automation investment. Productivity climbed to 61.69 cars per worker by Round 5. The lesson: scaling headcount without matching it with automation creates drag, not growth.</w:t>
      </w:r>
    </w:p>
    <w:p>
      <w:pPr>
        <w:spacing w:before="80" w:after="80"/>
      </w:pPr>
      <w:r>
        <w:rPr>
          <w:rFonts w:ascii="Arial" w:cs="Arial" w:eastAsia="Arial" w:hAnsi="Arial"/>
          <w:sz w:val="22"/>
          <w:szCs w:val="22"/>
        </w:rPr>
        <w:t xml:space="preserve">The second issue was the ixUV warranty cost spiking to £40M in Round 8. I had underprioritised quality R&amp;D for that model while focusing on the new Ionex launch. We directed targeted R&amp;D back to ixUV design quality in subsequent rounds and brought warranty costs under control."</w:t>
      </w:r>
    </w:p>
    <w:p>
      <w:pPr>
        <w:pStyle w:val="Heading2"/>
        <w:spacing w:before="240" w:after="120"/>
      </w:pPr>
      <w:r>
        <w:rPr>
          <w:rFonts w:ascii="Arial" w:cs="Arial" w:eastAsia="Arial" w:hAnsi="Arial"/>
          <w:b/>
          <w:bCs/>
          <w:color w:val="2E75B6"/>
          <w:sz w:val="26"/>
          <w:szCs w:val="26"/>
        </w:rPr>
        <w:t xml:space="preserve">Q: How do you measure success in engineering leadership?</w:t>
      </w:r>
    </w:p>
    <w:p>
      <w:pPr>
        <w:spacing w:before="80" w:after="80"/>
      </w:pPr>
      <w:r>
        <w:rPr>
          <w:rFonts w:ascii="Arial" w:cs="Arial" w:eastAsia="Arial" w:hAnsi="Arial"/>
          <w:sz w:val="22"/>
          <w:szCs w:val="22"/>
        </w:rPr>
        <w:t xml:space="preserve">"I use both leading and lagging indicators. Leading indicators tell you if the strategy is on track before results appear — things like automation spend per round, R&amp;D intensity as a share of revenue, and design quality scores. Lagging indicators confirm whether the strategy worked — profit per employee, warranty cost per unit, market share, share price.</w:t>
      </w:r>
    </w:p>
    <w:p>
      <w:pPr>
        <w:spacing w:before="80" w:after="80"/>
      </w:pPr>
      <w:r>
        <w:rPr>
          <w:rFonts w:ascii="Arial" w:cs="Arial" w:eastAsia="Arial" w:hAnsi="Arial"/>
          <w:sz w:val="22"/>
          <w:szCs w:val="22"/>
        </w:rPr>
        <w:t xml:space="preserve">In this simulation, we tracked all of these explicitly. By Round 10, Nexus had £1.3M profit per employee versus ELEEVA's £0.95M — a clear win on quality of return even though People Motors produced more cars per worker on volume metrics. Knowing which metric to optimise for in which context is what makes engineering leadership strategic rather than just operational."</w:t>
      </w:r>
    </w:p>
    <w:p>
      <w:pPr>
        <w:pStyle w:val="Heading2"/>
        <w:spacing w:before="240" w:after="120"/>
      </w:pPr>
      <w:r>
        <w:rPr>
          <w:rFonts w:ascii="Arial" w:cs="Arial" w:eastAsia="Arial" w:hAnsi="Arial"/>
          <w:b/>
          <w:bCs/>
          <w:color w:val="2E75B6"/>
          <w:sz w:val="26"/>
          <w:szCs w:val="26"/>
        </w:rPr>
        <w:t xml:space="preserve">Q: How did you prioritise between competing investments?</w:t>
      </w:r>
    </w:p>
    <w:p>
      <w:pPr>
        <w:spacing w:before="80" w:after="80"/>
      </w:pPr>
      <w:r>
        <w:rPr>
          <w:rFonts w:ascii="Arial" w:cs="Arial" w:eastAsia="Arial" w:hAnsi="Arial"/>
          <w:sz w:val="22"/>
          <w:szCs w:val="22"/>
        </w:rPr>
        <w:t xml:space="preserve">"I ran a phased investment model. Rounds 1–3 were about operational stability: get production consistent, build automation foundations, improve baseline quality. Rounds 4–7 were about strategic expansion: launch premium and EV models, increase R&amp;D intensity for design differentiation. Rounds 8–10 were about optimisation: push productivity, defend premium margins, capture EV volume growth.</w:t>
      </w:r>
    </w:p>
    <w:p>
      <w:pPr>
        <w:spacing w:before="80" w:after="80"/>
      </w:pPr>
      <w:r>
        <w:rPr>
          <w:rFonts w:ascii="Arial" w:cs="Arial" w:eastAsia="Arial" w:hAnsi="Arial"/>
          <w:sz w:val="22"/>
          <w:szCs w:val="22"/>
        </w:rPr>
        <w:t xml:space="preserve">The principle was: do not try to do everything at once. Automation spending before workforce readiness causes inefficiency. EV launches before design quality is proven create margin erosion. Sequencing decisions in the right order compounded returns."</w:t>
      </w:r>
    </w:p>
    <w:p>
      <w:pPr>
        <w:pStyle w:val="Heading2"/>
        <w:spacing w:before="240" w:after="120"/>
      </w:pPr>
      <w:r>
        <w:rPr>
          <w:rFonts w:ascii="Arial" w:cs="Arial" w:eastAsia="Arial" w:hAnsi="Arial"/>
          <w:b/>
          <w:bCs/>
          <w:color w:val="2E75B6"/>
          <w:sz w:val="26"/>
          <w:szCs w:val="26"/>
        </w:rPr>
        <w:t xml:space="preserve">Q: What did you learn from the simulation?</w:t>
      </w:r>
    </w:p>
    <w:p>
      <w:pPr>
        <w:spacing w:before="80" w:after="80"/>
      </w:pPr>
      <w:r>
        <w:rPr>
          <w:rFonts w:ascii="Arial" w:cs="Arial" w:eastAsia="Arial" w:hAnsi="Arial"/>
          <w:sz w:val="22"/>
          <w:szCs w:val="22"/>
        </w:rPr>
        <w:t xml:space="preserve">"Three concrete things. First, investment timing matters as much as investment amount. Early automation spending with an undertrained workforce produced poor ROI; the same spending after workforce optimisation produced step-change gains.</w:t>
      </w:r>
    </w:p>
    <w:p>
      <w:pPr>
        <w:spacing w:before="80" w:after="80"/>
      </w:pPr>
      <w:r>
        <w:rPr>
          <w:rFonts w:ascii="Arial" w:cs="Arial" w:eastAsia="Arial" w:hAnsi="Arial"/>
          <w:sz w:val="22"/>
          <w:szCs w:val="22"/>
        </w:rPr>
        <w:t xml:space="preserve">Second, product diversification is a risk management tool, not just a growth tool. When Ionex margins were low in Round 6, Regalia's 15–18% margins stabilised the portfolio. Having multiple revenue streams prevented any single model's underperformance from threatening the business.</w:t>
      </w:r>
    </w:p>
    <w:p>
      <w:pPr>
        <w:spacing w:before="80" w:after="80"/>
      </w:pPr>
      <w:r>
        <w:rPr>
          <w:rFonts w:ascii="Arial" w:cs="Arial" w:eastAsia="Arial" w:hAnsi="Arial"/>
          <w:sz w:val="22"/>
          <w:szCs w:val="22"/>
        </w:rPr>
        <w:t xml:space="preserve">Third, sustainability is not optional — it is a strategic differentiator. Launching Ionex before it was strictly required positioned us ahead of competitors when EV regulations tightened. Companies that wait for regulatory deadlines to force action lose the learning curve advantage."</w:t>
      </w:r>
    </w:p>
    <w:p>
      <w:pPr>
        <w:pStyle w:val="Heading1"/>
        <w:spacing w:before="320" w:after="160"/>
      </w:pPr>
      <w:r>
        <w:rPr>
          <w:rFonts w:ascii="Arial" w:cs="Arial" w:eastAsia="Arial" w:hAnsi="Arial"/>
          <w:b/>
          <w:bCs/>
          <w:color w:val="1F4E79"/>
          <w:sz w:val="32"/>
          <w:szCs w:val="32"/>
        </w:rPr>
        <w:t xml:space="preserve">3. Metrics You Must Know Cold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1F4E79" w:sz="1"/>
              <w:left w:val="single" w:color="1F4E79" w:sz="1"/>
              <w:bottom w:val="single" w:color="1F4E79" w:sz="1"/>
              <w:right w:val="single" w:color="1F4E79"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4680"/>
            <w:tcBorders>
              <w:top w:val="single" w:color="1F4E79" w:sz="1"/>
              <w:left w:val="single" w:color="1F4E79" w:sz="1"/>
              <w:bottom w:val="single" w:color="1F4E79" w:sz="1"/>
              <w:right w:val="single" w:color="1F4E79" w:sz="1"/>
            </w:tcBorders>
            <w:shd w:fill="2E75B6"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Profit growth (R1 to R10)</w:t>
            </w:r>
          </w:p>
        </w:tc>
        <w:tc>
          <w:tcPr>
            <w:tcW w:type="dxa" w:w="46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2,164% — £279M to £6,324M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Productivity index</w:t>
            </w:r>
          </w:p>
        </w:tc>
        <w:tc>
          <w:tcPr>
            <w:tcW w:type="dxa" w:w="46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1.00 (R1) to 1.92 (R10); peak 1.94 in R8</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Share price</w:t>
            </w:r>
          </w:p>
        </w:tc>
        <w:tc>
          <w:tcPr>
            <w:tcW w:type="dxa" w:w="46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£8,863.72 at end</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Total automation investment</w:t>
            </w:r>
          </w:p>
        </w:tc>
        <w:tc>
          <w:tcPr>
            <w:tcW w:type="dxa" w:w="46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£1,015M cumulative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Workforce at peak</w:t>
            </w:r>
          </w:p>
        </w:tc>
        <w:tc>
          <w:tcPr>
            <w:tcW w:type="dxa" w:w="46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6,400 employees (R8)</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Ionex units by R9</w:t>
            </w:r>
          </w:p>
        </w:tc>
        <w:tc>
          <w:tcPr>
            <w:tcW w:type="dxa" w:w="46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80,000 — margin 12%</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Regalia margin range</w:t>
            </w:r>
          </w:p>
        </w:tc>
        <w:tc>
          <w:tcPr>
            <w:tcW w:type="dxa" w:w="46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15–18% consistent</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Warranty cost per unit (R10)</w:t>
            </w:r>
          </w:p>
        </w:tc>
        <w:tc>
          <w:tcPr>
            <w:tcW w:type="dxa" w:w="46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£449.78</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Profit per employee (R10)</w:t>
            </w:r>
          </w:p>
        </w:tc>
        <w:tc>
          <w:tcPr>
            <w:tcW w:type="dxa" w:w="46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£1.3M vs ELEEVA £0.95M</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Cars per worker peak</w:t>
            </w:r>
          </w:p>
        </w:tc>
        <w:tc>
          <w:tcPr>
            <w:tcW w:type="dxa" w:w="4680"/>
            <w:tcBorders>
              <w:top w:val="single" w:color="CCCCCC" w:sz="1"/>
              <w:left w:val="single" w:color="CCCCCC" w:sz="1"/>
              <w:bottom w:val="single" w:color="CCCCCC" w:sz="1"/>
              <w:right w:val="single" w:color="CCCCCC" w:sz="1"/>
            </w:tcBorders>
            <w:shd w:fill="F5F9FD" w:val="clear"/>
            <w:tcMar>
              <w:top w:type="dxa" w:w="80"/>
              <w:left w:type="dxa" w:w="120"/>
              <w:bottom w:type="dxa" w:w="80"/>
              <w:right w:type="dxa" w:w="120"/>
            </w:tcMar>
          </w:tcPr>
          <w:p>
            <w:r>
              <w:rPr>
                <w:rFonts w:ascii="Arial" w:cs="Arial" w:eastAsia="Arial" w:hAnsi="Arial"/>
                <w:b w:val="false"/>
                <w:bCs w:val="false"/>
                <w:color w:val="333333"/>
                <w:sz w:val="20"/>
                <w:szCs w:val="20"/>
              </w:rPr>
              <w:t xml:space="preserve">70.31/year (vs People Motors 106)</w:t>
            </w:r>
          </w:p>
        </w:tc>
      </w:tr>
    </w:tbl>
    <w:p>
      <w:pPr>
        <w:pStyle w:val="Heading1"/>
        <w:spacing w:before="320" w:after="160"/>
      </w:pPr>
      <w:r>
        <w:rPr>
          <w:rFonts w:ascii="Arial" w:cs="Arial" w:eastAsia="Arial" w:hAnsi="Arial"/>
          <w:b/>
          <w:bCs/>
          <w:color w:val="1F4E79"/>
          <w:sz w:val="32"/>
          <w:szCs w:val="32"/>
        </w:rPr>
        <w:t xml:space="preserve">4. How to Frame This on a CV / LinkedIn</w:t>
      </w:r>
    </w:p>
    <w:p>
      <w:pPr>
        <w:spacing w:before="80" w:after="80"/>
      </w:pPr>
      <w:r>
        <w:rPr>
          <w:rFonts w:ascii="Arial" w:cs="Arial" w:eastAsia="Arial" w:hAnsi="Arial"/>
          <w:sz w:val="22"/>
          <w:szCs w:val="22"/>
        </w:rPr>
        <w:t xml:space="preserve">"Led technical and engineering strategy for Nexus Automobile across a 10-round automotive business simulation. Scaled company from 2 to 5 vehicle models including luxury and electric segments. Grew post-tax profit by 2,164% (£279M to £6,324M). Achieved productivity index of 1.92 through £1,015M in staged automation investment. Delivered industry-leading profit per employee (£1.3M) by balancing portfolio diversification with disciplined R&amp;D allocation."</w:t>
      </w:r>
    </w:p>
    <w:p>
      <w:pPr>
        <w:pStyle w:val="Heading1"/>
        <w:spacing w:before="320" w:after="160"/>
      </w:pPr>
      <w:r>
        <w:rPr>
          <w:rFonts w:ascii="Arial" w:cs="Arial" w:eastAsia="Arial" w:hAnsi="Arial"/>
          <w:b/>
          <w:bCs/>
          <w:color w:val="1F4E79"/>
          <w:sz w:val="32"/>
          <w:szCs w:val="32"/>
        </w:rPr>
        <w:t xml:space="preserve">5. What Not to Say</w:t>
      </w:r>
    </w:p>
    <w:p>
      <w:pPr>
        <w:pStyle w:val="ListParagraph"/>
        <w:numPr>
          <w:ilvl w:val="0"/>
          <w:numId w:val="2"/>
        </w:numPr>
        <w:spacing w:before="60" w:after="60"/>
      </w:pPr>
      <w:r>
        <w:rPr>
          <w:rFonts w:ascii="Arial" w:cs="Arial" w:eastAsia="Arial" w:hAnsi="Arial"/>
          <w:sz w:val="22"/>
          <w:szCs w:val="22"/>
        </w:rPr>
        <w:t xml:space="preserve">Do not describe it only as 'a university assignment' — frame it as a competitive strategy exercise with real business mechanics</w:t>
      </w:r>
    </w:p>
    <w:p>
      <w:pPr>
        <w:pStyle w:val="ListParagraph"/>
        <w:numPr>
          <w:ilvl w:val="0"/>
          <w:numId w:val="2"/>
        </w:numPr>
        <w:spacing w:before="60" w:after="60"/>
      </w:pPr>
      <w:r>
        <w:rPr>
          <w:rFonts w:ascii="Arial" w:cs="Arial" w:eastAsia="Arial" w:hAnsi="Arial"/>
          <w:sz w:val="22"/>
          <w:szCs w:val="22"/>
        </w:rPr>
        <w:t xml:space="preserve">Do not say 'we just followed what the reports said' — show that you interpreted data and made trade-off decisions</w:t>
      </w:r>
    </w:p>
    <w:p>
      <w:pPr>
        <w:pStyle w:val="ListParagraph"/>
        <w:numPr>
          <w:ilvl w:val="0"/>
          <w:numId w:val="2"/>
        </w:numPr>
        <w:spacing w:before="60" w:after="60"/>
      </w:pPr>
      <w:r>
        <w:rPr>
          <w:rFonts w:ascii="Arial" w:cs="Arial" w:eastAsia="Arial" w:hAnsi="Arial"/>
          <w:sz w:val="22"/>
          <w:szCs w:val="22"/>
        </w:rPr>
        <w:t xml:space="preserve">Do not overclaim: it is a simulation. Acknowledge this if asked, but explain that the underlying frameworks are grounded in real automotive industry dynamics</w:t>
      </w:r>
    </w:p>
    <w:p>
      <w:pPr>
        <w:pStyle w:val="ListParagraph"/>
        <w:numPr>
          <w:ilvl w:val="0"/>
          <w:numId w:val="2"/>
        </w:numPr>
        <w:spacing w:before="60" w:after="60"/>
      </w:pPr>
      <w:r>
        <w:rPr>
          <w:rFonts w:ascii="Arial" w:cs="Arial" w:eastAsia="Arial" w:hAnsi="Arial"/>
          <w:sz w:val="22"/>
          <w:szCs w:val="22"/>
        </w:rPr>
        <w:t xml:space="preserve">Do not ignore numbers — vague answers like 'we did well' lose credibility. Use the metrics table above</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160"/>
      <w:outlineLvl w:val="0"/>
    </w:pPr>
    <w:rPr>
      <w:rFonts w:ascii="Arial" w:cs="Arial" w:eastAsia="Arial" w:hAnsi="Arial"/>
      <w:b/>
      <w:bCs/>
      <w:sz w:val="32"/>
      <w:szCs w:val="32"/>
    </w:rPr>
  </w:style>
  <w:style w:type="paragraph" w:styleId="Heading2">
    <w:name w:val="Heading 2"/>
    <w:basedOn w:val="Normal"/>
    <w:next w:val="Normal"/>
    <w:qFormat/>
    <w:pPr>
      <w:spacing w:before="240" w:after="12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2026-03-23T01:16:34.923Z</dcterms:created>
  <dcterms:modified xsi:type="dcterms:W3CDTF">2026-03-23T01:16:34.923Z</dcterms:modified>
</cp:coreProperties>
</file>

<file path=docProps/custom.xml><?xml version="1.0" encoding="utf-8"?>
<Properties xmlns="http://schemas.openxmlformats.org/officeDocument/2006/custom-properties" xmlns:vt="http://schemas.openxmlformats.org/officeDocument/2006/docPropsVTypes"/>
</file>