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COURT CASE INFORMATION FORM</w:t>
      </w:r>
    </w:p>
    <w:p>
      <w:r>
        <w:t>Case Number: CIV-2026-1047</w:t>
      </w:r>
    </w:p>
    <w:p>
      <w:r>
        <w:t>Applicant Name: Rahul Sharma</w:t>
      </w:r>
    </w:p>
    <w:p>
      <w:r>
        <w:t>Respondent Name: Mehta Infrastructure Pvt. Ltd.</w:t>
      </w:r>
    </w:p>
    <w:p>
      <w:r>
        <w:t>Lawyer Name: Adv. Amit Patil</w:t>
      </w:r>
    </w:p>
    <w:p>
      <w:r>
        <w:t>Court Name: Bombay High Court</w:t>
      </w:r>
    </w:p>
    <w:p>
      <w:r>
        <w:t>Case Type: Civil</w:t>
      </w:r>
    </w:p>
    <w:p>
      <w:r>
        <w:t>Filing Date: 2026-01-18</w:t>
      </w:r>
    </w:p>
    <w:p>
      <w:r>
        <w:t>Applicant Address: Flat 402, Shree Ganesh Residency, Kolhapur, Maharashtra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