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Mandate / What we are building</w:t>
      </w:r>
    </w:p>
    <w:p>
      <w:r>
        <w:t>A plain-language guide • Synthetic hackathon MVP • 5 September 2026</w:t>
      </w:r>
    </w:p>
    <w:p>
      <w:pPr>
        <w:pStyle w:val="Heading1"/>
      </w:pPr>
      <w:r>
        <w:t>The business problem</w:t>
      </w:r>
    </w:p>
    <w:p>
      <w:r>
        <w:t>An enterprise partner asks a small company to explain its security controls. The information is scattered across policies, system records and employees. A rushed “yes” can conceal a gap. Mandate assembles a draft whose answers show what is supported, what someone has confirmed and what remains unresolved.</w:t>
      </w:r>
    </w:p>
    <w:p>
      <w:pPr>
        <w:pStyle w:val="Heading1"/>
      </w:pPr>
      <w:r>
        <w:t>The demonstration</w:t>
      </w:r>
    </w:p>
    <w:p>
      <w:r>
        <w:t>Yari’s five-person team reviews eight questions. A policy says MFA is required, while an employee message describes a contractor exception. Mandate shows both. It finds no backup records, so it asks whether backups happen, how frequently and whether they are automated. It remembers the response and later corrections. The team can export a questionnaire and a decision memo for an accountable human owner.</w:t>
      </w:r>
    </w:p>
    <w:p>
      <w:pPr>
        <w:pStyle w:val="Heading1"/>
      </w:pPr>
      <w:r>
        <w:t>Why chat belongs here</w:t>
      </w:r>
    </w:p>
    <w:p>
      <w:r>
        <w:t>Chat is a way to fill precise gaps after searching the records. It is not a separate generic assistant. Saying “daily automated backups” updates the profile as an employee assertion. It does not become independent verification. Saying “everything is secure” does not erase the MFA conflict. New scoped evidence is needed to resolve that example.</w:t>
      </w:r>
    </w:p>
    <w:p>
      <w:r>
        <w:br w:type="page"/>
      </w:r>
    </w:p>
    <w:p>
      <w:pPr>
        <w:pStyle w:val="Heading1"/>
      </w:pPr>
      <w:r>
        <w:t>What exists in this package</w:t>
      </w:r>
    </w:p>
    <w:p>
      <w:r>
        <w:t>A single-file premium browser demo; animated WebGL process view; persistent synthetic chat; source inspection; questionnaire JSON and CSV; printable executive memo; an authenticated Python API with SQLite profile storage; synthetic company records; automated tests; the earlier payment MVP; build prompts and a reference story deck. The security conversation is a deterministic engine, not a live AI analyst. Browser and server modes are explicitly labeled.</w:t>
      </w:r>
    </w:p>
    <w:p>
      <w:pPr>
        <w:pStyle w:val="Heading1"/>
      </w:pPr>
      <w:r>
        <w:t>PRISM and GIDE</w:t>
      </w:r>
    </w:p>
    <w:p>
      <w:r>
        <w:t>The supplied event announcement requires both tools. PRISM observes and evaluates AI runs; it is not Mandate’s business decision owner. The existing payment-model adapter includes PRISM support, but this new security workflow still needs its own live model/trace integration and a verified PRISM run. GIDE is the development editor/CLI: complete a meaningful build or test segment there and retain session evidence. Merely uploading a finished repository does not establish meaningful use. Organizer acceptance and any pre-build restrictions remain unconfirmed.</w:t>
      </w:r>
    </w:p>
    <w:p>
      <w:pPr>
        <w:pStyle w:val="Heading1"/>
      </w:pPr>
      <w:r>
        <w:t>A practical four-hour build plan</w:t>
      </w:r>
    </w:p>
    <w:p>
      <w:r>
        <w:t>First 30 minutes: install and sign in to sponsor tools, verify credentials, run the baseline tests and select the official track. Next 60 minutes: add a bounded model explanation over retrieved security evidence while keeping status assignment deterministic; trace the actual exchange in PRISM. Next 45 minutes: use GIDE to implement and test a meaningful segment, such as source-linked model output validation. Next 45 minutes: test end-to-end, record one bad run and corrected run, rehearse the demo. Reserve the final 60 minutes for integration fixes, repository submission and a short recording. Confirm the earlier 3:30 PM submission lock; a “six-hour” brief does not itself extend it.</w:t>
      </w:r>
    </w:p>
    <w:p>
      <w:r>
        <w:br w:type="page"/>
      </w:r>
    </w:p>
    <w:p>
      <w:pPr>
        <w:pStyle w:val="Heading1"/>
      </w:pPr>
      <w:r>
        <w:t>Prerequisites and limits</w:t>
      </w:r>
    </w:p>
    <w:p>
      <w:r>
        <w:t>Use synthetic records only. Provision local passwords with the bootstrap script and keep provider keys on the server. Confirm sponsor access, permitted pre-built work, exact deadline and team-size rule with organizers. Local/API deployment instructions are included; Docker and cloud deployment were not verified in this update. Voice is optional and not connected. No compliance certification, fraud prevention rate, revenue improvement or headcount saving is claimed.</w:t>
      </w:r>
    </w:p>
    <w:p>
      <w:pPr>
        <w:pStyle w:val="Heading1"/>
      </w:pPr>
      <w:r>
        <w:t>The demo narrative</w:t>
      </w:r>
    </w:p>
    <w:p>
      <w:r>
        <w:t>Show the MFA contradiction first. Ask about backups and complete the follow-ups. Correct daily to weekly and demonstrate memory. Open the source record. Add the clearly labeled newer synthetic IAM fixture. Export the draft with remaining unknowns visible. Close on the memo: the system prepares a defensible decision, while the human owns what is represented to the enterprise partner.</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MANDATE  /  Synthetic demonstration  /  5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832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2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832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