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Mandate / UI &amp; interaction specification</w:t>
      </w:r>
    </w:p>
    <w:p>
      <w:r>
        <w:t>Security analyst MVP • 5 September 2026</w:t>
      </w:r>
    </w:p>
    <w:p>
      <w:pPr>
        <w:pStyle w:val="Heading1"/>
      </w:pPr>
      <w:r>
        <w:t>Purpose and persona</w:t>
      </w:r>
    </w:p>
    <w:p>
      <w:r>
        <w:t>Yari leads a five-person team at a synthetic $47m technology retailer. The primary workflow prepares an enterprise security questionnaire by investigating records, collecting missing employee information and preserving contradictions. The earlier payment demo remains a separate reference scenario.</w:t>
      </w:r>
    </w:p>
    <w:p>
      <w:pPr>
        <w:pStyle w:val="Heading1"/>
      </w:pPr>
      <w:r>
        <w:t>Visual system</w:t>
      </w:r>
    </w:p>
    <w:p>
      <w:r>
        <w:t>Forest #153C33, paper #F3F3EC, mint #C1E8C7 and restrained amber/red status accents. System sans-serif body and serif headlines. Spacious cards, narrow navigation and editorial decision headlines. Desktop uses a two-column workspace; below 800px it stacks into one column. Keyboard focus is visible; status is expressed in text as well as color.</w:t>
      </w:r>
    </w:p>
    <w:p>
      <w:pPr>
        <w:pStyle w:val="Heading1"/>
      </w:pPr>
      <w:r>
        <w:t>Entry and overview</w:t>
      </w:r>
    </w:p>
    <w:p>
      <w:r>
        <w:t>Demo entry is explicitly a persona selection, not authentication. Connected mode uses provisioned analyst/controller/auditor credentials at /security. The overview counts eight items by support category. Its native WebGL graph shows records, retrieval, conflict checks, profile memory, employee input and draft export. Motion is illustrative, not a live multi-agent telemetry claim. Reduced-motion preference produces a static frame; unavailable WebGL retains labeled stages.</w:t>
      </w:r>
    </w:p>
    <w:p>
      <w:r>
        <w:br w:type="page"/>
      </w:r>
    </w:p>
    <w:p>
      <w:pPr>
        <w:pStyle w:val="Heading1"/>
      </w:pPr>
      <w:r>
        <w:t>Chat and memory</w:t>
      </w:r>
    </w:p>
    <w:p>
      <w:r>
        <w:t>Suggested prompts open real bounded interactions. Backups progresses through performed, frequency and automation, then stores an employee assertion. A correction such as “Actually backups are weekly” supersedes the value while retaining history. Browser mode uses localStorage; connected mode uses the authenticated server profile. Both are synthetic. General unsupported questions return a bounded control menu; there is no open-ended language model in this workflow.</w:t>
      </w:r>
    </w:p>
    <w:p>
      <w:pPr>
        <w:pStyle w:val="Heading1"/>
      </w:pPr>
      <w:r>
        <w:t>Evidence and conflict</w:t>
      </w:r>
    </w:p>
    <w:p>
      <w:r>
        <w:t>Source buttons expose full record text, source type, origin, parent links, timestamp and SHA-256 digest. Policy evidence is scoped to documented intent. MFA begins conflicted because a contractor exception contradicts the policy; a vague assurance cannot clear it. Loading the explicitly labeled synthetic IAM fixture adds newer operational evidence and preserves prior records. A digest checks content consistency, not the truth of the claim.</w:t>
      </w:r>
    </w:p>
    <w:p>
      <w:pPr>
        <w:pStyle w:val="Heading1"/>
      </w:pPr>
      <w:r>
        <w:t>Questionnaire and memo</w:t>
      </w:r>
    </w:p>
    <w:p>
      <w:r>
        <w:t>The eight controls cover MFA, storage, encryption, backups, scans, production access, offboarding and background checks. Export includes evidence-backed, user-confirmed, unknown and conflict categories with scoped answers and owners. JSON includes source and history records; CSV is a concise questionnaire. The finance-style memo includes a strategic headline, requested human decision, current coverage counts, owner actions and business implication. Print-to-PDF and standalone HTML export are supported; external submission is not implemented.</w:t>
      </w:r>
    </w:p>
    <w:p>
      <w:r>
        <w:br w:type="page"/>
      </w:r>
    </w:p>
    <w:p>
      <w:pPr>
        <w:pStyle w:val="Heading1"/>
      </w:pPr>
      <w:r>
        <w:t>API and authority</w:t>
      </w:r>
    </w:p>
    <w:p>
      <w:r>
        <w:t>GET /api/security/profile; POST /api/security/chat with message and expected_revision; POST /api/security/resolution-fixture with expected_revision; GET /api/security/questionnaire. Existing bearer sessions authenticate actors. Auditor access is read-only. SQLite transactions reject stale revisions with 409. HMAC protects stored profile consistency with the server key. This does not provide external anchoring or enterprise tenancy. Browser replay is editable and is not an audit authority.</w:t>
      </w:r>
    </w:p>
    <w:p>
      <w:pPr>
        <w:pStyle w:val="Heading1"/>
      </w:pPr>
      <w:r>
        <w:t>Acceptance and remaining work</w:t>
      </w:r>
    </w:p>
    <w:p>
      <w:r>
        <w:t>Test the backup sequence, correction, reload, persistent MFA contradiction, new-source resolution, source digest, exports, mobile layout, authentication, role denial, stale revision and tampered stored profile. Live security-model calls, PRISM security traces, voice, multi-company tenancy and external questionnaire submission remain integration work. Keep canonical evidence status outside model control. Never silently promote an employee claim to verified evidence.</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MANDATE  /  Synthetic demonstration  /  5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832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2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832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