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E4E6A" w14:textId="77777777" w:rsidR="00555DAF" w:rsidRDefault="00555DAF" w:rsidP="00555DAF">
      <w:pPr>
        <w:pStyle w:val="Title"/>
        <w:ind w:right="213"/>
        <w:jc w:val="center"/>
      </w:pPr>
      <w:r>
        <w:rPr>
          <w:color w:val="FF0000"/>
        </w:rPr>
        <w:t>Vishwakarma Institute of Information Technology, Pune</w:t>
      </w:r>
    </w:p>
    <w:p w14:paraId="75530E4C" w14:textId="77777777" w:rsidR="00555DAF" w:rsidRDefault="00555DAF" w:rsidP="00555DAF">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0E5878FE" w14:textId="77777777" w:rsidR="00555DAF" w:rsidRDefault="00555DAF" w:rsidP="00555DAF">
      <w:pPr>
        <w:pStyle w:val="BodyText"/>
        <w:ind w:right="213"/>
        <w:jc w:val="center"/>
        <w:rPr>
          <w:b/>
          <w:sz w:val="20"/>
        </w:rPr>
      </w:pPr>
    </w:p>
    <w:p w14:paraId="732653A7" w14:textId="77777777" w:rsidR="00555DAF" w:rsidRDefault="00555DAF" w:rsidP="00555DAF">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20643464" w14:textId="77777777" w:rsidR="00555DAF" w:rsidRDefault="00555DAF" w:rsidP="00555DAF">
      <w:pPr>
        <w:spacing w:before="1"/>
        <w:ind w:right="213"/>
        <w:jc w:val="center"/>
        <w:rPr>
          <w:b/>
          <w:sz w:val="28"/>
        </w:rPr>
      </w:pPr>
      <w:r>
        <w:rPr>
          <w:b/>
          <w:spacing w:val="-5"/>
          <w:sz w:val="28"/>
        </w:rPr>
        <w:t>on</w:t>
      </w:r>
    </w:p>
    <w:p w14:paraId="3F3AAA95" w14:textId="77777777" w:rsidR="00555DAF" w:rsidRDefault="00555DAF" w:rsidP="00555DAF">
      <w:pPr>
        <w:pStyle w:val="BodyText"/>
        <w:spacing w:before="9"/>
        <w:ind w:right="213"/>
        <w:jc w:val="center"/>
        <w:rPr>
          <w:b/>
          <w:sz w:val="15"/>
        </w:rPr>
      </w:pPr>
      <w:r>
        <w:rPr>
          <w:b/>
          <w:noProof/>
          <w:sz w:val="15"/>
          <w:lang w:val="en-IN" w:eastAsia="en-IN" w:bidi="mr-IN"/>
          <w14:ligatures w14:val="standardContextual"/>
        </w:rPr>
        <w:drawing>
          <wp:inline distT="0" distB="0" distL="0" distR="0" wp14:anchorId="0F0870EA" wp14:editId="51E08664">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48AEF031" w14:textId="77777777" w:rsidR="00555DAF" w:rsidRDefault="00555DAF" w:rsidP="00555DAF">
      <w:pPr>
        <w:spacing w:before="159"/>
        <w:ind w:right="213"/>
        <w:jc w:val="center"/>
        <w:rPr>
          <w:b/>
          <w:color w:val="001F5F"/>
          <w:spacing w:val="-2"/>
          <w:sz w:val="32"/>
        </w:rPr>
      </w:pPr>
      <w:r>
        <w:rPr>
          <w:b/>
          <w:sz w:val="28"/>
          <w:szCs w:val="28"/>
        </w:rPr>
        <w:t>CSE (AI) Department</w:t>
      </w:r>
    </w:p>
    <w:p w14:paraId="7A416E60" w14:textId="77777777" w:rsidR="00555DAF" w:rsidRDefault="00555DAF" w:rsidP="00555DAF">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3B344C44" w14:textId="77777777" w:rsidR="00555DAF" w:rsidRDefault="00555DAF" w:rsidP="00555DAF">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605E9C0D" w14:textId="03612D83" w:rsidR="00555DAF" w:rsidRPr="0054461B" w:rsidRDefault="00555DAF" w:rsidP="00555DAF">
      <w:pPr>
        <w:spacing w:before="185"/>
        <w:ind w:right="213"/>
        <w:jc w:val="center"/>
        <w:rPr>
          <w:b/>
          <w:sz w:val="40"/>
          <w:szCs w:val="40"/>
        </w:rPr>
      </w:pPr>
      <w:r w:rsidRPr="0054461B">
        <w:rPr>
          <w:b/>
          <w:color w:val="001F5F"/>
          <w:sz w:val="40"/>
          <w:szCs w:val="40"/>
        </w:rPr>
        <w:t xml:space="preserve"> “</w:t>
      </w:r>
      <w:r>
        <w:rPr>
          <w:b/>
          <w:color w:val="001F5F"/>
          <w:sz w:val="40"/>
          <w:szCs w:val="40"/>
        </w:rPr>
        <w:t>Assignment 5: Data Visualization</w:t>
      </w:r>
      <w:r w:rsidRPr="0054461B">
        <w:rPr>
          <w:b/>
          <w:color w:val="001F5F"/>
          <w:spacing w:val="-2"/>
          <w:sz w:val="40"/>
          <w:szCs w:val="40"/>
        </w:rPr>
        <w:t>”</w:t>
      </w:r>
    </w:p>
    <w:p w14:paraId="28958646" w14:textId="77777777" w:rsidR="00555DAF" w:rsidRDefault="00555DAF" w:rsidP="00555DAF">
      <w:pPr>
        <w:ind w:right="213"/>
        <w:rPr>
          <w:b/>
          <w:color w:val="833909"/>
          <w:sz w:val="28"/>
        </w:rPr>
      </w:pPr>
      <w:r>
        <w:rPr>
          <w:b/>
          <w:color w:val="833909"/>
          <w:sz w:val="28"/>
        </w:rPr>
        <w:t xml:space="preserve">                                                        </w:t>
      </w:r>
    </w:p>
    <w:p w14:paraId="0B4D0652" w14:textId="77777777" w:rsidR="00555DAF" w:rsidRDefault="00555DAF" w:rsidP="00555DAF">
      <w:pPr>
        <w:ind w:right="213"/>
        <w:jc w:val="center"/>
        <w:rPr>
          <w:b/>
          <w:color w:val="006DC0"/>
          <w:spacing w:val="-5"/>
          <w:sz w:val="28"/>
        </w:rPr>
      </w:pPr>
      <w:r>
        <w:rPr>
          <w:b/>
          <w:color w:val="006DC0"/>
          <w:sz w:val="28"/>
        </w:rPr>
        <w:t>Submitted</w:t>
      </w:r>
      <w:r>
        <w:rPr>
          <w:b/>
          <w:color w:val="006DC0"/>
          <w:spacing w:val="-8"/>
          <w:sz w:val="28"/>
        </w:rPr>
        <w:t xml:space="preserve"> by</w:t>
      </w:r>
    </w:p>
    <w:p w14:paraId="24F837EE" w14:textId="77777777" w:rsidR="00555DAF" w:rsidRDefault="00555DAF" w:rsidP="00555DAF">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FD62EA" w14:paraId="0954F279" w14:textId="77777777" w:rsidTr="009040B2">
        <w:tc>
          <w:tcPr>
            <w:tcW w:w="2743" w:type="dxa"/>
          </w:tcPr>
          <w:p w14:paraId="34FB34F3" w14:textId="77777777" w:rsidR="00FD62EA" w:rsidRDefault="00FD62EA" w:rsidP="009040B2">
            <w:pPr>
              <w:spacing w:line="360" w:lineRule="auto"/>
              <w:ind w:right="213"/>
              <w:jc w:val="center"/>
              <w:rPr>
                <w:b/>
                <w:sz w:val="24"/>
              </w:rPr>
            </w:pPr>
            <w:r>
              <w:rPr>
                <w:b/>
                <w:sz w:val="24"/>
              </w:rPr>
              <w:t xml:space="preserve">Sr No </w:t>
            </w:r>
          </w:p>
        </w:tc>
        <w:tc>
          <w:tcPr>
            <w:tcW w:w="2920" w:type="dxa"/>
          </w:tcPr>
          <w:p w14:paraId="242B1BC1" w14:textId="77777777" w:rsidR="00FD62EA" w:rsidRDefault="00FD62EA" w:rsidP="009040B2">
            <w:pPr>
              <w:spacing w:line="360" w:lineRule="auto"/>
              <w:ind w:right="213"/>
              <w:jc w:val="center"/>
              <w:rPr>
                <w:b/>
                <w:sz w:val="24"/>
              </w:rPr>
            </w:pPr>
            <w:r>
              <w:rPr>
                <w:b/>
                <w:sz w:val="24"/>
              </w:rPr>
              <w:t>Name</w:t>
            </w:r>
          </w:p>
        </w:tc>
        <w:tc>
          <w:tcPr>
            <w:tcW w:w="3353" w:type="dxa"/>
          </w:tcPr>
          <w:p w14:paraId="24D48DE9" w14:textId="77777777" w:rsidR="00FD62EA" w:rsidRDefault="00FD62EA" w:rsidP="009040B2">
            <w:pPr>
              <w:spacing w:line="360" w:lineRule="auto"/>
              <w:ind w:right="213"/>
              <w:jc w:val="center"/>
              <w:rPr>
                <w:b/>
                <w:sz w:val="24"/>
              </w:rPr>
            </w:pPr>
            <w:r>
              <w:rPr>
                <w:b/>
                <w:sz w:val="24"/>
              </w:rPr>
              <w:t>Email</w:t>
            </w:r>
          </w:p>
        </w:tc>
      </w:tr>
      <w:tr w:rsidR="00FD62EA" w14:paraId="2FD879B1" w14:textId="77777777" w:rsidTr="009040B2">
        <w:trPr>
          <w:trHeight w:val="467"/>
        </w:trPr>
        <w:tc>
          <w:tcPr>
            <w:tcW w:w="2743" w:type="dxa"/>
          </w:tcPr>
          <w:p w14:paraId="1AE6C2BB" w14:textId="77777777" w:rsidR="00FD62EA" w:rsidRDefault="00FD62EA" w:rsidP="009040B2">
            <w:pPr>
              <w:spacing w:line="360" w:lineRule="auto"/>
              <w:ind w:right="213"/>
              <w:jc w:val="center"/>
              <w:rPr>
                <w:b/>
                <w:sz w:val="24"/>
              </w:rPr>
            </w:pPr>
            <w:r>
              <w:rPr>
                <w:b/>
                <w:sz w:val="24"/>
              </w:rPr>
              <w:t>1</w:t>
            </w:r>
          </w:p>
        </w:tc>
        <w:tc>
          <w:tcPr>
            <w:tcW w:w="2920" w:type="dxa"/>
          </w:tcPr>
          <w:p w14:paraId="21C9514F" w14:textId="77777777" w:rsidR="00FD62EA" w:rsidRDefault="00FD62EA" w:rsidP="009040B2">
            <w:pPr>
              <w:spacing w:line="360" w:lineRule="auto"/>
              <w:ind w:right="213"/>
              <w:jc w:val="center"/>
              <w:rPr>
                <w:b/>
                <w:sz w:val="24"/>
              </w:rPr>
            </w:pPr>
            <w:r>
              <w:rPr>
                <w:b/>
                <w:sz w:val="24"/>
              </w:rPr>
              <w:t>Prajwal Dilip Gaikwad</w:t>
            </w:r>
          </w:p>
        </w:tc>
        <w:tc>
          <w:tcPr>
            <w:tcW w:w="3353" w:type="dxa"/>
          </w:tcPr>
          <w:p w14:paraId="43410137" w14:textId="77777777" w:rsidR="00FD62EA" w:rsidRPr="001526B3" w:rsidRDefault="00FD62EA" w:rsidP="009040B2">
            <w:pPr>
              <w:spacing w:line="360" w:lineRule="auto"/>
              <w:ind w:right="213"/>
              <w:jc w:val="center"/>
            </w:pPr>
            <w:hyperlink r:id="rId8" w:history="1">
              <w:r w:rsidRPr="007C5293">
                <w:rPr>
                  <w:rStyle w:val="Hyperlink"/>
                </w:rPr>
                <w:t>prajwal.22211012@viit.ac.in</w:t>
              </w:r>
            </w:hyperlink>
          </w:p>
        </w:tc>
      </w:tr>
    </w:tbl>
    <w:p w14:paraId="06553BC8" w14:textId="77777777" w:rsidR="00555DAF" w:rsidRDefault="00555DAF" w:rsidP="00555DAF">
      <w:pPr>
        <w:spacing w:line="360" w:lineRule="auto"/>
        <w:ind w:right="213" w:hanging="20"/>
        <w:jc w:val="center"/>
        <w:rPr>
          <w:b/>
          <w:sz w:val="24"/>
        </w:rPr>
      </w:pPr>
    </w:p>
    <w:p w14:paraId="0EE31212" w14:textId="77777777" w:rsidR="00555DAF" w:rsidRDefault="00555DAF" w:rsidP="00555DAF">
      <w:pPr>
        <w:ind w:right="213"/>
        <w:jc w:val="center"/>
        <w:rPr>
          <w:b/>
          <w:color w:val="006DC0"/>
          <w:spacing w:val="-5"/>
          <w:sz w:val="28"/>
        </w:rPr>
      </w:pPr>
      <w:r>
        <w:rPr>
          <w:b/>
          <w:color w:val="006DC0"/>
          <w:sz w:val="28"/>
        </w:rPr>
        <w:t xml:space="preserve">Under Guidance of </w:t>
      </w:r>
    </w:p>
    <w:p w14:paraId="3838E8AC" w14:textId="77777777" w:rsidR="00555DAF" w:rsidRDefault="00555DAF" w:rsidP="00555DAF">
      <w:pPr>
        <w:ind w:right="213"/>
        <w:jc w:val="center"/>
        <w:rPr>
          <w:b/>
          <w:color w:val="006DC0"/>
          <w:spacing w:val="-5"/>
          <w:sz w:val="28"/>
        </w:rPr>
      </w:pPr>
    </w:p>
    <w:p w14:paraId="7A42E7CC" w14:textId="77777777" w:rsidR="00555DAF" w:rsidRDefault="00555DAF" w:rsidP="00555DAF">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73C36ABA" w14:textId="77777777" w:rsidR="00555DAF" w:rsidRDefault="00555DAF" w:rsidP="00555DAF"/>
    <w:p w14:paraId="2AE257E2" w14:textId="77777777" w:rsidR="00555DAF" w:rsidRDefault="00555DAF" w:rsidP="00555DAF"/>
    <w:p w14:paraId="48524BBF" w14:textId="77777777" w:rsidR="00555DAF" w:rsidRDefault="00555DAF" w:rsidP="00555DAF"/>
    <w:p w14:paraId="1830C5A4" w14:textId="77777777" w:rsidR="00555DAF" w:rsidRDefault="00555DAF" w:rsidP="00555DAF"/>
    <w:p w14:paraId="221AE398" w14:textId="77777777" w:rsidR="00555DAF" w:rsidRDefault="00555DAF" w:rsidP="00555DAF"/>
    <w:p w14:paraId="7C9A0ED7" w14:textId="77777777" w:rsidR="00555DAF" w:rsidRDefault="00555DAF" w:rsidP="00555DAF"/>
    <w:p w14:paraId="3D383907" w14:textId="77777777" w:rsidR="00555DAF" w:rsidRDefault="00555DAF" w:rsidP="00555DAF"/>
    <w:p w14:paraId="30F0A32D" w14:textId="77777777" w:rsidR="00555DAF" w:rsidRDefault="00555DAF" w:rsidP="00555DAF"/>
    <w:p w14:paraId="1AB0C2D3" w14:textId="77777777" w:rsidR="00555DAF" w:rsidRDefault="00555DAF" w:rsidP="00555DA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522D70D" w14:textId="592BBE5A" w:rsidR="00555DAF" w:rsidRPr="00555DAF" w:rsidRDefault="00555DAF" w:rsidP="00555DAF">
      <w:pPr>
        <w:spacing w:line="360" w:lineRule="auto"/>
        <w:jc w:val="both"/>
        <w:rPr>
          <w:sz w:val="24"/>
          <w:szCs w:val="24"/>
        </w:rPr>
      </w:pPr>
      <w:r w:rsidRPr="00555DAF">
        <w:rPr>
          <w:sz w:val="24"/>
          <w:szCs w:val="24"/>
        </w:rPr>
        <w:t>Visualize the data using R/Python by plotting the graphs for assignment no. 1 and 2. Consider a</w:t>
      </w:r>
      <w:r>
        <w:rPr>
          <w:sz w:val="24"/>
          <w:szCs w:val="24"/>
        </w:rPr>
        <w:t xml:space="preserve"> </w:t>
      </w:r>
      <w:r w:rsidRPr="00555DAF">
        <w:rPr>
          <w:sz w:val="24"/>
          <w:szCs w:val="24"/>
        </w:rPr>
        <w:t>suitable data set.  Use Scatter plot, bar plot, Box plot and Histogram.</w:t>
      </w:r>
    </w:p>
    <w:p w14:paraId="0FE0148C" w14:textId="683DC7B2" w:rsidR="00555DAF" w:rsidRDefault="00555DAF" w:rsidP="00555DA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2280ECE8" w14:textId="77777777" w:rsidR="00555DAF" w:rsidRPr="00BD34FC" w:rsidRDefault="00555DAF" w:rsidP="00555DAF"/>
    <w:p w14:paraId="50A02BAB" w14:textId="77777777" w:rsidR="00555DAF" w:rsidRDefault="00555DAF" w:rsidP="00555DAF">
      <w:pPr>
        <w:numPr>
          <w:ilvl w:val="0"/>
          <w:numId w:val="3"/>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2BB820C1" w14:textId="77777777" w:rsidR="00555DAF" w:rsidRPr="001904F8" w:rsidRDefault="00555DAF" w:rsidP="00555DAF">
      <w:pPr>
        <w:spacing w:line="360" w:lineRule="auto"/>
        <w:ind w:left="360"/>
        <w:jc w:val="both"/>
        <w:rPr>
          <w:sz w:val="24"/>
          <w:szCs w:val="24"/>
          <w:lang w:val="en-IN"/>
        </w:rPr>
      </w:pPr>
    </w:p>
    <w:p w14:paraId="51CD5997" w14:textId="77777777" w:rsidR="00555DAF" w:rsidRDefault="00555DAF" w:rsidP="00555DAF">
      <w:pPr>
        <w:numPr>
          <w:ilvl w:val="0"/>
          <w:numId w:val="3"/>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4DF2C8A7" w14:textId="77777777" w:rsidR="00555DAF" w:rsidRPr="001904F8" w:rsidRDefault="00555DAF" w:rsidP="00555DAF">
      <w:pPr>
        <w:spacing w:line="360" w:lineRule="auto"/>
        <w:jc w:val="both"/>
        <w:rPr>
          <w:sz w:val="24"/>
          <w:szCs w:val="24"/>
          <w:lang w:val="en-IN"/>
        </w:rPr>
      </w:pPr>
    </w:p>
    <w:p w14:paraId="76087D7D" w14:textId="77777777" w:rsidR="00555DAF" w:rsidRDefault="00555DAF" w:rsidP="00555DAF">
      <w:pPr>
        <w:numPr>
          <w:ilvl w:val="0"/>
          <w:numId w:val="3"/>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3EC327E9" w14:textId="77777777" w:rsidR="00555DAF" w:rsidRPr="001904F8" w:rsidRDefault="00555DAF" w:rsidP="00555DAF">
      <w:pPr>
        <w:spacing w:line="360" w:lineRule="auto"/>
        <w:jc w:val="both"/>
        <w:rPr>
          <w:sz w:val="24"/>
          <w:szCs w:val="24"/>
          <w:lang w:val="en-IN"/>
        </w:rPr>
      </w:pPr>
    </w:p>
    <w:p w14:paraId="5FDEE717" w14:textId="77777777" w:rsidR="00555DAF" w:rsidRPr="001904F8" w:rsidRDefault="00555DAF" w:rsidP="00555DAF">
      <w:pPr>
        <w:numPr>
          <w:ilvl w:val="0"/>
          <w:numId w:val="3"/>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6BAC8B38" w14:textId="77777777" w:rsidR="00555DAF" w:rsidRDefault="00555DAF" w:rsidP="00555DAF">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3076DA23"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Scatter Plot</w:t>
      </w:r>
      <w:r w:rsidRPr="00555DAF">
        <w:rPr>
          <w:sz w:val="24"/>
          <w:szCs w:val="24"/>
          <w:lang w:val="en-IN"/>
        </w:rPr>
        <w:t>:</w:t>
      </w:r>
    </w:p>
    <w:p w14:paraId="5A9B4DC6" w14:textId="77777777" w:rsidR="00555DAF" w:rsidRDefault="00555DAF" w:rsidP="00555DAF">
      <w:pPr>
        <w:numPr>
          <w:ilvl w:val="1"/>
          <w:numId w:val="4"/>
        </w:numPr>
        <w:spacing w:line="360" w:lineRule="auto"/>
        <w:jc w:val="both"/>
        <w:rPr>
          <w:sz w:val="24"/>
          <w:szCs w:val="24"/>
          <w:lang w:val="en-IN"/>
        </w:rPr>
      </w:pPr>
      <w:r w:rsidRPr="00555DAF">
        <w:rPr>
          <w:sz w:val="24"/>
          <w:szCs w:val="24"/>
          <w:lang w:val="en-IN"/>
        </w:rPr>
        <w:t>A scatter plot is used to visualize the relationship between two continuous variables. Each data point is represented as a point on the plot, with the x-axis representing one variable and the y-axis representing the other variable.</w:t>
      </w:r>
    </w:p>
    <w:p w14:paraId="6BAF71B6" w14:textId="77777777" w:rsidR="00555DAF" w:rsidRPr="00555DAF" w:rsidRDefault="00555DAF" w:rsidP="00555DAF">
      <w:pPr>
        <w:spacing w:line="360" w:lineRule="auto"/>
        <w:ind w:left="1440"/>
        <w:jc w:val="both"/>
        <w:rPr>
          <w:sz w:val="24"/>
          <w:szCs w:val="24"/>
          <w:lang w:val="en-IN"/>
        </w:rPr>
      </w:pPr>
    </w:p>
    <w:p w14:paraId="130395B3"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Bar Plot</w:t>
      </w:r>
      <w:r w:rsidRPr="00555DAF">
        <w:rPr>
          <w:sz w:val="24"/>
          <w:szCs w:val="24"/>
          <w:lang w:val="en-IN"/>
        </w:rPr>
        <w:t>:</w:t>
      </w:r>
    </w:p>
    <w:p w14:paraId="0B92B5AB" w14:textId="77777777" w:rsidR="00555DAF" w:rsidRDefault="00555DAF" w:rsidP="00555DAF">
      <w:pPr>
        <w:numPr>
          <w:ilvl w:val="1"/>
          <w:numId w:val="4"/>
        </w:numPr>
        <w:spacing w:line="360" w:lineRule="auto"/>
        <w:jc w:val="both"/>
        <w:rPr>
          <w:sz w:val="24"/>
          <w:szCs w:val="24"/>
          <w:lang w:val="en-IN"/>
        </w:rPr>
      </w:pPr>
      <w:r w:rsidRPr="00555DAF">
        <w:rPr>
          <w:sz w:val="24"/>
          <w:szCs w:val="24"/>
          <w:lang w:val="en-IN"/>
        </w:rPr>
        <w:t>A bar plot is suitable for visualizing the distribution of a categorical variable or comparing the values of a categorical variable across different groups. In this case, it seems that the GRE Score and TOEFL Score are being compared using a bar plot.</w:t>
      </w:r>
    </w:p>
    <w:p w14:paraId="53E9B25E" w14:textId="77777777" w:rsidR="00555DAF" w:rsidRPr="00555DAF" w:rsidRDefault="00555DAF" w:rsidP="00555DAF">
      <w:pPr>
        <w:spacing w:line="360" w:lineRule="auto"/>
        <w:ind w:left="1440"/>
        <w:jc w:val="both"/>
        <w:rPr>
          <w:sz w:val="24"/>
          <w:szCs w:val="24"/>
          <w:lang w:val="en-IN"/>
        </w:rPr>
      </w:pPr>
    </w:p>
    <w:p w14:paraId="16501918"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Histogram</w:t>
      </w:r>
      <w:r w:rsidRPr="00555DAF">
        <w:rPr>
          <w:sz w:val="24"/>
          <w:szCs w:val="24"/>
          <w:lang w:val="en-IN"/>
        </w:rPr>
        <w:t>:</w:t>
      </w:r>
    </w:p>
    <w:p w14:paraId="19DF7B7F" w14:textId="77777777" w:rsidR="00555DAF" w:rsidRDefault="00555DAF" w:rsidP="00555DAF">
      <w:pPr>
        <w:numPr>
          <w:ilvl w:val="1"/>
          <w:numId w:val="4"/>
        </w:numPr>
        <w:spacing w:line="360" w:lineRule="auto"/>
        <w:jc w:val="both"/>
        <w:rPr>
          <w:sz w:val="24"/>
          <w:szCs w:val="24"/>
          <w:lang w:val="en-IN"/>
        </w:rPr>
      </w:pPr>
      <w:r w:rsidRPr="00555DAF">
        <w:rPr>
          <w:sz w:val="24"/>
          <w:szCs w:val="24"/>
          <w:lang w:val="en-IN"/>
        </w:rPr>
        <w:t xml:space="preserve">A histogram is used to visualize the distribution of a single continuous variable. </w:t>
      </w:r>
      <w:r w:rsidRPr="00555DAF">
        <w:rPr>
          <w:sz w:val="24"/>
          <w:szCs w:val="24"/>
          <w:lang w:val="en-IN"/>
        </w:rPr>
        <w:lastRenderedPageBreak/>
        <w:t>It divides the variable into bins and shows the frequency or density of data points within each bin. Here, a histogram of the GRE Score is plotted.</w:t>
      </w:r>
    </w:p>
    <w:p w14:paraId="2D846343" w14:textId="77777777" w:rsidR="00555DAF" w:rsidRPr="00555DAF" w:rsidRDefault="00555DAF" w:rsidP="00555DAF">
      <w:pPr>
        <w:spacing w:line="360" w:lineRule="auto"/>
        <w:ind w:left="1440"/>
        <w:jc w:val="both"/>
        <w:rPr>
          <w:sz w:val="24"/>
          <w:szCs w:val="24"/>
          <w:lang w:val="en-IN"/>
        </w:rPr>
      </w:pPr>
    </w:p>
    <w:p w14:paraId="2D917F72"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Box Plot</w:t>
      </w:r>
      <w:r w:rsidRPr="00555DAF">
        <w:rPr>
          <w:sz w:val="24"/>
          <w:szCs w:val="24"/>
          <w:lang w:val="en-IN"/>
        </w:rPr>
        <w:t>:</w:t>
      </w:r>
    </w:p>
    <w:p w14:paraId="41D2F6C1" w14:textId="77777777" w:rsidR="00555DAF" w:rsidRPr="00555DAF" w:rsidRDefault="00555DAF" w:rsidP="00555DAF">
      <w:pPr>
        <w:numPr>
          <w:ilvl w:val="1"/>
          <w:numId w:val="4"/>
        </w:numPr>
        <w:spacing w:line="360" w:lineRule="auto"/>
        <w:jc w:val="both"/>
        <w:rPr>
          <w:sz w:val="24"/>
          <w:szCs w:val="24"/>
          <w:lang w:val="en-IN"/>
        </w:rPr>
      </w:pPr>
      <w:r w:rsidRPr="00555DAF">
        <w:rPr>
          <w:sz w:val="24"/>
          <w:szCs w:val="24"/>
          <w:lang w:val="en-IN"/>
        </w:rPr>
        <w:t>A box plot (or box-and-whisker plot) is used to display the distribution of a continuous variable and highlight any outliers or extreme values. It provides a visual summary of the data's central tendency, spread, and variability.</w:t>
      </w:r>
    </w:p>
    <w:p w14:paraId="09ADF969" w14:textId="77777777" w:rsidR="00555DAF" w:rsidRPr="00555DAF" w:rsidRDefault="00555DAF" w:rsidP="00555DAF">
      <w:pPr>
        <w:rPr>
          <w:lang w:val="en-IN"/>
        </w:rPr>
      </w:pPr>
    </w:p>
    <w:p w14:paraId="3C79A287" w14:textId="77777777" w:rsidR="00555DAF" w:rsidRDefault="00555DAF" w:rsidP="00555DA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395DA83"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Scatter Plot:</w:t>
      </w:r>
    </w:p>
    <w:p w14:paraId="06ECC69C"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scatter plot is created using </w:t>
      </w:r>
      <w:proofErr w:type="spellStart"/>
      <w:proofErr w:type="gramStart"/>
      <w:r w:rsidRPr="00514952">
        <w:rPr>
          <w:rFonts w:asciiTheme="majorBidi" w:hAnsiTheme="majorBidi" w:cstheme="majorBidi"/>
          <w:sz w:val="24"/>
          <w:szCs w:val="24"/>
          <w:lang w:val="en-IN"/>
        </w:rPr>
        <w:t>plt.scatter</w:t>
      </w:r>
      <w:proofErr w:type="spellEnd"/>
      <w:proofErr w:type="gramEnd"/>
      <w:r w:rsidRPr="00514952">
        <w:rPr>
          <w:rFonts w:asciiTheme="majorBidi" w:hAnsiTheme="majorBidi" w:cstheme="majorBidi"/>
          <w:sz w:val="24"/>
          <w:szCs w:val="24"/>
          <w:lang w:val="en-IN"/>
        </w:rPr>
        <w:t>() function, with 'GRE Score' on the x-axis and 'TOEFL Score' on the y-axis. This allows visualizing the relationship between the GRE and TOEFL scores.</w:t>
      </w:r>
    </w:p>
    <w:p w14:paraId="448BFB2E"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Bar Plot:</w:t>
      </w:r>
    </w:p>
    <w:p w14:paraId="492FE981"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bar plot is created using </w:t>
      </w:r>
      <w:proofErr w:type="spellStart"/>
      <w:proofErr w:type="gramStart"/>
      <w:r w:rsidRPr="00514952">
        <w:rPr>
          <w:rFonts w:asciiTheme="majorBidi" w:hAnsiTheme="majorBidi" w:cstheme="majorBidi"/>
          <w:sz w:val="24"/>
          <w:szCs w:val="24"/>
          <w:lang w:val="en-IN"/>
        </w:rPr>
        <w:t>plt.bar</w:t>
      </w:r>
      <w:proofErr w:type="spellEnd"/>
      <w:r w:rsidRPr="00514952">
        <w:rPr>
          <w:rFonts w:asciiTheme="majorBidi" w:hAnsiTheme="majorBidi" w:cstheme="majorBidi"/>
          <w:sz w:val="24"/>
          <w:szCs w:val="24"/>
          <w:lang w:val="en-IN"/>
        </w:rPr>
        <w:t>(</w:t>
      </w:r>
      <w:proofErr w:type="gramEnd"/>
      <w:r w:rsidRPr="00514952">
        <w:rPr>
          <w:rFonts w:asciiTheme="majorBidi" w:hAnsiTheme="majorBidi" w:cstheme="majorBidi"/>
          <w:sz w:val="24"/>
          <w:szCs w:val="24"/>
          <w:lang w:val="en-IN"/>
        </w:rPr>
        <w:t>) function, with 'GRE Score' on the x-axis and 'TOEFL Score' on the y-axis. This allows comparing the GRE and TOEFL scores across different categories.</w:t>
      </w:r>
    </w:p>
    <w:p w14:paraId="4E1DD2E1"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Histogram:</w:t>
      </w:r>
    </w:p>
    <w:p w14:paraId="692FD37C"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histogram is created using </w:t>
      </w:r>
      <w:proofErr w:type="spellStart"/>
      <w:proofErr w:type="gramStart"/>
      <w:r w:rsidRPr="00514952">
        <w:rPr>
          <w:rFonts w:asciiTheme="majorBidi" w:hAnsiTheme="majorBidi" w:cstheme="majorBidi"/>
          <w:sz w:val="24"/>
          <w:szCs w:val="24"/>
          <w:lang w:val="en-IN"/>
        </w:rPr>
        <w:t>sns.histplot</w:t>
      </w:r>
      <w:proofErr w:type="spellEnd"/>
      <w:proofErr w:type="gramEnd"/>
      <w:r w:rsidRPr="00514952">
        <w:rPr>
          <w:rFonts w:asciiTheme="majorBidi" w:hAnsiTheme="majorBidi" w:cstheme="majorBidi"/>
          <w:sz w:val="24"/>
          <w:szCs w:val="24"/>
          <w:lang w:val="en-IN"/>
        </w:rPr>
        <w:t>() function, with 'GRE Score' on the x-axis. This allows visualizing the distribution of GRE scores in the dataset.</w:t>
      </w:r>
    </w:p>
    <w:p w14:paraId="6AD11C67"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Box Plot:</w:t>
      </w:r>
    </w:p>
    <w:p w14:paraId="733B8BE2"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box plot is created using </w:t>
      </w:r>
      <w:proofErr w:type="spellStart"/>
      <w:proofErr w:type="gramStart"/>
      <w:r w:rsidRPr="00514952">
        <w:rPr>
          <w:rFonts w:asciiTheme="majorBidi" w:hAnsiTheme="majorBidi" w:cstheme="majorBidi"/>
          <w:sz w:val="24"/>
          <w:szCs w:val="24"/>
          <w:lang w:val="en-IN"/>
        </w:rPr>
        <w:t>sns.boxplot</w:t>
      </w:r>
      <w:proofErr w:type="spellEnd"/>
      <w:proofErr w:type="gramEnd"/>
      <w:r w:rsidRPr="00514952">
        <w:rPr>
          <w:rFonts w:asciiTheme="majorBidi" w:hAnsiTheme="majorBidi" w:cstheme="majorBidi"/>
          <w:sz w:val="24"/>
          <w:szCs w:val="24"/>
          <w:lang w:val="en-IN"/>
        </w:rPr>
        <w:t>() function, with 'GRE Score' on the x-axis. This allows visualizing the distribution of GRE scores and identifying any outliers.</w:t>
      </w:r>
    </w:p>
    <w:p w14:paraId="2C45619D" w14:textId="77777777" w:rsidR="00555DAF" w:rsidRDefault="00555DAF" w:rsidP="00555DAF">
      <w:pPr>
        <w:rPr>
          <w:lang w:val="en-IN"/>
        </w:rPr>
      </w:pPr>
    </w:p>
    <w:p w14:paraId="7CBE9807" w14:textId="77777777" w:rsidR="00555DAF" w:rsidRDefault="00555DAF" w:rsidP="00555DAF">
      <w:pPr>
        <w:rPr>
          <w:lang w:val="en-IN"/>
        </w:rPr>
      </w:pPr>
    </w:p>
    <w:p w14:paraId="36DB3623" w14:textId="77777777" w:rsidR="00555DAF" w:rsidRDefault="00555DAF" w:rsidP="00555DAF">
      <w:pPr>
        <w:rPr>
          <w:lang w:val="en-IN"/>
        </w:rPr>
      </w:pPr>
    </w:p>
    <w:p w14:paraId="540256E8" w14:textId="77777777" w:rsidR="00514952" w:rsidRDefault="00514952" w:rsidP="00555DA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A08CF" w14:textId="77777777" w:rsidR="00514952" w:rsidRDefault="00514952" w:rsidP="00514952">
      <w:pPr>
        <w:rPr>
          <w:lang w:val="en-IN"/>
        </w:rPr>
      </w:pPr>
    </w:p>
    <w:p w14:paraId="39EA092A" w14:textId="77777777" w:rsidR="00514952" w:rsidRDefault="00514952" w:rsidP="00514952">
      <w:pPr>
        <w:rPr>
          <w:lang w:val="en-IN"/>
        </w:rPr>
      </w:pPr>
    </w:p>
    <w:p w14:paraId="416D4CCE" w14:textId="77777777" w:rsidR="00514952" w:rsidRDefault="00514952" w:rsidP="00514952">
      <w:pPr>
        <w:rPr>
          <w:lang w:val="en-IN"/>
        </w:rPr>
      </w:pPr>
    </w:p>
    <w:p w14:paraId="3B8A3F6B" w14:textId="77777777" w:rsidR="00514952" w:rsidRDefault="00514952" w:rsidP="00514952">
      <w:pPr>
        <w:rPr>
          <w:lang w:val="en-IN"/>
        </w:rPr>
      </w:pPr>
    </w:p>
    <w:p w14:paraId="0BDC8FD9" w14:textId="77777777" w:rsidR="00514952" w:rsidRDefault="00514952" w:rsidP="00514952">
      <w:pPr>
        <w:rPr>
          <w:lang w:val="en-IN"/>
        </w:rPr>
      </w:pPr>
    </w:p>
    <w:p w14:paraId="0A0DAAEC" w14:textId="77777777" w:rsidR="00514952" w:rsidRDefault="00514952" w:rsidP="00514952">
      <w:pPr>
        <w:rPr>
          <w:lang w:val="en-IN"/>
        </w:rPr>
      </w:pPr>
    </w:p>
    <w:p w14:paraId="7158B8C0" w14:textId="77777777" w:rsidR="00514952" w:rsidRPr="00514952" w:rsidRDefault="00514952" w:rsidP="00514952">
      <w:pPr>
        <w:rPr>
          <w:lang w:val="en-IN"/>
        </w:rPr>
      </w:pPr>
    </w:p>
    <w:p w14:paraId="74DC3AAD" w14:textId="16CD1098" w:rsidR="00555DAF" w:rsidRDefault="00555DAF" w:rsidP="00555DA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0C978CFC"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Decision Making in Education:</w:t>
      </w:r>
    </w:p>
    <w:p w14:paraId="2D0851C0"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Visualizing the distribution of GRE and TOEFL scores can aid educational institutions in making admissions decisions. Understanding the distribution of scores allows institutions to set appropriate cutoffs or criteria for admissions, ensuring a fair and transparent selection process.</w:t>
      </w:r>
    </w:p>
    <w:p w14:paraId="73ED82B0" w14:textId="77777777" w:rsidR="00514952" w:rsidRPr="00514952" w:rsidRDefault="00514952" w:rsidP="00514952">
      <w:pPr>
        <w:spacing w:line="360" w:lineRule="auto"/>
        <w:ind w:left="1440"/>
        <w:jc w:val="both"/>
        <w:rPr>
          <w:sz w:val="24"/>
          <w:szCs w:val="24"/>
          <w:lang w:val="en-IN"/>
        </w:rPr>
      </w:pPr>
    </w:p>
    <w:p w14:paraId="3335010D"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Performance Evaluation in Test Preparation Programs:</w:t>
      </w:r>
    </w:p>
    <w:p w14:paraId="13762272"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Test preparation programs can use visualizations of GRE and TOEFL score distributions to evaluate the effectiveness of their programs. By comparing the distribution of scores before and after program participation, they can assess whether the program is helping students improve their scores.</w:t>
      </w:r>
    </w:p>
    <w:p w14:paraId="7B073C11" w14:textId="77777777" w:rsidR="00514952" w:rsidRPr="00514952" w:rsidRDefault="00514952" w:rsidP="00514952">
      <w:pPr>
        <w:spacing w:line="360" w:lineRule="auto"/>
        <w:ind w:left="1440"/>
        <w:jc w:val="both"/>
        <w:rPr>
          <w:sz w:val="24"/>
          <w:szCs w:val="24"/>
          <w:lang w:val="en-IN"/>
        </w:rPr>
      </w:pPr>
    </w:p>
    <w:p w14:paraId="36143745"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Identifying Trends in Applicant Profiles:</w:t>
      </w:r>
    </w:p>
    <w:p w14:paraId="40993353"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 xml:space="preserve">Admission committees can </w:t>
      </w:r>
      <w:proofErr w:type="spellStart"/>
      <w:r w:rsidRPr="00514952">
        <w:rPr>
          <w:sz w:val="24"/>
          <w:szCs w:val="24"/>
          <w:lang w:val="en-IN"/>
        </w:rPr>
        <w:t>analyze</w:t>
      </w:r>
      <w:proofErr w:type="spellEnd"/>
      <w:r w:rsidRPr="00514952">
        <w:rPr>
          <w:sz w:val="24"/>
          <w:szCs w:val="24"/>
          <w:lang w:val="en-IN"/>
        </w:rPr>
        <w:t xml:space="preserve"> the distribution of GRE and TOEFL scores over time to identify trends in applicant profiles. For example, they can determine whether there is an increasing number of applicants with high scores or if there are shifts in the distribution of scores across different demographic groups.</w:t>
      </w:r>
    </w:p>
    <w:p w14:paraId="2AFBA0EF" w14:textId="77777777" w:rsidR="00514952" w:rsidRPr="00514952" w:rsidRDefault="00514952" w:rsidP="00514952">
      <w:pPr>
        <w:spacing w:line="360" w:lineRule="auto"/>
        <w:ind w:left="1440"/>
        <w:jc w:val="both"/>
        <w:rPr>
          <w:sz w:val="24"/>
          <w:szCs w:val="24"/>
          <w:lang w:val="en-IN"/>
        </w:rPr>
      </w:pPr>
    </w:p>
    <w:p w14:paraId="5052C826"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Benchmarking Against Competitors:</w:t>
      </w:r>
    </w:p>
    <w:p w14:paraId="12D54135"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Educational institutions can use visualizations of GRE and TOEFL score distributions to benchmark themselves against competitors or peer institutions. Comparing score distributions can provide insights into areas of strength and areas for improvement, helping institutions develop targeted strategies to attract high-performing applicants.</w:t>
      </w:r>
    </w:p>
    <w:p w14:paraId="1A33A842" w14:textId="77777777" w:rsidR="00514952" w:rsidRPr="00514952" w:rsidRDefault="00514952" w:rsidP="00514952">
      <w:pPr>
        <w:spacing w:line="360" w:lineRule="auto"/>
        <w:ind w:left="1440"/>
        <w:jc w:val="both"/>
        <w:rPr>
          <w:sz w:val="24"/>
          <w:szCs w:val="24"/>
          <w:lang w:val="en-IN"/>
        </w:rPr>
      </w:pPr>
    </w:p>
    <w:p w14:paraId="1A335B35"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Tailoring Marketing and Outreach Efforts:</w:t>
      </w:r>
    </w:p>
    <w:p w14:paraId="3F3EC8A3" w14:textId="77777777" w:rsidR="00514952" w:rsidRPr="00514952" w:rsidRDefault="00514952" w:rsidP="00514952">
      <w:pPr>
        <w:numPr>
          <w:ilvl w:val="1"/>
          <w:numId w:val="6"/>
        </w:numPr>
        <w:spacing w:line="360" w:lineRule="auto"/>
        <w:jc w:val="both"/>
        <w:rPr>
          <w:sz w:val="24"/>
          <w:szCs w:val="24"/>
          <w:lang w:val="en-IN"/>
        </w:rPr>
      </w:pPr>
      <w:r w:rsidRPr="00514952">
        <w:rPr>
          <w:sz w:val="24"/>
          <w:szCs w:val="24"/>
          <w:lang w:val="en-IN"/>
        </w:rPr>
        <w:t>Test preparation companies, educational consultants, and recruitment agencies can use insights from score distributions to tailor their marketing and outreach efforts. For example, they can target advertising campaigns or outreach activities to specific demographic groups or regions based on the distribution of scores.</w:t>
      </w:r>
    </w:p>
    <w:p w14:paraId="313825DC" w14:textId="77777777" w:rsidR="00555DAF" w:rsidRDefault="00555DAF" w:rsidP="00514952">
      <w:pPr>
        <w:pStyle w:val="Heading1"/>
        <w:spacing w:line="360" w:lineRule="auto"/>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521125C3" w14:textId="15209141" w:rsidR="00555DAF" w:rsidRDefault="00514952" w:rsidP="00555DAF">
      <w:pPr>
        <w:rPr>
          <w:lang w:val="en-IN"/>
        </w:rPr>
      </w:pPr>
      <w:r w:rsidRPr="00514952">
        <w:rPr>
          <w:noProof/>
          <w:lang w:val="en-IN"/>
        </w:rPr>
        <w:drawing>
          <wp:inline distT="0" distB="0" distL="0" distR="0" wp14:anchorId="1D712CB4" wp14:editId="48C45FCE">
            <wp:extent cx="4857750" cy="4756547"/>
            <wp:effectExtent l="0" t="0" r="0" b="6350"/>
            <wp:docPr id="139267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70923" name=""/>
                    <pic:cNvPicPr/>
                  </pic:nvPicPr>
                  <pic:blipFill>
                    <a:blip r:embed="rId9"/>
                    <a:stretch>
                      <a:fillRect/>
                    </a:stretch>
                  </pic:blipFill>
                  <pic:spPr>
                    <a:xfrm>
                      <a:off x="0" y="0"/>
                      <a:ext cx="4878546" cy="4776910"/>
                    </a:xfrm>
                    <a:prstGeom prst="rect">
                      <a:avLst/>
                    </a:prstGeom>
                  </pic:spPr>
                </pic:pic>
              </a:graphicData>
            </a:graphic>
          </wp:inline>
        </w:drawing>
      </w:r>
    </w:p>
    <w:p w14:paraId="57BEA36A" w14:textId="77777777" w:rsidR="00514952" w:rsidRDefault="00514952" w:rsidP="00555DAF">
      <w:pPr>
        <w:rPr>
          <w:lang w:val="en-IN"/>
        </w:rPr>
      </w:pPr>
    </w:p>
    <w:p w14:paraId="7C5CE220" w14:textId="77777777" w:rsidR="00514952" w:rsidRDefault="00514952" w:rsidP="00555DAF">
      <w:pPr>
        <w:rPr>
          <w:lang w:val="en-IN"/>
        </w:rPr>
      </w:pPr>
    </w:p>
    <w:p w14:paraId="740654E3" w14:textId="31F38CF0" w:rsidR="00514952" w:rsidRDefault="00514952" w:rsidP="00514952">
      <w:pPr>
        <w:rPr>
          <w:lang w:val="en-IN"/>
        </w:rPr>
      </w:pPr>
      <w:r>
        <w:rPr>
          <w:noProof/>
          <w:lang w:val="en-IN"/>
        </w:rPr>
        <w:lastRenderedPageBreak/>
        <w:drawing>
          <wp:inline distT="0" distB="0" distL="0" distR="0" wp14:anchorId="45BD367B" wp14:editId="309464A6">
            <wp:extent cx="4957034" cy="4800600"/>
            <wp:effectExtent l="0" t="0" r="0" b="0"/>
            <wp:docPr id="81644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415" cy="4811621"/>
                    </a:xfrm>
                    <a:prstGeom prst="rect">
                      <a:avLst/>
                    </a:prstGeom>
                    <a:noFill/>
                  </pic:spPr>
                </pic:pic>
              </a:graphicData>
            </a:graphic>
          </wp:inline>
        </w:drawing>
      </w:r>
    </w:p>
    <w:p w14:paraId="2CFAE197" w14:textId="77777777" w:rsidR="00514952" w:rsidRDefault="00514952" w:rsidP="00555DAF">
      <w:pPr>
        <w:rPr>
          <w:lang w:val="en-IN"/>
        </w:rPr>
      </w:pPr>
    </w:p>
    <w:p w14:paraId="348E22E0" w14:textId="747D5425" w:rsidR="00514952" w:rsidRPr="003B46D5" w:rsidRDefault="00514952" w:rsidP="00514952">
      <w:pPr>
        <w:rPr>
          <w:lang w:val="en-IN"/>
        </w:rPr>
      </w:pPr>
      <w:r w:rsidRPr="00514952">
        <w:rPr>
          <w:noProof/>
          <w:lang w:val="en-IN"/>
        </w:rPr>
        <w:drawing>
          <wp:inline distT="0" distB="0" distL="0" distR="0" wp14:anchorId="7515C743" wp14:editId="68DDA8A6">
            <wp:extent cx="4810445" cy="3829050"/>
            <wp:effectExtent l="0" t="0" r="9525" b="0"/>
            <wp:docPr id="14879230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23006" name="Picture 1" descr="A screenshot of a graph&#10;&#10;Description automatically generated"/>
                    <pic:cNvPicPr/>
                  </pic:nvPicPr>
                  <pic:blipFill>
                    <a:blip r:embed="rId11"/>
                    <a:stretch>
                      <a:fillRect/>
                    </a:stretch>
                  </pic:blipFill>
                  <pic:spPr>
                    <a:xfrm>
                      <a:off x="0" y="0"/>
                      <a:ext cx="4815672" cy="3833211"/>
                    </a:xfrm>
                    <a:prstGeom prst="rect">
                      <a:avLst/>
                    </a:prstGeom>
                  </pic:spPr>
                </pic:pic>
              </a:graphicData>
            </a:graphic>
          </wp:inline>
        </w:drawing>
      </w:r>
      <w:r w:rsidRPr="00514952">
        <w:rPr>
          <w:noProof/>
          <w:lang w:val="en-IN"/>
        </w:rPr>
        <w:lastRenderedPageBreak/>
        <w:drawing>
          <wp:inline distT="0" distB="0" distL="0" distR="0" wp14:anchorId="41A55495" wp14:editId="7EAAAB5F">
            <wp:extent cx="5677692" cy="4963218"/>
            <wp:effectExtent l="0" t="0" r="0" b="8890"/>
            <wp:docPr id="207594325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43251" name="Picture 1" descr="A screen shot of a graph&#10;&#10;Description automatically generated"/>
                    <pic:cNvPicPr/>
                  </pic:nvPicPr>
                  <pic:blipFill>
                    <a:blip r:embed="rId12"/>
                    <a:stretch>
                      <a:fillRect/>
                    </a:stretch>
                  </pic:blipFill>
                  <pic:spPr>
                    <a:xfrm>
                      <a:off x="0" y="0"/>
                      <a:ext cx="5677692" cy="4963218"/>
                    </a:xfrm>
                    <a:prstGeom prst="rect">
                      <a:avLst/>
                    </a:prstGeom>
                  </pic:spPr>
                </pic:pic>
              </a:graphicData>
            </a:graphic>
          </wp:inline>
        </w:drawing>
      </w:r>
    </w:p>
    <w:p w14:paraId="76E2968F" w14:textId="77777777" w:rsidR="00555DAF" w:rsidRDefault="00555DAF" w:rsidP="00555DAF">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6DB6DB4A" w14:textId="4CFB4812" w:rsidR="00555DAF" w:rsidRPr="00BD34FC" w:rsidRDefault="00514952" w:rsidP="00514952">
      <w:pPr>
        <w:spacing w:line="360" w:lineRule="auto"/>
        <w:jc w:val="both"/>
        <w:rPr>
          <w:lang w:val="en-IN"/>
        </w:rPr>
      </w:pPr>
      <w:r w:rsidRPr="00514952">
        <w:rPr>
          <w:sz w:val="24"/>
          <w:szCs w:val="24"/>
        </w:rPr>
        <w:br/>
        <w:t>In summary, the visualization techniques applied to the GRE and TOEFL score data provide valuable insights into their distribution and relationships. These visualizations, including scatter plots, bar plots, histograms, and box plots, facilitate exploratory data analysis by uncovering trends, identifying outliers, and supporting data-driven decision-making. From educational admissions to resource allocation, these visualizations offer diverse applications in the education sector and related industries. Overall, they play a crucial role in deriving insights from data, informing strategic initiatives, and driving positive outcomes through informed decision-making.</w:t>
      </w:r>
    </w:p>
    <w:p w14:paraId="1B07A317" w14:textId="77777777" w:rsidR="00555DAF" w:rsidRPr="00A16004" w:rsidRDefault="00555DAF" w:rsidP="00555DAF">
      <w:pPr>
        <w:rPr>
          <w:lang w:val="en-IN"/>
        </w:rPr>
      </w:pPr>
    </w:p>
    <w:p w14:paraId="37E2680B" w14:textId="77777777" w:rsidR="00914211" w:rsidRPr="00555DAF" w:rsidRDefault="00914211">
      <w:pPr>
        <w:rPr>
          <w:lang w:val="en-IN"/>
        </w:rPr>
      </w:pPr>
    </w:p>
    <w:sectPr w:rsidR="00914211" w:rsidRPr="00555DAF" w:rsidSect="006B0C04">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5FE93" w14:textId="77777777" w:rsidR="006B0C04" w:rsidRDefault="006B0C04">
      <w:r>
        <w:separator/>
      </w:r>
    </w:p>
  </w:endnote>
  <w:endnote w:type="continuationSeparator" w:id="0">
    <w:p w14:paraId="7DBBCF02" w14:textId="77777777" w:rsidR="006B0C04" w:rsidRDefault="006B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29465"/>
      <w:docPartObj>
        <w:docPartGallery w:val="Page Numbers (Bottom of Page)"/>
        <w:docPartUnique/>
      </w:docPartObj>
    </w:sdtPr>
    <w:sdtContent>
      <w:p w14:paraId="3103427C" w14:textId="77777777" w:rsidR="007141E9"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1A5D1F" w14:textId="77777777" w:rsidR="007141E9" w:rsidRDefault="00714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8B119" w14:textId="77777777" w:rsidR="006B0C04" w:rsidRDefault="006B0C04">
      <w:r>
        <w:separator/>
      </w:r>
    </w:p>
  </w:footnote>
  <w:footnote w:type="continuationSeparator" w:id="0">
    <w:p w14:paraId="7648DBB1" w14:textId="77777777" w:rsidR="006B0C04" w:rsidRDefault="006B0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D143A"/>
    <w:multiLevelType w:val="multilevel"/>
    <w:tmpl w:val="371ED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85396D"/>
    <w:multiLevelType w:val="multilevel"/>
    <w:tmpl w:val="909EA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61012"/>
    <w:multiLevelType w:val="multilevel"/>
    <w:tmpl w:val="633A1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338BB"/>
    <w:multiLevelType w:val="multilevel"/>
    <w:tmpl w:val="5624F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C01B5"/>
    <w:multiLevelType w:val="multilevel"/>
    <w:tmpl w:val="6BCA8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345829">
    <w:abstractNumId w:val="3"/>
  </w:num>
  <w:num w:numId="2" w16cid:durableId="1014112472">
    <w:abstractNumId w:val="2"/>
  </w:num>
  <w:num w:numId="3" w16cid:durableId="1143811086">
    <w:abstractNumId w:val="1"/>
  </w:num>
  <w:num w:numId="4" w16cid:durableId="1680423161">
    <w:abstractNumId w:val="0"/>
  </w:num>
  <w:num w:numId="5" w16cid:durableId="154103845">
    <w:abstractNumId w:val="5"/>
  </w:num>
  <w:num w:numId="6" w16cid:durableId="662246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AF"/>
    <w:rsid w:val="003A6AFF"/>
    <w:rsid w:val="004E5CE9"/>
    <w:rsid w:val="00514952"/>
    <w:rsid w:val="00555DAF"/>
    <w:rsid w:val="006B0C04"/>
    <w:rsid w:val="007141E9"/>
    <w:rsid w:val="008775F2"/>
    <w:rsid w:val="00914211"/>
    <w:rsid w:val="00BE686D"/>
    <w:rsid w:val="00FD62EA"/>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68AB"/>
  <w15:chartTrackingRefBased/>
  <w15:docId w15:val="{2D2EBA4C-24E8-4C00-8C0B-A7915573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5DA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55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DAF"/>
    <w:rPr>
      <w:rFonts w:eastAsiaTheme="majorEastAsia" w:cstheme="majorBidi"/>
      <w:color w:val="272727" w:themeColor="text1" w:themeTint="D8"/>
    </w:rPr>
  </w:style>
  <w:style w:type="paragraph" w:styleId="Title">
    <w:name w:val="Title"/>
    <w:basedOn w:val="Normal"/>
    <w:next w:val="Normal"/>
    <w:link w:val="TitleChar"/>
    <w:uiPriority w:val="1"/>
    <w:qFormat/>
    <w:rsid w:val="00555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555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DAF"/>
    <w:pPr>
      <w:spacing w:before="160"/>
      <w:jc w:val="center"/>
    </w:pPr>
    <w:rPr>
      <w:i/>
      <w:iCs/>
      <w:color w:val="404040" w:themeColor="text1" w:themeTint="BF"/>
    </w:rPr>
  </w:style>
  <w:style w:type="character" w:customStyle="1" w:styleId="QuoteChar">
    <w:name w:val="Quote Char"/>
    <w:basedOn w:val="DefaultParagraphFont"/>
    <w:link w:val="Quote"/>
    <w:uiPriority w:val="29"/>
    <w:rsid w:val="00555DAF"/>
    <w:rPr>
      <w:i/>
      <w:iCs/>
      <w:color w:val="404040" w:themeColor="text1" w:themeTint="BF"/>
    </w:rPr>
  </w:style>
  <w:style w:type="paragraph" w:styleId="ListParagraph">
    <w:name w:val="List Paragraph"/>
    <w:basedOn w:val="Normal"/>
    <w:uiPriority w:val="34"/>
    <w:qFormat/>
    <w:rsid w:val="00555DAF"/>
    <w:pPr>
      <w:ind w:left="720"/>
      <w:contextualSpacing/>
    </w:pPr>
  </w:style>
  <w:style w:type="character" w:styleId="IntenseEmphasis">
    <w:name w:val="Intense Emphasis"/>
    <w:basedOn w:val="DefaultParagraphFont"/>
    <w:uiPriority w:val="21"/>
    <w:qFormat/>
    <w:rsid w:val="00555DAF"/>
    <w:rPr>
      <w:i/>
      <w:iCs/>
      <w:color w:val="0F4761" w:themeColor="accent1" w:themeShade="BF"/>
    </w:rPr>
  </w:style>
  <w:style w:type="paragraph" w:styleId="IntenseQuote">
    <w:name w:val="Intense Quote"/>
    <w:basedOn w:val="Normal"/>
    <w:next w:val="Normal"/>
    <w:link w:val="IntenseQuoteChar"/>
    <w:uiPriority w:val="30"/>
    <w:qFormat/>
    <w:rsid w:val="00555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DAF"/>
    <w:rPr>
      <w:i/>
      <w:iCs/>
      <w:color w:val="0F4761" w:themeColor="accent1" w:themeShade="BF"/>
    </w:rPr>
  </w:style>
  <w:style w:type="character" w:styleId="IntenseReference">
    <w:name w:val="Intense Reference"/>
    <w:basedOn w:val="DefaultParagraphFont"/>
    <w:uiPriority w:val="32"/>
    <w:qFormat/>
    <w:rsid w:val="00555DAF"/>
    <w:rPr>
      <w:b/>
      <w:bCs/>
      <w:smallCaps/>
      <w:color w:val="0F4761" w:themeColor="accent1" w:themeShade="BF"/>
      <w:spacing w:val="5"/>
    </w:rPr>
  </w:style>
  <w:style w:type="paragraph" w:styleId="BodyText">
    <w:name w:val="Body Text"/>
    <w:basedOn w:val="Normal"/>
    <w:link w:val="BodyTextChar"/>
    <w:uiPriority w:val="1"/>
    <w:qFormat/>
    <w:rsid w:val="00555DAF"/>
    <w:rPr>
      <w:sz w:val="24"/>
      <w:szCs w:val="24"/>
    </w:rPr>
  </w:style>
  <w:style w:type="character" w:customStyle="1" w:styleId="BodyTextChar">
    <w:name w:val="Body Text Char"/>
    <w:basedOn w:val="DefaultParagraphFont"/>
    <w:link w:val="BodyText"/>
    <w:uiPriority w:val="1"/>
    <w:rsid w:val="00555DAF"/>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555DAF"/>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55DAF"/>
    <w:rPr>
      <w:color w:val="467886" w:themeColor="hyperlink"/>
      <w:u w:val="single"/>
    </w:rPr>
  </w:style>
  <w:style w:type="paragraph" w:styleId="Footer">
    <w:name w:val="footer"/>
    <w:basedOn w:val="Normal"/>
    <w:link w:val="FooterChar"/>
    <w:uiPriority w:val="99"/>
    <w:unhideWhenUsed/>
    <w:rsid w:val="00555DAF"/>
    <w:pPr>
      <w:tabs>
        <w:tab w:val="center" w:pos="4513"/>
        <w:tab w:val="right" w:pos="9026"/>
      </w:tabs>
    </w:pPr>
  </w:style>
  <w:style w:type="character" w:customStyle="1" w:styleId="FooterChar">
    <w:name w:val="Footer Char"/>
    <w:basedOn w:val="DefaultParagraphFont"/>
    <w:link w:val="Footer"/>
    <w:uiPriority w:val="99"/>
    <w:rsid w:val="00555DA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6905">
      <w:bodyDiv w:val="1"/>
      <w:marLeft w:val="0"/>
      <w:marRight w:val="0"/>
      <w:marTop w:val="0"/>
      <w:marBottom w:val="0"/>
      <w:divBdr>
        <w:top w:val="none" w:sz="0" w:space="0" w:color="auto"/>
        <w:left w:val="none" w:sz="0" w:space="0" w:color="auto"/>
        <w:bottom w:val="none" w:sz="0" w:space="0" w:color="auto"/>
        <w:right w:val="none" w:sz="0" w:space="0" w:color="auto"/>
      </w:divBdr>
    </w:div>
    <w:div w:id="868419280">
      <w:bodyDiv w:val="1"/>
      <w:marLeft w:val="0"/>
      <w:marRight w:val="0"/>
      <w:marTop w:val="0"/>
      <w:marBottom w:val="0"/>
      <w:divBdr>
        <w:top w:val="none" w:sz="0" w:space="0" w:color="auto"/>
        <w:left w:val="none" w:sz="0" w:space="0" w:color="auto"/>
        <w:bottom w:val="none" w:sz="0" w:space="0" w:color="auto"/>
        <w:right w:val="none" w:sz="0" w:space="0" w:color="auto"/>
      </w:divBdr>
    </w:div>
    <w:div w:id="1712728252">
      <w:bodyDiv w:val="1"/>
      <w:marLeft w:val="0"/>
      <w:marRight w:val="0"/>
      <w:marTop w:val="0"/>
      <w:marBottom w:val="0"/>
      <w:divBdr>
        <w:top w:val="none" w:sz="0" w:space="0" w:color="auto"/>
        <w:left w:val="none" w:sz="0" w:space="0" w:color="auto"/>
        <w:bottom w:val="none" w:sz="0" w:space="0" w:color="auto"/>
        <w:right w:val="none" w:sz="0" w:space="0" w:color="auto"/>
      </w:divBdr>
    </w:div>
    <w:div w:id="1743870580">
      <w:bodyDiv w:val="1"/>
      <w:marLeft w:val="0"/>
      <w:marRight w:val="0"/>
      <w:marTop w:val="0"/>
      <w:marBottom w:val="0"/>
      <w:divBdr>
        <w:top w:val="none" w:sz="0" w:space="0" w:color="auto"/>
        <w:left w:val="none" w:sz="0" w:space="0" w:color="auto"/>
        <w:bottom w:val="none" w:sz="0" w:space="0" w:color="auto"/>
        <w:right w:val="none" w:sz="0" w:space="0" w:color="auto"/>
      </w:divBdr>
    </w:div>
    <w:div w:id="1777749553">
      <w:bodyDiv w:val="1"/>
      <w:marLeft w:val="0"/>
      <w:marRight w:val="0"/>
      <w:marTop w:val="0"/>
      <w:marBottom w:val="0"/>
      <w:divBdr>
        <w:top w:val="none" w:sz="0" w:space="0" w:color="auto"/>
        <w:left w:val="none" w:sz="0" w:space="0" w:color="auto"/>
        <w:bottom w:val="none" w:sz="0" w:space="0" w:color="auto"/>
        <w:right w:val="none" w:sz="0" w:space="0" w:color="auto"/>
      </w:divBdr>
    </w:div>
    <w:div w:id="19131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22211012@viit.ac.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 Gaikwad</cp:lastModifiedBy>
  <cp:revision>2</cp:revision>
  <dcterms:created xsi:type="dcterms:W3CDTF">2024-04-06T07:32:00Z</dcterms:created>
  <dcterms:modified xsi:type="dcterms:W3CDTF">2024-04-08T05:20:00Z</dcterms:modified>
</cp:coreProperties>
</file>