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 Display" w:hAnsi="Aptos Display"/>
          <w:color w:val="000000"/>
          <w:sz w:val="50"/>
        </w:rPr>
        <w:t>Folio Loom Recording Brief</w:t>
      </w:r>
    </w:p>
    <w:p>
      <w:pPr>
        <w:spacing w:after="200" w:line="254" w:lineRule="auto"/>
      </w:pPr>
      <w:r>
        <w:rPr>
          <w:b w:val="0"/>
          <w:i/>
          <w:color w:val="285C62"/>
          <w:sz w:val="22"/>
        </w:rPr>
        <w:t>A two-minute setup and a 60-second proof of reliable document automation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1E1"/>
          <w:left w:val="single" w:sz="4" w:color="D9E1E1"/>
          <w:bottom w:val="single" w:sz="4" w:color="D9E1E1"/>
          <w:right w:val="single" w:sz="4" w:color="D9E1E1"/>
          <w:insideH w:val="single" w:sz="4" w:color="D9E1E1"/>
          <w:insideV w:val="single" w:sz="4" w:color="D9E1E1"/>
        </w:tblBorders>
      </w:tblPr>
      <w:tblGrid>
        <w:gridCol w:w="2952"/>
        <w:gridCol w:w="2952"/>
        <w:gridCol w:w="2952"/>
      </w:tblGrid>
      <w:tr>
        <w:tc>
          <w:tcPr>
            <w:tcW w:type="dxa" w:w="3427"/>
            <w:shd w:fill="EDF3F2"/>
          </w:tcPr>
          <w:p>
            <w:pPr>
              <w:spacing w:after="20"/>
            </w:pPr>
            <w:r/>
            <w:r>
              <w:rPr>
                <w:b/>
                <w:color w:val="285C62"/>
                <w:sz w:val="15"/>
              </w:rPr>
              <w:t>PRIMARY PATH</w:t>
            </w:r>
          </w:p>
          <w:p>
            <w:pPr>
              <w:spacing w:after="20"/>
            </w:pPr>
            <w:r>
              <w:rPr>
                <w:b/>
                <w:color w:val="173239"/>
                <w:sz w:val="20"/>
              </w:rPr>
              <w:t>Groq Qwen 3.8 27B</w:t>
            </w:r>
          </w:p>
          <w:p>
            <w:pPr>
              <w:spacing w:after="0"/>
            </w:pPr>
            <w:r>
              <w:rPr>
                <w:color w:val="52666A"/>
                <w:sz w:val="16"/>
              </w:rPr>
              <w:t>Groq live extraction</w:t>
            </w:r>
          </w:p>
        </w:tc>
        <w:tc>
          <w:tcPr>
            <w:tcW w:type="dxa" w:w="3427"/>
            <w:shd w:fill="EDF3F2"/>
          </w:tcPr>
          <w:p>
            <w:pPr>
              <w:spacing w:after="20"/>
            </w:pPr>
            <w:r/>
            <w:r>
              <w:rPr>
                <w:b/>
                <w:color w:val="285C62"/>
                <w:sz w:val="15"/>
              </w:rPr>
              <w:t>GUARDRAIL</w:t>
            </w:r>
          </w:p>
          <w:p>
            <w:pPr>
              <w:spacing w:after="20"/>
            </w:pPr>
            <w:r>
              <w:rPr>
                <w:b/>
                <w:color w:val="173239"/>
                <w:sz w:val="20"/>
              </w:rPr>
              <w:t>Decimal verification</w:t>
            </w:r>
          </w:p>
          <w:p>
            <w:pPr>
              <w:spacing w:after="0"/>
            </w:pPr>
            <w:r>
              <w:rPr>
                <w:color w:val="52666A"/>
                <w:sz w:val="16"/>
              </w:rPr>
              <w:t>Model cannot approve itself</w:t>
            </w:r>
          </w:p>
        </w:tc>
        <w:tc>
          <w:tcPr>
            <w:tcW w:type="dxa" w:w="3427"/>
            <w:shd w:fill="EDF3F2"/>
          </w:tcPr>
          <w:p>
            <w:pPr>
              <w:spacing w:after="20"/>
            </w:pPr>
            <w:r/>
            <w:r>
              <w:rPr>
                <w:b/>
                <w:color w:val="285C62"/>
                <w:sz w:val="15"/>
              </w:rPr>
              <w:t>RECOVERY</w:t>
            </w:r>
          </w:p>
          <w:p>
            <w:pPr>
              <w:spacing w:after="20"/>
            </w:pPr>
            <w:r>
              <w:rPr>
                <w:b/>
                <w:color w:val="173239"/>
                <w:sz w:val="20"/>
              </w:rPr>
              <w:t>Local Qwen 3 VL 4B</w:t>
            </w:r>
          </w:p>
          <w:p>
            <w:pPr>
              <w:spacing w:after="0"/>
            </w:pPr>
            <w:r>
              <w:rPr>
                <w:color w:val="52666A"/>
                <w:sz w:val="16"/>
              </w:rPr>
              <w:t>Only on service or quota failure</w:t>
            </w:r>
          </w:p>
        </w:tc>
      </w:tr>
    </w:tbl>
    <w:p>
      <w:pPr>
        <w:spacing w:before="140" w:after="80"/>
      </w:pPr>
      <w:r>
        <w:rPr>
          <w:b/>
          <w:color w:val="173239"/>
          <w:sz w:val="26"/>
        </w:rPr>
        <w:t>What Folio proves</w:t>
      </w:r>
    </w:p>
    <w:p>
      <w:pPr>
        <w:spacing w:after="100" w:line="254" w:lineRule="auto"/>
      </w:pPr>
      <w:r>
        <w:rPr>
          <w:b w:val="0"/>
          <w:color w:val="173239"/>
          <w:sz w:val="20"/>
        </w:rPr>
        <w:t>Folio is an agency-ready document-processing foundation. A vision model proposes structured invoice data; deterministic Python verifies calculations and routing policy; a reviewer resolves exceptions. The original extraction is never overwritten.</w:t>
      </w:r>
    </w:p>
    <w:p>
      <w:pPr>
        <w:spacing w:after="120" w:line="254" w:lineRule="auto"/>
      </w:pPr>
      <w:r>
        <w:rPr>
          <w:b/>
          <w:color w:val="285C62"/>
          <w:sz w:val="20"/>
        </w:rPr>
        <w:t>The one sentence to remember: The model extracts. Deterministic code verifies. A human resolves exceptions.</w:t>
      </w:r>
    </w:p>
    <w:p>
      <w:pPr>
        <w:spacing w:before="140" w:after="80"/>
      </w:pPr>
      <w:r>
        <w:rPr>
          <w:b/>
          <w:color w:val="173239"/>
          <w:sz w:val="26"/>
        </w:rPr>
        <w:t>Architecture and decision 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1E1"/>
          <w:left w:val="single" w:sz="4" w:color="D9E1E1"/>
          <w:bottom w:val="single" w:sz="4" w:color="D9E1E1"/>
          <w:right w:val="single" w:sz="4" w:color="D9E1E1"/>
          <w:insideH w:val="single" w:sz="4" w:color="D9E1E1"/>
          <w:insideV w:val="single" w:sz="4" w:color="D9E1E1"/>
        </w:tblBorders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EDF3F2"/>
          </w:tcPr>
          <w:p>
            <w:pPr>
              <w:spacing w:after="20"/>
              <w:jc w:val="center"/>
            </w:pPr>
            <w:r/>
            <w:r>
              <w:rPr>
                <w:b/>
                <w:color w:val="173239"/>
                <w:sz w:val="19"/>
              </w:rPr>
              <w:t>Upload</w:t>
            </w:r>
          </w:p>
          <w:p>
            <w:pPr>
              <w:spacing w:after="0"/>
              <w:jc w:val="center"/>
            </w:pPr>
            <w:r>
              <w:rPr>
                <w:color w:val="52666A"/>
                <w:sz w:val="15"/>
              </w:rPr>
              <w:t>PDF, PNG, JPG or WEBP</w:t>
              <w:br/>
              <w:t>private local storage</w:t>
            </w:r>
          </w:p>
        </w:tc>
        <w:tc>
          <w:tcPr>
            <w:tcW w:type="dxa" w:w="2056"/>
            <w:shd w:fill="F6F8F7"/>
          </w:tcPr>
          <w:p>
            <w:pPr>
              <w:spacing w:after="20"/>
              <w:jc w:val="center"/>
            </w:pPr>
            <w:r/>
            <w:r>
              <w:rPr>
                <w:b/>
                <w:color w:val="173239"/>
                <w:sz w:val="19"/>
              </w:rPr>
              <w:t>Worker</w:t>
            </w:r>
          </w:p>
          <w:p>
            <w:pPr>
              <w:spacing w:after="0"/>
              <w:jc w:val="center"/>
            </w:pPr>
            <w:r>
              <w:rPr>
                <w:color w:val="52666A"/>
                <w:sz w:val="15"/>
              </w:rPr>
              <w:t>Durable job</w:t>
              <w:br/>
              <w:t>separate worker</w:t>
            </w:r>
          </w:p>
        </w:tc>
        <w:tc>
          <w:tcPr>
            <w:tcW w:type="dxa" w:w="2056"/>
            <w:shd w:fill="EDF3F2"/>
          </w:tcPr>
          <w:p>
            <w:pPr>
              <w:spacing w:after="20"/>
              <w:jc w:val="center"/>
            </w:pPr>
            <w:r/>
            <w:r>
              <w:rPr>
                <w:b/>
                <w:color w:val="173239"/>
                <w:sz w:val="19"/>
              </w:rPr>
              <w:t>AI extraction</w:t>
            </w:r>
          </w:p>
          <w:p>
            <w:pPr>
              <w:spacing w:after="0"/>
              <w:jc w:val="center"/>
            </w:pPr>
            <w:r>
              <w:rPr>
                <w:color w:val="52666A"/>
                <w:sz w:val="15"/>
              </w:rPr>
              <w:t>Groq JSON mode</w:t>
              <w:br/>
              <w:t>or local vision</w:t>
            </w:r>
          </w:p>
        </w:tc>
        <w:tc>
          <w:tcPr>
            <w:tcW w:type="dxa" w:w="2056"/>
            <w:shd w:fill="F6F8F7"/>
          </w:tcPr>
          <w:p>
            <w:pPr>
              <w:spacing w:after="20"/>
              <w:jc w:val="center"/>
            </w:pPr>
            <w:r/>
            <w:r>
              <w:rPr>
                <w:b/>
                <w:color w:val="173239"/>
                <w:sz w:val="19"/>
              </w:rPr>
              <w:t>Verify</w:t>
            </w:r>
          </w:p>
          <w:p>
            <w:pPr>
              <w:spacing w:after="0"/>
              <w:jc w:val="center"/>
            </w:pPr>
            <w:r>
              <w:rPr>
                <w:color w:val="52666A"/>
                <w:sz w:val="15"/>
              </w:rPr>
              <w:t>Pydantic + Decimal</w:t>
              <w:br/>
              <w:t>math and policy</w:t>
            </w:r>
          </w:p>
        </w:tc>
        <w:tc>
          <w:tcPr>
            <w:tcW w:type="dxa" w:w="2056"/>
            <w:shd w:fill="EDF3F2"/>
          </w:tcPr>
          <w:p>
            <w:pPr>
              <w:spacing w:after="20"/>
              <w:jc w:val="center"/>
            </w:pPr>
            <w:r/>
            <w:r>
              <w:rPr>
                <w:b/>
                <w:color w:val="173239"/>
                <w:sz w:val="19"/>
              </w:rPr>
              <w:t>Decision</w:t>
            </w:r>
          </w:p>
          <w:p>
            <w:pPr>
              <w:spacing w:after="0"/>
              <w:jc w:val="center"/>
            </w:pPr>
            <w:r>
              <w:rPr>
                <w:color w:val="52666A"/>
                <w:sz w:val="15"/>
              </w:rPr>
              <w:t>Auto approve</w:t>
              <w:br/>
              <w:t>or human review</w:t>
            </w:r>
          </w:p>
        </w:tc>
      </w:tr>
    </w:tbl>
    <w:p>
      <w:pPr>
        <w:spacing w:after="80" w:line="254" w:lineRule="auto"/>
      </w:pPr>
      <w:r>
        <w:rPr>
          <w:b w:val="0"/>
          <w:color w:val="173239"/>
          <w:sz w:val="19"/>
        </w:rPr>
        <w:t>Every run records provider, model, prompt version, token usage when available, latency, correlation ID, checks, route reason and audit events. Idempotency prevents duplicate jobs; the worker makes one cloud request per job, never a hidden retry loop.</w:t>
      </w:r>
    </w:p>
    <w:p>
      <w:pPr>
        <w:spacing w:before="140" w:after="80"/>
      </w:pPr>
      <w:r>
        <w:rPr>
          <w:b/>
          <w:color w:val="173239"/>
          <w:sz w:val="26"/>
        </w:rPr>
        <w:t>Technical essentials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1E1"/>
          <w:left w:val="single" w:sz="4" w:color="D9E1E1"/>
          <w:bottom w:val="single" w:sz="4" w:color="D9E1E1"/>
          <w:right w:val="single" w:sz="4" w:color="D9E1E1"/>
          <w:insideH w:val="single" w:sz="4" w:color="D9E1E1"/>
          <w:insideV w:val="single" w:sz="4" w:color="D9E1E1"/>
        </w:tblBorders>
      </w:tblPr>
      <w:tblGrid>
        <w:gridCol w:w="5141"/>
        <w:gridCol w:w="5141"/>
      </w:tblGrid>
      <w:tr>
        <w:tc>
          <w:tcPr>
            <w:tcW w:type="dxa" w:w="5141"/>
            <w:shd w:fill="EDF3F2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7"/>
              </w:rPr>
              <w:t>API and UI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FastAPI, Pydantic v2, React, TypeScript, Vite</w:t>
            </w:r>
          </w:p>
        </w:tc>
      </w:tr>
      <w:tr>
        <w:tc>
          <w:tcPr>
            <w:tcW w:type="dxa" w:w="5141"/>
            <w:shd w:fill="F8FAFA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7"/>
              </w:rPr>
              <w:t>Data and jobs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SQLite for local demo; SQLAlchemy; database-backed worker; Alembic migrations</w:t>
            </w:r>
          </w:p>
        </w:tc>
      </w:tr>
      <w:tr>
        <w:tc>
          <w:tcPr>
            <w:tcW w:type="dxa" w:w="5141"/>
            <w:shd w:fill="EDF3F2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7"/>
              </w:rPr>
              <w:t>Document handling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PyMuPDF page rendering; file limits; MIME inspection; private local storage</w:t>
            </w:r>
          </w:p>
        </w:tc>
      </w:tr>
      <w:tr>
        <w:tc>
          <w:tcPr>
            <w:tcW w:type="dxa" w:w="5141"/>
            <w:shd w:fill="F8FAFA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7"/>
              </w:rPr>
              <w:t>Verification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Python Decimal arithmetic with 0.01 tolerance; line, subtotal and total checks</w:t>
            </w:r>
          </w:p>
        </w:tc>
      </w:tr>
      <w:tr>
        <w:tc>
          <w:tcPr>
            <w:tcW w:type="dxa" w:w="5141"/>
            <w:shd w:fill="EDF3F2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7"/>
              </w:rPr>
              <w:t>Review and audit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Separate human decision snapshot; immutable original extraction; append-only audit events</w:t>
            </w:r>
          </w:p>
        </w:tc>
      </w:tr>
      <w:tr>
        <w:tc>
          <w:tcPr>
            <w:tcW w:type="dxa" w:w="5141"/>
            <w:shd w:fill="F8FAFA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7"/>
              </w:rPr>
              <w:t>Providers</w:t>
            </w:r>
          </w:p>
        </w:tc>
        <w:tc>
          <w:tcPr>
            <w:tcW w:type="dxa" w:w="5141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Groq Qwen 3.8 27B primary; Gemini available; Ollama Qwen 3 VL 4B local recovery</w:t>
            </w:r>
          </w:p>
        </w:tc>
      </w:tr>
    </w:tbl>
    <w:p>
      <w:r>
        <w:br w:type="page"/>
      </w:r>
    </w:p>
    <w:p>
      <w:pPr>
        <w:spacing w:before="140" w:after="80"/>
      </w:pPr>
      <w:r>
        <w:rPr>
          <w:b/>
          <w:color w:val="173239"/>
          <w:sz w:val="26"/>
        </w:rPr>
        <w:t>The recorded proof</w:t>
      </w:r>
    </w:p>
    <w:p>
      <w:pPr>
        <w:spacing w:after="100" w:line="254" w:lineRule="auto"/>
      </w:pPr>
      <w:r>
        <w:rPr>
          <w:b w:val="0"/>
          <w:color w:val="173239"/>
          <w:sz w:val="20"/>
        </w:rPr>
        <w:t>Use the prepared two-page Alder Office Supply invoice. It is synthetic, deliberately contains a printed-total discrepancy, and makes the guardrail visible without manufacturing a failure live.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173239"/>
          <w:left w:val="single" w:sz="4" w:color="173239"/>
          <w:bottom w:val="single" w:sz="4" w:color="173239"/>
          <w:right w:val="single" w:sz="4" w:color="173239"/>
          <w:insideH w:val="single" w:sz="4" w:color="173239"/>
          <w:insideV w:val="single" w:sz="4" w:color="173239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239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14"/>
              </w:rPr>
              <w:t>EXTRACTED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6 line items</w:t>
              <w:br/>
              <w:t>Subtotal 1,700</w:t>
            </w:r>
          </w:p>
        </w:tc>
        <w:tc>
          <w:tcPr>
            <w:tcW w:type="dxa" w:w="2570"/>
            <w:shd w:fill="173239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14"/>
              </w:rPr>
              <w:t>PRINTED TOTAL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USD 1,850</w:t>
            </w:r>
          </w:p>
        </w:tc>
        <w:tc>
          <w:tcPr>
            <w:tcW w:type="dxa" w:w="2570"/>
            <w:shd w:fill="173239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14"/>
              </w:rPr>
              <w:t>CALCULATED TOTAL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USD 1,800</w:t>
            </w:r>
          </w:p>
        </w:tc>
        <w:tc>
          <w:tcPr>
            <w:tcW w:type="dxa" w:w="2570"/>
            <w:shd w:fill="173239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14"/>
              </w:rPr>
              <w:t>DECISION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Review required</w:t>
              <w:br/>
              <w:t>Difference USD 50</w:t>
            </w:r>
          </w:p>
        </w:tc>
      </w:tr>
    </w:tbl>
    <w:p>
      <w:pPr>
        <w:spacing w:before="140" w:after="80"/>
      </w:pPr>
      <w:r>
        <w:rPr>
          <w:b/>
          <w:color w:val="173239"/>
          <w:sz w:val="26"/>
        </w:rPr>
        <w:t>60 second recording sequence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1E1"/>
          <w:left w:val="single" w:sz="4" w:color="D9E1E1"/>
          <w:bottom w:val="single" w:sz="4" w:color="D9E1E1"/>
          <w:right w:val="single" w:sz="4" w:color="D9E1E1"/>
          <w:insideH w:val="single" w:sz="4" w:color="D9E1E1"/>
          <w:insideV w:val="single" w:sz="4" w:color="D9E1E1"/>
        </w:tblBorders>
      </w:tblPr>
      <w:tblGrid>
        <w:gridCol w:w="3427"/>
        <w:gridCol w:w="3427"/>
        <w:gridCol w:w="3427"/>
      </w:tblGrid>
      <w:tr>
        <w:tc>
          <w:tcPr>
            <w:tcW w:type="dxa" w:w="1080"/>
            <w:shd w:fill="285C6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053"/>
            <w:shd w:fill="285C6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Show</w:t>
            </w:r>
          </w:p>
        </w:tc>
        <w:tc>
          <w:tcPr>
            <w:tcW w:type="dxa" w:w="4824"/>
            <w:shd w:fill="285C6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Say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6"/>
              </w:rPr>
              <w:t>0–8s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Upload Alder PDF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The model reads the invoice. It does not get to approve its own work.</w:t>
            </w:r>
          </w:p>
        </w:tc>
      </w:tr>
      <w:tr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6"/>
              </w:rPr>
              <w:t>8–18s</w:t>
            </w:r>
          </w:p>
        </w:tc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Source and extracted fields</w:t>
            </w:r>
          </w:p>
        </w:tc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This scanned, two-page invoice has six line items. The extraction is structured and traceable.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6"/>
              </w:rPr>
              <w:t>18–32s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Total evidence and ledger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The printed total is 1,850. Decimal arithmetic calculates 1,800. That 50-dollar difference blocks approval.</w:t>
            </w:r>
          </w:p>
        </w:tc>
      </w:tr>
      <w:tr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6"/>
              </w:rPr>
              <w:t>32–45s</w:t>
            </w:r>
          </w:p>
        </w:tc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Reviewer decision</w:t>
            </w:r>
          </w:p>
        </w:tc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An operator resolves the exception. The original extraction remains preserved.</w:t>
            </w:r>
          </w:p>
        </w:tc>
      </w:tr>
      <w:tr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6"/>
              </w:rPr>
              <w:t>45–54s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Audit trail and trace</w:t>
            </w:r>
          </w:p>
        </w:tc>
        <w:tc>
          <w:tcPr>
            <w:tcW w:type="dxa" w:w="3427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Provider, model, latency, checks and human decision are recorded for engineering and operations.</w:t>
            </w:r>
          </w:p>
        </w:tc>
      </w:tr>
      <w:tr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/>
                <w:color w:val="173239"/>
                <w:sz w:val="16"/>
              </w:rPr>
              <w:t>54–60s</w:t>
            </w:r>
          </w:p>
        </w:tc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Saved clean record</w:t>
            </w:r>
          </w:p>
        </w:tc>
        <w:tc>
          <w:tcPr>
            <w:tcW w:type="dxa" w:w="3427"/>
            <w:shd w:fill="F6F8F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39"/>
                <w:sz w:val="16"/>
              </w:rPr>
              <w:t>The same foundation can be adapted to your client’s workflow and system of record.</w:t>
            </w:r>
          </w:p>
        </w:tc>
      </w:tr>
    </w:tbl>
    <w:p>
      <w:pPr>
        <w:spacing w:before="140" w:after="80"/>
      </w:pPr>
      <w:r>
        <w:rPr>
          <w:b/>
          <w:color w:val="173239"/>
          <w:sz w:val="26"/>
        </w:rPr>
        <w:t>Before you press record</w:t>
      </w:r>
    </w:p>
    <w:p>
      <w:pPr>
        <w:pStyle w:val="ListBullet"/>
        <w:spacing w:after="40" w:line="245" w:lineRule="auto"/>
      </w:pPr>
      <w:r>
        <w:rPr>
          <w:sz w:val="19"/>
        </w:rPr>
        <w:t>Run .venv/bin/python scripts/preflight.py. It checks local readiness without using cloud quota.</w:t>
      </w:r>
    </w:p>
    <w:p>
      <w:pPr>
        <w:pStyle w:val="ListBullet"/>
        <w:spacing w:after="40" w:line="245" w:lineRule="auto"/>
      </w:pPr>
      <w:r>
        <w:rPr>
          <w:sz w:val="19"/>
        </w:rPr>
        <w:t>Use the saved Groq Alder record if you need a no-wait recording. It is visibly labeled GROQ LIVE and has a 3.197 second trace.</w:t>
      </w:r>
    </w:p>
    <w:p>
      <w:pPr>
        <w:pStyle w:val="ListBullet"/>
        <w:spacing w:after="40" w:line="245" w:lineRule="auto"/>
      </w:pPr>
      <w:r>
        <w:rPr>
          <w:sz w:val="19"/>
        </w:rPr>
        <w:t>Keep the local Ollama server running. If Groq quota or service availability fails, Folio may use one explicitly audited local recovery attempt.</w:t>
      </w:r>
    </w:p>
    <w:p>
      <w:pPr>
        <w:pStyle w:val="ListBullet"/>
        <w:spacing w:after="40" w:line="245" w:lineRule="auto"/>
      </w:pPr>
      <w:r>
        <w:rPr>
          <w:sz w:val="19"/>
        </w:rPr>
        <w:t>Say synthetic whenever you refer to prepared documents. Do not claim handwriting accuracy, a universal accuracy rate, zero live cost, or production certification.</w:t>
      </w:r>
    </w:p>
    <w:p>
      <w:pPr>
        <w:pStyle w:val="ListBullet"/>
        <w:spacing w:after="40" w:line="245" w:lineRule="auto"/>
      </w:pPr>
      <w:r>
        <w:rPr>
          <w:sz w:val="19"/>
        </w:rPr>
        <w:t>If you trim waiting, label it Processing wait shortened. Never present a fixture or local recovery as a Groq result.</w:t>
      </w:r>
    </w:p>
    <w:p>
      <w:pPr>
        <w:spacing w:before="140" w:after="80"/>
      </w:pPr>
      <w:r>
        <w:rPr>
          <w:b/>
          <w:color w:val="173239"/>
          <w:sz w:val="26"/>
        </w:rPr>
        <w:t>Known boundaries</w:t>
      </w:r>
    </w:p>
    <w:p>
      <w:pPr>
        <w:spacing w:after="0" w:line="254" w:lineRule="auto"/>
      </w:pPr>
      <w:r>
        <w:rPr>
          <w:b w:val="0"/>
          <w:color w:val="173239"/>
          <w:sz w:val="18"/>
        </w:rPr>
        <w:t>Folio is a high-quality sales demo and reusable integration base, not a certified accounting product. Groq Qwen 3.8 permits three page images per request. Handwritten or blurry documents should be treated as review-first until measured against a client-specific set. Model confidence is a heuristic, not proof. The provider sees documents when live cloud mode is selected; use approved data terms before client uploads.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7A"/>
        <w:sz w:val="16"/>
      </w:rPr>
      <w:t>Local sales demo  •  Synthetic documents only  • 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85C62"/>
        <w:sz w:val="16"/>
      </w:rPr>
      <w:t>FOLIO  /  LOOM RECORDING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