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0B54" w14:textId="77777777" w:rsidR="004822EA" w:rsidRDefault="00F14710">
      <w:pPr>
        <w:spacing w:before="1800" w:after="120"/>
        <w:jc w:val="center"/>
      </w:pPr>
      <w:r>
        <w:rPr>
          <w:b/>
          <w:bCs/>
          <w:color w:val="1F3A5F"/>
          <w:sz w:val="52"/>
          <w:szCs w:val="52"/>
        </w:rPr>
        <w:t>Physical Activity Participation in London</w:t>
      </w:r>
    </w:p>
    <w:p w14:paraId="573B3B21" w14:textId="77777777" w:rsidR="004822EA" w:rsidRDefault="00F14710">
      <w:pPr>
        <w:spacing w:after="400"/>
        <w:jc w:val="center"/>
      </w:pPr>
      <w:r>
        <w:rPr>
          <w:color w:val="2980B9"/>
          <w:sz w:val="28"/>
          <w:szCs w:val="28"/>
        </w:rPr>
        <w:t>A Multi-Wave Analysis of the Active Lives Survey, 2015–16 to 2022–23</w:t>
      </w:r>
    </w:p>
    <w:p w14:paraId="165841E0" w14:textId="77777777" w:rsidR="004822EA" w:rsidRDefault="00F14710">
      <w:pPr>
        <w:spacing w:after="80"/>
        <w:jc w:val="center"/>
      </w:pPr>
      <w:r>
        <w:rPr>
          <w:i/>
          <w:iCs/>
          <w:color w:val="555555"/>
        </w:rPr>
        <w:t>Data harmonisation, driver modelling, borough effects, forecasting, and activity decomposition</w:t>
      </w:r>
    </w:p>
    <w:p w14:paraId="52E3DC88" w14:textId="77777777" w:rsidR="004822EA" w:rsidRDefault="00F14710">
      <w:pPr>
        <w:spacing w:before="2400"/>
        <w:jc w:val="center"/>
      </w:pPr>
      <w:r>
        <w:rPr>
          <w:color w:val="555555"/>
        </w:rPr>
        <w:t>Progress Report</w:t>
      </w:r>
    </w:p>
    <w:p w14:paraId="0A90230E" w14:textId="77777777" w:rsidR="004822EA" w:rsidRDefault="00F14710">
      <w:r>
        <w:br w:type="page"/>
      </w:r>
    </w:p>
    <w:p w14:paraId="569D74CD" w14:textId="77777777" w:rsidR="004822EA" w:rsidRDefault="00F14710">
      <w:pPr>
        <w:pStyle w:val="Heading1"/>
        <w:spacing w:before="260" w:after="120"/>
      </w:pPr>
      <w:bookmarkStart w:id="0" w:name="_Toc236854825"/>
      <w:r>
        <w:rPr>
          <w:b/>
          <w:bCs/>
          <w:color w:val="1F3A5F"/>
        </w:rPr>
        <w:lastRenderedPageBreak/>
        <w:t>Contents</w:t>
      </w:r>
      <w:bookmarkEnd w:id="0"/>
    </w:p>
    <w:sdt>
      <w:sdtPr>
        <w:alias w:val="Contents"/>
        <w:id w:val="616026096"/>
      </w:sdtPr>
      <w:sdtEndPr/>
      <w:sdtContent>
        <w:p w14:paraId="7196B675" w14:textId="77777777" w:rsidR="00AB6415" w:rsidRDefault="00F14710">
          <w:pPr>
            <w:pStyle w:val="TOC1"/>
            <w:tabs>
              <w:tab w:val="right" w:leader="dot" w:pos="9296"/>
            </w:tabs>
            <w:rPr>
              <w:noProof/>
            </w:rPr>
          </w:pPr>
          <w:r>
            <w:fldChar w:fldCharType="begin"/>
          </w:r>
          <w:r>
            <w:instrText>TOC \h \o "1-2"</w:instrText>
          </w:r>
          <w:r>
            <w:fldChar w:fldCharType="separate"/>
          </w:r>
          <w:hyperlink w:anchor="_Toc236854825" w:history="1">
            <w:r w:rsidR="00AB6415" w:rsidRPr="000F4193">
              <w:rPr>
                <w:rStyle w:val="Hyperlink"/>
                <w:b/>
                <w:bCs/>
                <w:noProof/>
              </w:rPr>
              <w:t>Contents</w:t>
            </w:r>
            <w:r w:rsidR="00AB6415">
              <w:rPr>
                <w:noProof/>
              </w:rPr>
              <w:tab/>
            </w:r>
            <w:r w:rsidR="00AB6415">
              <w:rPr>
                <w:noProof/>
              </w:rPr>
              <w:fldChar w:fldCharType="begin"/>
            </w:r>
            <w:r w:rsidR="00AB6415">
              <w:rPr>
                <w:noProof/>
              </w:rPr>
              <w:instrText xml:space="preserve"> PAGEREF _Toc236854825 \h </w:instrText>
            </w:r>
            <w:r w:rsidR="00AB6415">
              <w:rPr>
                <w:noProof/>
              </w:rPr>
            </w:r>
            <w:r w:rsidR="00AB6415">
              <w:rPr>
                <w:noProof/>
              </w:rPr>
              <w:fldChar w:fldCharType="separate"/>
            </w:r>
            <w:r w:rsidR="00AB6415">
              <w:rPr>
                <w:noProof/>
              </w:rPr>
              <w:t>1</w:t>
            </w:r>
            <w:r w:rsidR="00AB6415">
              <w:rPr>
                <w:noProof/>
              </w:rPr>
              <w:fldChar w:fldCharType="end"/>
            </w:r>
          </w:hyperlink>
        </w:p>
        <w:p w14:paraId="3DE2AC7A" w14:textId="77777777" w:rsidR="00AB6415" w:rsidRDefault="00AB6415">
          <w:pPr>
            <w:pStyle w:val="TOC1"/>
            <w:tabs>
              <w:tab w:val="right" w:leader="dot" w:pos="9296"/>
            </w:tabs>
            <w:rPr>
              <w:noProof/>
            </w:rPr>
          </w:pPr>
          <w:hyperlink w:anchor="_Toc236854826" w:history="1">
            <w:r w:rsidRPr="000F4193">
              <w:rPr>
                <w:rStyle w:val="Hyperlink"/>
                <w:b/>
                <w:bCs/>
                <w:noProof/>
              </w:rPr>
              <w:t>1. Executive summary</w:t>
            </w:r>
            <w:r>
              <w:rPr>
                <w:noProof/>
              </w:rPr>
              <w:tab/>
            </w:r>
            <w:r>
              <w:rPr>
                <w:noProof/>
              </w:rPr>
              <w:fldChar w:fldCharType="begin"/>
            </w:r>
            <w:r>
              <w:rPr>
                <w:noProof/>
              </w:rPr>
              <w:instrText xml:space="preserve"> PAGEREF _Toc236854826 \h </w:instrText>
            </w:r>
            <w:r>
              <w:rPr>
                <w:noProof/>
              </w:rPr>
            </w:r>
            <w:r>
              <w:rPr>
                <w:noProof/>
              </w:rPr>
              <w:fldChar w:fldCharType="separate"/>
            </w:r>
            <w:r>
              <w:rPr>
                <w:noProof/>
              </w:rPr>
              <w:t>1</w:t>
            </w:r>
            <w:r>
              <w:rPr>
                <w:noProof/>
              </w:rPr>
              <w:fldChar w:fldCharType="end"/>
            </w:r>
          </w:hyperlink>
        </w:p>
        <w:p w14:paraId="3BFF9578" w14:textId="77777777" w:rsidR="00AB6415" w:rsidRDefault="00AB6415">
          <w:pPr>
            <w:pStyle w:val="TOC1"/>
            <w:tabs>
              <w:tab w:val="right" w:leader="dot" w:pos="9296"/>
            </w:tabs>
            <w:rPr>
              <w:noProof/>
            </w:rPr>
          </w:pPr>
          <w:hyperlink w:anchor="_Toc236854827" w:history="1">
            <w:r w:rsidRPr="000F4193">
              <w:rPr>
                <w:rStyle w:val="Hyperlink"/>
                <w:b/>
                <w:bCs/>
                <w:noProof/>
              </w:rPr>
              <w:t>2. Data and harmonisation</w:t>
            </w:r>
            <w:r>
              <w:rPr>
                <w:noProof/>
              </w:rPr>
              <w:tab/>
            </w:r>
            <w:r>
              <w:rPr>
                <w:noProof/>
              </w:rPr>
              <w:fldChar w:fldCharType="begin"/>
            </w:r>
            <w:r>
              <w:rPr>
                <w:noProof/>
              </w:rPr>
              <w:instrText xml:space="preserve"> PAGEREF _Toc236854827 \h </w:instrText>
            </w:r>
            <w:r>
              <w:rPr>
                <w:noProof/>
              </w:rPr>
            </w:r>
            <w:r>
              <w:rPr>
                <w:noProof/>
              </w:rPr>
              <w:fldChar w:fldCharType="separate"/>
            </w:r>
            <w:r>
              <w:rPr>
                <w:noProof/>
              </w:rPr>
              <w:t>1</w:t>
            </w:r>
            <w:r>
              <w:rPr>
                <w:noProof/>
              </w:rPr>
              <w:fldChar w:fldCharType="end"/>
            </w:r>
          </w:hyperlink>
        </w:p>
        <w:p w14:paraId="5715EB91" w14:textId="77777777" w:rsidR="00AB6415" w:rsidRDefault="00AB6415">
          <w:pPr>
            <w:pStyle w:val="TOC2"/>
            <w:tabs>
              <w:tab w:val="right" w:leader="dot" w:pos="9296"/>
            </w:tabs>
            <w:rPr>
              <w:noProof/>
            </w:rPr>
          </w:pPr>
          <w:hyperlink w:anchor="_Toc236854828" w:history="1">
            <w:r w:rsidRPr="000F4193">
              <w:rPr>
                <w:rStyle w:val="Hyperlink"/>
                <w:b/>
                <w:bCs/>
                <w:noProof/>
              </w:rPr>
              <w:t>2.1 Geography verified per wave</w:t>
            </w:r>
            <w:r>
              <w:rPr>
                <w:noProof/>
              </w:rPr>
              <w:tab/>
            </w:r>
            <w:r>
              <w:rPr>
                <w:noProof/>
              </w:rPr>
              <w:fldChar w:fldCharType="begin"/>
            </w:r>
            <w:r>
              <w:rPr>
                <w:noProof/>
              </w:rPr>
              <w:instrText xml:space="preserve"> PAGEREF _Toc236854828 \h </w:instrText>
            </w:r>
            <w:r>
              <w:rPr>
                <w:noProof/>
              </w:rPr>
            </w:r>
            <w:r>
              <w:rPr>
                <w:noProof/>
              </w:rPr>
              <w:fldChar w:fldCharType="separate"/>
            </w:r>
            <w:r>
              <w:rPr>
                <w:noProof/>
              </w:rPr>
              <w:t>1</w:t>
            </w:r>
            <w:r>
              <w:rPr>
                <w:noProof/>
              </w:rPr>
              <w:fldChar w:fldCharType="end"/>
            </w:r>
          </w:hyperlink>
        </w:p>
        <w:p w14:paraId="7EFB04BF" w14:textId="77777777" w:rsidR="00AB6415" w:rsidRDefault="00AB6415">
          <w:pPr>
            <w:pStyle w:val="TOC2"/>
            <w:tabs>
              <w:tab w:val="right" w:leader="dot" w:pos="9296"/>
            </w:tabs>
            <w:rPr>
              <w:noProof/>
            </w:rPr>
          </w:pPr>
          <w:hyperlink w:anchor="_Toc236854829" w:history="1">
            <w:r w:rsidRPr="000F4193">
              <w:rPr>
                <w:rStyle w:val="Hyperlink"/>
                <w:b/>
                <w:bCs/>
                <w:noProof/>
              </w:rPr>
              <w:t>2.2 Codebook drift and pooling</w:t>
            </w:r>
            <w:r>
              <w:rPr>
                <w:noProof/>
              </w:rPr>
              <w:tab/>
            </w:r>
            <w:r>
              <w:rPr>
                <w:noProof/>
              </w:rPr>
              <w:fldChar w:fldCharType="begin"/>
            </w:r>
            <w:r>
              <w:rPr>
                <w:noProof/>
              </w:rPr>
              <w:instrText xml:space="preserve"> PAGEREF _Toc236854829 \h </w:instrText>
            </w:r>
            <w:r>
              <w:rPr>
                <w:noProof/>
              </w:rPr>
            </w:r>
            <w:r>
              <w:rPr>
                <w:noProof/>
              </w:rPr>
              <w:fldChar w:fldCharType="separate"/>
            </w:r>
            <w:r>
              <w:rPr>
                <w:noProof/>
              </w:rPr>
              <w:t>1</w:t>
            </w:r>
            <w:r>
              <w:rPr>
                <w:noProof/>
              </w:rPr>
              <w:fldChar w:fldCharType="end"/>
            </w:r>
          </w:hyperlink>
        </w:p>
        <w:p w14:paraId="7EF202E0" w14:textId="77777777" w:rsidR="00AB6415" w:rsidRDefault="00AB6415">
          <w:pPr>
            <w:pStyle w:val="TOC2"/>
            <w:tabs>
              <w:tab w:val="right" w:leader="dot" w:pos="9296"/>
            </w:tabs>
            <w:rPr>
              <w:noProof/>
            </w:rPr>
          </w:pPr>
          <w:hyperlink w:anchor="_Toc236854830" w:history="1">
            <w:r w:rsidRPr="000F4193">
              <w:rPr>
                <w:rStyle w:val="Hyperlink"/>
                <w:b/>
                <w:bCs/>
                <w:noProof/>
              </w:rPr>
              <w:t>2.3 Validation against published figures</w:t>
            </w:r>
            <w:r>
              <w:rPr>
                <w:noProof/>
              </w:rPr>
              <w:tab/>
            </w:r>
            <w:r>
              <w:rPr>
                <w:noProof/>
              </w:rPr>
              <w:fldChar w:fldCharType="begin"/>
            </w:r>
            <w:r>
              <w:rPr>
                <w:noProof/>
              </w:rPr>
              <w:instrText xml:space="preserve"> PAGEREF _Toc236854830 \h </w:instrText>
            </w:r>
            <w:r>
              <w:rPr>
                <w:noProof/>
              </w:rPr>
            </w:r>
            <w:r>
              <w:rPr>
                <w:noProof/>
              </w:rPr>
              <w:fldChar w:fldCharType="separate"/>
            </w:r>
            <w:r>
              <w:rPr>
                <w:noProof/>
              </w:rPr>
              <w:t>1</w:t>
            </w:r>
            <w:r>
              <w:rPr>
                <w:noProof/>
              </w:rPr>
              <w:fldChar w:fldCharType="end"/>
            </w:r>
          </w:hyperlink>
        </w:p>
        <w:p w14:paraId="2565565E" w14:textId="77777777" w:rsidR="00AB6415" w:rsidRDefault="00AB6415">
          <w:pPr>
            <w:pStyle w:val="TOC1"/>
            <w:tabs>
              <w:tab w:val="right" w:leader="dot" w:pos="9296"/>
            </w:tabs>
            <w:rPr>
              <w:noProof/>
            </w:rPr>
          </w:pPr>
          <w:hyperlink w:anchor="_Toc236854831" w:history="1">
            <w:r w:rsidRPr="000F4193">
              <w:rPr>
                <w:rStyle w:val="Hyperlink"/>
                <w:b/>
                <w:bCs/>
                <w:noProof/>
              </w:rPr>
              <w:t>3. Exploratory analysis</w:t>
            </w:r>
            <w:r>
              <w:rPr>
                <w:noProof/>
              </w:rPr>
              <w:tab/>
            </w:r>
            <w:r>
              <w:rPr>
                <w:noProof/>
              </w:rPr>
              <w:fldChar w:fldCharType="begin"/>
            </w:r>
            <w:r>
              <w:rPr>
                <w:noProof/>
              </w:rPr>
              <w:instrText xml:space="preserve"> PAGEREF _Toc236854831 \h </w:instrText>
            </w:r>
            <w:r>
              <w:rPr>
                <w:noProof/>
              </w:rPr>
            </w:r>
            <w:r>
              <w:rPr>
                <w:noProof/>
              </w:rPr>
              <w:fldChar w:fldCharType="separate"/>
            </w:r>
            <w:r>
              <w:rPr>
                <w:noProof/>
              </w:rPr>
              <w:t>1</w:t>
            </w:r>
            <w:r>
              <w:rPr>
                <w:noProof/>
              </w:rPr>
              <w:fldChar w:fldCharType="end"/>
            </w:r>
          </w:hyperlink>
        </w:p>
        <w:p w14:paraId="3BAF2BE4" w14:textId="77777777" w:rsidR="00AB6415" w:rsidRDefault="00AB6415">
          <w:pPr>
            <w:pStyle w:val="TOC1"/>
            <w:tabs>
              <w:tab w:val="right" w:leader="dot" w:pos="9296"/>
            </w:tabs>
            <w:rPr>
              <w:noProof/>
            </w:rPr>
          </w:pPr>
          <w:hyperlink w:anchor="_Toc236854832" w:history="1">
            <w:r w:rsidRPr="000F4193">
              <w:rPr>
                <w:rStyle w:val="Hyperlink"/>
                <w:b/>
                <w:bCs/>
                <w:noProof/>
              </w:rPr>
              <w:t>4. Individual-level drivers (CatBoost + SHAP)</w:t>
            </w:r>
            <w:r>
              <w:rPr>
                <w:noProof/>
              </w:rPr>
              <w:tab/>
            </w:r>
            <w:r>
              <w:rPr>
                <w:noProof/>
              </w:rPr>
              <w:fldChar w:fldCharType="begin"/>
            </w:r>
            <w:r>
              <w:rPr>
                <w:noProof/>
              </w:rPr>
              <w:instrText xml:space="preserve"> PAGEREF _Toc236854832 \h </w:instrText>
            </w:r>
            <w:r>
              <w:rPr>
                <w:noProof/>
              </w:rPr>
            </w:r>
            <w:r>
              <w:rPr>
                <w:noProof/>
              </w:rPr>
              <w:fldChar w:fldCharType="separate"/>
            </w:r>
            <w:r>
              <w:rPr>
                <w:noProof/>
              </w:rPr>
              <w:t>1</w:t>
            </w:r>
            <w:r>
              <w:rPr>
                <w:noProof/>
              </w:rPr>
              <w:fldChar w:fldCharType="end"/>
            </w:r>
          </w:hyperlink>
        </w:p>
        <w:p w14:paraId="4A339834" w14:textId="77777777" w:rsidR="00AB6415" w:rsidRDefault="00AB6415">
          <w:pPr>
            <w:pStyle w:val="TOC2"/>
            <w:tabs>
              <w:tab w:val="right" w:leader="dot" w:pos="9296"/>
            </w:tabs>
            <w:rPr>
              <w:noProof/>
            </w:rPr>
          </w:pPr>
          <w:hyperlink w:anchor="_Toc236854833" w:history="1">
            <w:r w:rsidRPr="000F4193">
              <w:rPr>
                <w:rStyle w:val="Hyperlink"/>
                <w:b/>
                <w:bCs/>
                <w:noProof/>
              </w:rPr>
              <w:t>4.1 Validation design</w:t>
            </w:r>
            <w:r>
              <w:rPr>
                <w:noProof/>
              </w:rPr>
              <w:tab/>
            </w:r>
            <w:r>
              <w:rPr>
                <w:noProof/>
              </w:rPr>
              <w:fldChar w:fldCharType="begin"/>
            </w:r>
            <w:r>
              <w:rPr>
                <w:noProof/>
              </w:rPr>
              <w:instrText xml:space="preserve"> PAGEREF _Toc236854833 \h </w:instrText>
            </w:r>
            <w:r>
              <w:rPr>
                <w:noProof/>
              </w:rPr>
            </w:r>
            <w:r>
              <w:rPr>
                <w:noProof/>
              </w:rPr>
              <w:fldChar w:fldCharType="separate"/>
            </w:r>
            <w:r>
              <w:rPr>
                <w:noProof/>
              </w:rPr>
              <w:t>1</w:t>
            </w:r>
            <w:r>
              <w:rPr>
                <w:noProof/>
              </w:rPr>
              <w:fldChar w:fldCharType="end"/>
            </w:r>
          </w:hyperlink>
        </w:p>
        <w:p w14:paraId="3862DC95" w14:textId="77777777" w:rsidR="00AB6415" w:rsidRDefault="00AB6415">
          <w:pPr>
            <w:pStyle w:val="TOC2"/>
            <w:tabs>
              <w:tab w:val="right" w:leader="dot" w:pos="9296"/>
            </w:tabs>
            <w:rPr>
              <w:noProof/>
            </w:rPr>
          </w:pPr>
          <w:hyperlink w:anchor="_Toc236854834" w:history="1">
            <w:r w:rsidRPr="000F4193">
              <w:rPr>
                <w:rStyle w:val="Hyperlink"/>
                <w:b/>
                <w:bCs/>
                <w:noProof/>
              </w:rPr>
              <w:t>4.2 What drives participation</w:t>
            </w:r>
            <w:r>
              <w:rPr>
                <w:noProof/>
              </w:rPr>
              <w:tab/>
            </w:r>
            <w:r>
              <w:rPr>
                <w:noProof/>
              </w:rPr>
              <w:fldChar w:fldCharType="begin"/>
            </w:r>
            <w:r>
              <w:rPr>
                <w:noProof/>
              </w:rPr>
              <w:instrText xml:space="preserve"> PAGEREF _Toc236854834 \h </w:instrText>
            </w:r>
            <w:r>
              <w:rPr>
                <w:noProof/>
              </w:rPr>
            </w:r>
            <w:r>
              <w:rPr>
                <w:noProof/>
              </w:rPr>
              <w:fldChar w:fldCharType="separate"/>
            </w:r>
            <w:r>
              <w:rPr>
                <w:noProof/>
              </w:rPr>
              <w:t>1</w:t>
            </w:r>
            <w:r>
              <w:rPr>
                <w:noProof/>
              </w:rPr>
              <w:fldChar w:fldCharType="end"/>
            </w:r>
          </w:hyperlink>
        </w:p>
        <w:p w14:paraId="43B503DD" w14:textId="77777777" w:rsidR="00AB6415" w:rsidRDefault="00AB6415">
          <w:pPr>
            <w:pStyle w:val="TOC1"/>
            <w:tabs>
              <w:tab w:val="right" w:leader="dot" w:pos="9296"/>
            </w:tabs>
            <w:rPr>
              <w:noProof/>
            </w:rPr>
          </w:pPr>
          <w:hyperlink w:anchor="_Toc236854835" w:history="1">
            <w:r w:rsidRPr="000F4193">
              <w:rPr>
                <w:rStyle w:val="Hyperlink"/>
                <w:b/>
                <w:bCs/>
                <w:noProof/>
              </w:rPr>
              <w:t>5. Borough effects beyond demographics</w:t>
            </w:r>
            <w:r>
              <w:rPr>
                <w:noProof/>
              </w:rPr>
              <w:tab/>
            </w:r>
            <w:r>
              <w:rPr>
                <w:noProof/>
              </w:rPr>
              <w:fldChar w:fldCharType="begin"/>
            </w:r>
            <w:r>
              <w:rPr>
                <w:noProof/>
              </w:rPr>
              <w:instrText xml:space="preserve"> PAGEREF _Toc236854835 \h </w:instrText>
            </w:r>
            <w:r>
              <w:rPr>
                <w:noProof/>
              </w:rPr>
            </w:r>
            <w:r>
              <w:rPr>
                <w:noProof/>
              </w:rPr>
              <w:fldChar w:fldCharType="separate"/>
            </w:r>
            <w:r>
              <w:rPr>
                <w:noProof/>
              </w:rPr>
              <w:t>1</w:t>
            </w:r>
            <w:r>
              <w:rPr>
                <w:noProof/>
              </w:rPr>
              <w:fldChar w:fldCharType="end"/>
            </w:r>
          </w:hyperlink>
        </w:p>
        <w:p w14:paraId="126216EB" w14:textId="77777777" w:rsidR="00AB6415" w:rsidRDefault="00AB6415">
          <w:pPr>
            <w:pStyle w:val="TOC2"/>
            <w:tabs>
              <w:tab w:val="right" w:leader="dot" w:pos="9296"/>
            </w:tabs>
            <w:rPr>
              <w:noProof/>
            </w:rPr>
          </w:pPr>
          <w:hyperlink w:anchor="_Toc236854836" w:history="1">
            <w:r w:rsidRPr="000F4193">
              <w:rPr>
                <w:rStyle w:val="Hyperlink"/>
                <w:b/>
                <w:bCs/>
                <w:noProof/>
              </w:rPr>
              <w:t>5.1 Robust estimation (leave-one-wave-out)</w:t>
            </w:r>
            <w:r>
              <w:rPr>
                <w:noProof/>
              </w:rPr>
              <w:tab/>
            </w:r>
            <w:r>
              <w:rPr>
                <w:noProof/>
              </w:rPr>
              <w:fldChar w:fldCharType="begin"/>
            </w:r>
            <w:r>
              <w:rPr>
                <w:noProof/>
              </w:rPr>
              <w:instrText xml:space="preserve"> PAGEREF _Toc236854836 \h </w:instrText>
            </w:r>
            <w:r>
              <w:rPr>
                <w:noProof/>
              </w:rPr>
            </w:r>
            <w:r>
              <w:rPr>
                <w:noProof/>
              </w:rPr>
              <w:fldChar w:fldCharType="separate"/>
            </w:r>
            <w:r>
              <w:rPr>
                <w:noProof/>
              </w:rPr>
              <w:t>1</w:t>
            </w:r>
            <w:r>
              <w:rPr>
                <w:noProof/>
              </w:rPr>
              <w:fldChar w:fldCharType="end"/>
            </w:r>
          </w:hyperlink>
        </w:p>
        <w:p w14:paraId="581602D9" w14:textId="77777777" w:rsidR="00AB6415" w:rsidRDefault="00AB6415">
          <w:pPr>
            <w:pStyle w:val="TOC2"/>
            <w:tabs>
              <w:tab w:val="right" w:leader="dot" w:pos="9296"/>
            </w:tabs>
            <w:rPr>
              <w:noProof/>
            </w:rPr>
          </w:pPr>
          <w:hyperlink w:anchor="_Toc236854837" w:history="1">
            <w:r w:rsidRPr="000F4193">
              <w:rPr>
                <w:rStyle w:val="Hyperlink"/>
                <w:b/>
                <w:bCs/>
                <w:noProof/>
              </w:rPr>
              <w:t>5.2 Nine stable boroughs</w:t>
            </w:r>
            <w:r>
              <w:rPr>
                <w:noProof/>
              </w:rPr>
              <w:tab/>
            </w:r>
            <w:r>
              <w:rPr>
                <w:noProof/>
              </w:rPr>
              <w:fldChar w:fldCharType="begin"/>
            </w:r>
            <w:r>
              <w:rPr>
                <w:noProof/>
              </w:rPr>
              <w:instrText xml:space="preserve"> PAGEREF _Toc236854837 \h </w:instrText>
            </w:r>
            <w:r>
              <w:rPr>
                <w:noProof/>
              </w:rPr>
            </w:r>
            <w:r>
              <w:rPr>
                <w:noProof/>
              </w:rPr>
              <w:fldChar w:fldCharType="separate"/>
            </w:r>
            <w:r>
              <w:rPr>
                <w:noProof/>
              </w:rPr>
              <w:t>1</w:t>
            </w:r>
            <w:r>
              <w:rPr>
                <w:noProof/>
              </w:rPr>
              <w:fldChar w:fldCharType="end"/>
            </w:r>
          </w:hyperlink>
        </w:p>
        <w:p w14:paraId="5F7811A0" w14:textId="77777777" w:rsidR="00AB6415" w:rsidRDefault="00AB6415">
          <w:pPr>
            <w:pStyle w:val="TOC2"/>
            <w:tabs>
              <w:tab w:val="right" w:leader="dot" w:pos="9296"/>
            </w:tabs>
            <w:rPr>
              <w:noProof/>
            </w:rPr>
          </w:pPr>
          <w:hyperlink w:anchor="_Toc236854838" w:history="1">
            <w:r w:rsidRPr="000F4193">
              <w:rPr>
                <w:rStyle w:val="Hyperlink"/>
                <w:b/>
                <w:bCs/>
                <w:noProof/>
              </w:rPr>
              <w:t>5.3 The effect is not explained by deprivation</w:t>
            </w:r>
            <w:r>
              <w:rPr>
                <w:noProof/>
              </w:rPr>
              <w:tab/>
            </w:r>
            <w:r>
              <w:rPr>
                <w:noProof/>
              </w:rPr>
              <w:fldChar w:fldCharType="begin"/>
            </w:r>
            <w:r>
              <w:rPr>
                <w:noProof/>
              </w:rPr>
              <w:instrText xml:space="preserve"> PAGEREF _Toc236854838 \h </w:instrText>
            </w:r>
            <w:r>
              <w:rPr>
                <w:noProof/>
              </w:rPr>
            </w:r>
            <w:r>
              <w:rPr>
                <w:noProof/>
              </w:rPr>
              <w:fldChar w:fldCharType="separate"/>
            </w:r>
            <w:r>
              <w:rPr>
                <w:noProof/>
              </w:rPr>
              <w:t>1</w:t>
            </w:r>
            <w:r>
              <w:rPr>
                <w:noProof/>
              </w:rPr>
              <w:fldChar w:fldCharType="end"/>
            </w:r>
          </w:hyperlink>
        </w:p>
        <w:p w14:paraId="1C491C51" w14:textId="77777777" w:rsidR="00AB6415" w:rsidRDefault="00AB6415">
          <w:pPr>
            <w:pStyle w:val="TOC1"/>
            <w:tabs>
              <w:tab w:val="right" w:leader="dot" w:pos="9296"/>
            </w:tabs>
            <w:rPr>
              <w:noProof/>
            </w:rPr>
          </w:pPr>
          <w:hyperlink w:anchor="_Toc236854839" w:history="1">
            <w:r w:rsidRPr="000F4193">
              <w:rPr>
                <w:rStyle w:val="Hyperlink"/>
                <w:b/>
                <w:bCs/>
                <w:noProof/>
              </w:rPr>
              <w:t>6. Forecast to 2032</w:t>
            </w:r>
            <w:r>
              <w:rPr>
                <w:noProof/>
              </w:rPr>
              <w:tab/>
            </w:r>
            <w:r>
              <w:rPr>
                <w:noProof/>
              </w:rPr>
              <w:fldChar w:fldCharType="begin"/>
            </w:r>
            <w:r>
              <w:rPr>
                <w:noProof/>
              </w:rPr>
              <w:instrText xml:space="preserve"> PAGEREF _Toc236854839 \h </w:instrText>
            </w:r>
            <w:r>
              <w:rPr>
                <w:noProof/>
              </w:rPr>
            </w:r>
            <w:r>
              <w:rPr>
                <w:noProof/>
              </w:rPr>
              <w:fldChar w:fldCharType="separate"/>
            </w:r>
            <w:r>
              <w:rPr>
                <w:noProof/>
              </w:rPr>
              <w:t>1</w:t>
            </w:r>
            <w:r>
              <w:rPr>
                <w:noProof/>
              </w:rPr>
              <w:fldChar w:fldCharType="end"/>
            </w:r>
          </w:hyperlink>
        </w:p>
        <w:p w14:paraId="3BD00633" w14:textId="77777777" w:rsidR="00AB6415" w:rsidRDefault="00AB6415">
          <w:pPr>
            <w:pStyle w:val="TOC1"/>
            <w:tabs>
              <w:tab w:val="right" w:leader="dot" w:pos="9296"/>
            </w:tabs>
            <w:rPr>
              <w:noProof/>
            </w:rPr>
          </w:pPr>
          <w:hyperlink w:anchor="_Toc236854840" w:history="1">
            <w:r w:rsidRPr="000F4193">
              <w:rPr>
                <w:rStyle w:val="Hyperlink"/>
                <w:b/>
                <w:bCs/>
                <w:noProof/>
              </w:rPr>
              <w:t>7. Activity-type decomposition</w:t>
            </w:r>
            <w:r>
              <w:rPr>
                <w:noProof/>
              </w:rPr>
              <w:tab/>
            </w:r>
            <w:r>
              <w:rPr>
                <w:noProof/>
              </w:rPr>
              <w:fldChar w:fldCharType="begin"/>
            </w:r>
            <w:r>
              <w:rPr>
                <w:noProof/>
              </w:rPr>
              <w:instrText xml:space="preserve"> PAGEREF _Toc236854840 \h </w:instrText>
            </w:r>
            <w:r>
              <w:rPr>
                <w:noProof/>
              </w:rPr>
            </w:r>
            <w:r>
              <w:rPr>
                <w:noProof/>
              </w:rPr>
              <w:fldChar w:fldCharType="separate"/>
            </w:r>
            <w:r>
              <w:rPr>
                <w:noProof/>
              </w:rPr>
              <w:t>1</w:t>
            </w:r>
            <w:r>
              <w:rPr>
                <w:noProof/>
              </w:rPr>
              <w:fldChar w:fldCharType="end"/>
            </w:r>
          </w:hyperlink>
        </w:p>
        <w:p w14:paraId="368AA3E6" w14:textId="77777777" w:rsidR="00AB6415" w:rsidRDefault="00AB6415">
          <w:pPr>
            <w:pStyle w:val="TOC2"/>
            <w:tabs>
              <w:tab w:val="right" w:leader="dot" w:pos="9296"/>
            </w:tabs>
            <w:rPr>
              <w:noProof/>
            </w:rPr>
          </w:pPr>
          <w:hyperlink w:anchor="_Toc236854841" w:history="1">
            <w:r w:rsidRPr="000F4193">
              <w:rPr>
                <w:rStyle w:val="Hyperlink"/>
                <w:b/>
                <w:bCs/>
                <w:noProof/>
              </w:rPr>
              <w:t>7.1 Walking and active travel carry participation</w:t>
            </w:r>
            <w:r>
              <w:rPr>
                <w:noProof/>
              </w:rPr>
              <w:tab/>
            </w:r>
            <w:r>
              <w:rPr>
                <w:noProof/>
              </w:rPr>
              <w:fldChar w:fldCharType="begin"/>
            </w:r>
            <w:r>
              <w:rPr>
                <w:noProof/>
              </w:rPr>
              <w:instrText xml:space="preserve"> PAGEREF _Toc236854841 \h </w:instrText>
            </w:r>
            <w:r>
              <w:rPr>
                <w:noProof/>
              </w:rPr>
            </w:r>
            <w:r>
              <w:rPr>
                <w:noProof/>
              </w:rPr>
              <w:fldChar w:fldCharType="separate"/>
            </w:r>
            <w:r>
              <w:rPr>
                <w:noProof/>
              </w:rPr>
              <w:t>1</w:t>
            </w:r>
            <w:r>
              <w:rPr>
                <w:noProof/>
              </w:rPr>
              <w:fldChar w:fldCharType="end"/>
            </w:r>
          </w:hyperlink>
        </w:p>
        <w:p w14:paraId="7FBE926E" w14:textId="77777777" w:rsidR="00AB6415" w:rsidRDefault="00AB6415">
          <w:pPr>
            <w:pStyle w:val="TOC2"/>
            <w:tabs>
              <w:tab w:val="right" w:leader="dot" w:pos="9296"/>
            </w:tabs>
            <w:rPr>
              <w:noProof/>
            </w:rPr>
          </w:pPr>
          <w:hyperlink w:anchor="_Toc236854842" w:history="1">
            <w:r w:rsidRPr="000F4193">
              <w:rPr>
                <w:rStyle w:val="Hyperlink"/>
                <w:b/>
                <w:bCs/>
                <w:noProof/>
              </w:rPr>
              <w:t>7.2 Borough activity signature</w:t>
            </w:r>
            <w:r>
              <w:rPr>
                <w:noProof/>
              </w:rPr>
              <w:tab/>
            </w:r>
            <w:r>
              <w:rPr>
                <w:noProof/>
              </w:rPr>
              <w:fldChar w:fldCharType="begin"/>
            </w:r>
            <w:r>
              <w:rPr>
                <w:noProof/>
              </w:rPr>
              <w:instrText xml:space="preserve"> PAGEREF _Toc236854842 \h </w:instrText>
            </w:r>
            <w:r>
              <w:rPr>
                <w:noProof/>
              </w:rPr>
            </w:r>
            <w:r>
              <w:rPr>
                <w:noProof/>
              </w:rPr>
              <w:fldChar w:fldCharType="separate"/>
            </w:r>
            <w:r>
              <w:rPr>
                <w:noProof/>
              </w:rPr>
              <w:t>1</w:t>
            </w:r>
            <w:r>
              <w:rPr>
                <w:noProof/>
              </w:rPr>
              <w:fldChar w:fldCharType="end"/>
            </w:r>
          </w:hyperlink>
        </w:p>
        <w:p w14:paraId="4D048B08" w14:textId="77777777" w:rsidR="00AB6415" w:rsidRDefault="00AB6415">
          <w:pPr>
            <w:pStyle w:val="TOC1"/>
            <w:tabs>
              <w:tab w:val="right" w:leader="dot" w:pos="9296"/>
            </w:tabs>
            <w:rPr>
              <w:noProof/>
            </w:rPr>
          </w:pPr>
          <w:hyperlink w:anchor="_Toc236854843" w:history="1">
            <w:r w:rsidRPr="000F4193">
              <w:rPr>
                <w:rStyle w:val="Hyperlink"/>
                <w:b/>
                <w:bCs/>
                <w:noProof/>
              </w:rPr>
              <w:t>8. Status and next steps</w:t>
            </w:r>
            <w:r>
              <w:rPr>
                <w:noProof/>
              </w:rPr>
              <w:tab/>
            </w:r>
            <w:r>
              <w:rPr>
                <w:noProof/>
              </w:rPr>
              <w:fldChar w:fldCharType="begin"/>
            </w:r>
            <w:r>
              <w:rPr>
                <w:noProof/>
              </w:rPr>
              <w:instrText xml:space="preserve"> PAGEREF _Toc236854843 \h </w:instrText>
            </w:r>
            <w:r>
              <w:rPr>
                <w:noProof/>
              </w:rPr>
            </w:r>
            <w:r>
              <w:rPr>
                <w:noProof/>
              </w:rPr>
              <w:fldChar w:fldCharType="separate"/>
            </w:r>
            <w:r>
              <w:rPr>
                <w:noProof/>
              </w:rPr>
              <w:t>1</w:t>
            </w:r>
            <w:r>
              <w:rPr>
                <w:noProof/>
              </w:rPr>
              <w:fldChar w:fldCharType="end"/>
            </w:r>
          </w:hyperlink>
        </w:p>
        <w:p w14:paraId="4256A286" w14:textId="77777777" w:rsidR="004822EA" w:rsidRDefault="00F14710">
          <w:r>
            <w:fldChar w:fldCharType="end"/>
          </w:r>
        </w:p>
      </w:sdtContent>
    </w:sdt>
    <w:p w14:paraId="10A5C8BF" w14:textId="77777777" w:rsidR="004822EA" w:rsidRDefault="00F14710">
      <w:r>
        <w:br w:type="page"/>
      </w:r>
    </w:p>
    <w:p w14:paraId="4313079A" w14:textId="77777777" w:rsidR="004822EA" w:rsidRDefault="00F14710">
      <w:pPr>
        <w:pStyle w:val="Heading1"/>
        <w:spacing w:before="260" w:after="120"/>
      </w:pPr>
      <w:bookmarkStart w:id="1" w:name="_Toc236854826"/>
      <w:r>
        <w:rPr>
          <w:b/>
          <w:bCs/>
          <w:color w:val="1F3A5F"/>
        </w:rPr>
        <w:lastRenderedPageBreak/>
        <w:t>1. Executive summary</w:t>
      </w:r>
      <w:bookmarkEnd w:id="1"/>
    </w:p>
    <w:p w14:paraId="4C176BF9" w14:textId="77777777" w:rsidR="004822EA" w:rsidRDefault="00F14710">
      <w:pPr>
        <w:spacing w:after="120" w:line="276" w:lineRule="auto"/>
      </w:pPr>
      <w:r>
        <w:t xml:space="preserve">This project analyses physical-activity participation across the 32 London boroughs using eight annual waves of Sport England's Active Lives Adult Survey (2015–16 to 2022–23), a pooled sample of 135,497 respondents. </w:t>
      </w:r>
      <w:r>
        <w:t>The work proceeded in five stages: harmonising the eight waves into a single verified panel; modelling the individual-level drivers of activity; estimating borough-level effects beyond those drivers; forecasting borough participation to 2032; and decomposing the activity rate by activity type.</w:t>
      </w:r>
    </w:p>
    <w:p w14:paraId="3995FECF" w14:textId="77777777" w:rsidR="004822EA" w:rsidRDefault="00F14710">
      <w:pPr>
        <w:spacing w:after="120" w:line="276" w:lineRule="auto"/>
      </w:pPr>
      <w:r>
        <w:t xml:space="preserve">Three findings stand out. First, activity in London has been </w:t>
      </w:r>
      <w:r>
        <w:rPr>
          <w:b/>
          <w:bCs/>
        </w:rPr>
        <w:t>essentially flat</w:t>
      </w:r>
      <w:r>
        <w:t xml:space="preserve"> across the eight years (62.3% to 64.6%), and no borough shows a trend to 2032 that is distinguishable from flat once known sampling artefacts are accounted for. Second, a set of boroughs </w:t>
      </w:r>
      <w:r>
        <w:rPr>
          <w:b/>
          <w:bCs/>
        </w:rPr>
        <w:t>persistently over- or under-perform their demographic profile</w:t>
      </w:r>
      <w:r>
        <w:t xml:space="preserve">, and this gap is robust to controlling for area deprivation — it is not simply a poverty gradient. Third, London's activity rests </w:t>
      </w:r>
      <w:r>
        <w:rPr>
          <w:b/>
          <w:bCs/>
        </w:rPr>
        <w:t>overwhelmingly on walking and active travel</w:t>
      </w:r>
      <w:r>
        <w:t xml:space="preserve"> rather than on sport, which has direct implications for where participation policy should focus.</w:t>
      </w:r>
    </w:p>
    <w:p w14:paraId="4A5D0C63" w14:textId="77777777" w:rsidR="004822EA" w:rsidRDefault="00F14710">
      <w:pPr>
        <w:pStyle w:val="Heading1"/>
        <w:spacing w:before="260" w:after="120"/>
      </w:pPr>
      <w:bookmarkStart w:id="2" w:name="_Toc236854827"/>
      <w:r>
        <w:rPr>
          <w:b/>
          <w:bCs/>
          <w:color w:val="1F3A5F"/>
        </w:rPr>
        <w:t>2. Data and harmonisation</w:t>
      </w:r>
      <w:bookmarkEnd w:id="2"/>
    </w:p>
    <w:p w14:paraId="6EB10CDA" w14:textId="77777777" w:rsidR="004822EA" w:rsidRDefault="00F14710">
      <w:pPr>
        <w:spacing w:after="120" w:line="276" w:lineRule="auto"/>
      </w:pPr>
      <w:r>
        <w:t xml:space="preserve">The Active Lives Adult Survey is a large annual survey; the London subset comprises roughly 16,000–19,600 respondents per wave. Because variable </w:t>
      </w:r>
      <w:proofErr w:type="spellStart"/>
      <w:r>
        <w:t>codings</w:t>
      </w:r>
      <w:proofErr w:type="spellEnd"/>
      <w:r>
        <w:t xml:space="preserve"> and local-authority numbering drift between waves, the eight waves could not simply be concatenated. Each wave was processed against its own SPSS metadata rather than a shared schema.</w:t>
      </w:r>
    </w:p>
    <w:p w14:paraId="1946EDB3" w14:textId="77777777" w:rsidR="004822EA" w:rsidRDefault="00F14710">
      <w:pPr>
        <w:pStyle w:val="Heading2"/>
        <w:spacing w:before="180" w:after="90"/>
      </w:pPr>
      <w:bookmarkStart w:id="3" w:name="_Toc236854828"/>
      <w:r>
        <w:rPr>
          <w:b/>
          <w:bCs/>
          <w:color w:val="2980B9"/>
        </w:rPr>
        <w:t>2.1 Geography verified per wave</w:t>
      </w:r>
      <w:bookmarkEnd w:id="3"/>
    </w:p>
    <w:p w14:paraId="5119B216" w14:textId="77777777" w:rsidR="004822EA" w:rsidRDefault="00F14710">
      <w:pPr>
        <w:spacing w:after="120" w:line="276" w:lineRule="auto"/>
      </w:pPr>
      <w:r>
        <w:t xml:space="preserve">Borough identity was anchored on the ONS GSS code, which is invariant across time (E09000003 is Barnet in every wave). For each wave, the integer–to–GSS mapping was derived from that wave's own value labels and verified, rather than assumed from a shared lookup. </w:t>
      </w:r>
      <w:r>
        <w:rPr>
          <w:b/>
          <w:bCs/>
        </w:rPr>
        <w:t xml:space="preserve">This process identified and corrected two waves — 2016–17 and 2022–23 — in which four boroughs had been transposed (Barnet with Barking and Dagenham, and Kensington and Chelsea with Islington). </w:t>
      </w:r>
      <w:r>
        <w:t>The error was invisible to conventional coverage checks: all borough codes were present and fully populated, so only a check against each wave's own labels revealed it.</w:t>
      </w:r>
    </w:p>
    <w:p w14:paraId="61D1C976" w14:textId="77777777" w:rsidR="004822EA" w:rsidRDefault="00F14710">
      <w:pPr>
        <w:pBdr>
          <w:left w:val="single" w:sz="18" w:space="10" w:color="2980B9"/>
        </w:pBdr>
        <w:shd w:val="clear" w:color="auto" w:fill="EEF3F8"/>
        <w:spacing w:after="120" w:line="264" w:lineRule="auto"/>
      </w:pPr>
      <w:r>
        <w:rPr>
          <w:i/>
          <w:iCs/>
          <w:color w:val="555555"/>
        </w:rPr>
        <w:t>Why this mattered: before correction, Barking and Dagenham — consistently London's least active borough — appeared as one of the most active in 2022–23 (0.710 vs a true ~0.488), because it had been assigned Barnet's respondents. Any borough-level result built on the uncorrected data would have been wrong for these four boroughs.</w:t>
      </w:r>
    </w:p>
    <w:p w14:paraId="482A9B0B" w14:textId="77777777" w:rsidR="004822EA" w:rsidRDefault="00F14710">
      <w:pPr>
        <w:pStyle w:val="Heading2"/>
        <w:spacing w:before="180" w:after="90"/>
      </w:pPr>
      <w:bookmarkStart w:id="4" w:name="_Toc236854829"/>
      <w:r>
        <w:rPr>
          <w:b/>
          <w:bCs/>
          <w:color w:val="2980B9"/>
        </w:rPr>
        <w:t>2.2 Codebook drift and pooling</w:t>
      </w:r>
      <w:bookmarkEnd w:id="4"/>
    </w:p>
    <w:p w14:paraId="258AD368" w14:textId="77777777" w:rsidR="004822EA" w:rsidRDefault="00F14710">
      <w:pPr>
        <w:spacing w:after="120" w:line="276" w:lineRule="auto"/>
      </w:pPr>
      <w:r>
        <w:t xml:space="preserve">Every wave's value </w:t>
      </w:r>
      <w:proofErr w:type="spellStart"/>
      <w:r>
        <w:t>codings</w:t>
      </w:r>
      <w:proofErr w:type="spellEnd"/>
      <w:r>
        <w:t xml:space="preserve"> were compared against a fixed 2022–23 baseline to detect drift. Several categorical labels differed between waves (for example, the ethnicity category later called “Asian (excl. Chinese)” appeared as “South Asian” in earlier waves; NS-SEC carried a fifth residual category in some years). </w:t>
      </w:r>
      <w:r>
        <w:t>The final modelling frame was built directly from the raw coded all-years file rather than from decoded per-wave outputs, so that a single canonical codebook removed all label drift at source and eliminated the risk of a missed variant being treated as a separate category.</w:t>
      </w:r>
    </w:p>
    <w:p w14:paraId="59DD1186" w14:textId="77777777" w:rsidR="004822EA" w:rsidRDefault="00F14710">
      <w:pPr>
        <w:pStyle w:val="Heading2"/>
        <w:spacing w:before="180" w:after="90"/>
      </w:pPr>
      <w:bookmarkStart w:id="5" w:name="_Toc236854830"/>
      <w:r>
        <w:rPr>
          <w:b/>
          <w:bCs/>
          <w:color w:val="2980B9"/>
        </w:rPr>
        <w:t>2.3 Validation against published figures</w:t>
      </w:r>
      <w:bookmarkEnd w:id="5"/>
    </w:p>
    <w:p w14:paraId="10F62C3B" w14:textId="77777777" w:rsidR="004822EA" w:rsidRDefault="00F14710">
      <w:pPr>
        <w:spacing w:after="120" w:line="276" w:lineRule="auto"/>
      </w:pPr>
      <w:r>
        <w:t xml:space="preserve">The harmonised series was validated against Sport England's published national figures. In every wave the London rate sat approximately one to two percentage points above the England figure — the expected regional premium — including the pandemic-affected 2020–21 wave, where London (62.4%) </w:t>
      </w:r>
      <w:r>
        <w:lastRenderedPageBreak/>
        <w:t>tracked England (61.4%) with the same offset. This external check confirms the pipeline reproduces known reality rather than an internal artefact.</w:t>
      </w:r>
    </w:p>
    <w:p w14:paraId="4F0B9226" w14:textId="77777777" w:rsidR="004822EA" w:rsidRDefault="00F14710">
      <w:pPr>
        <w:spacing w:after="120" w:line="276" w:lineRule="auto"/>
      </w:pPr>
      <w:r>
        <w:rPr>
          <w:i/>
          <w:iCs/>
        </w:rPr>
        <w:t>Harmonised weighted activity rate by wave: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1600"/>
      </w:tblGrid>
      <w:tr w:rsidR="004822EA" w14:paraId="49642AC1" w14:textId="77777777">
        <w:tblPrEx>
          <w:tblCellMar>
            <w:top w:w="0" w:type="dxa"/>
            <w:bottom w:w="0" w:type="dxa"/>
          </w:tblCellMar>
        </w:tblPrEx>
        <w:trPr>
          <w:tblHeader/>
        </w:trPr>
        <w:tc>
          <w:tcPr>
            <w:tcW w:w="2200" w:type="dxa"/>
            <w:shd w:val="clear" w:color="auto" w:fill="1F3A5F"/>
          </w:tcPr>
          <w:p w14:paraId="09F296EC" w14:textId="77777777" w:rsidR="004822EA" w:rsidRDefault="00F14710">
            <w:r>
              <w:rPr>
                <w:b/>
                <w:bCs/>
                <w:color w:val="FFFFFF"/>
                <w:sz w:val="19"/>
                <w:szCs w:val="19"/>
              </w:rPr>
              <w:t>Wave</w:t>
            </w:r>
          </w:p>
        </w:tc>
        <w:tc>
          <w:tcPr>
            <w:tcW w:w="1600" w:type="dxa"/>
            <w:shd w:val="clear" w:color="auto" w:fill="1F3A5F"/>
          </w:tcPr>
          <w:p w14:paraId="3A948A6A" w14:textId="77777777" w:rsidR="004822EA" w:rsidRDefault="00F14710">
            <w:r>
              <w:rPr>
                <w:b/>
                <w:bCs/>
                <w:color w:val="FFFFFF"/>
                <w:sz w:val="19"/>
                <w:szCs w:val="19"/>
              </w:rPr>
              <w:t>% Active</w:t>
            </w:r>
          </w:p>
        </w:tc>
        <w:tc>
          <w:tcPr>
            <w:tcW w:w="2200" w:type="dxa"/>
            <w:shd w:val="clear" w:color="auto" w:fill="1F3A5F"/>
          </w:tcPr>
          <w:p w14:paraId="6F8EE490" w14:textId="77777777" w:rsidR="004822EA" w:rsidRDefault="00F14710">
            <w:r>
              <w:rPr>
                <w:b/>
                <w:bCs/>
                <w:color w:val="FFFFFF"/>
                <w:sz w:val="19"/>
                <w:szCs w:val="19"/>
              </w:rPr>
              <w:t>Wave</w:t>
            </w:r>
          </w:p>
        </w:tc>
        <w:tc>
          <w:tcPr>
            <w:tcW w:w="1600" w:type="dxa"/>
            <w:shd w:val="clear" w:color="auto" w:fill="1F3A5F"/>
          </w:tcPr>
          <w:p w14:paraId="57E36345" w14:textId="77777777" w:rsidR="004822EA" w:rsidRDefault="00F14710">
            <w:r>
              <w:rPr>
                <w:b/>
                <w:bCs/>
                <w:color w:val="FFFFFF"/>
                <w:sz w:val="19"/>
                <w:szCs w:val="19"/>
              </w:rPr>
              <w:t>% Active</w:t>
            </w:r>
          </w:p>
        </w:tc>
      </w:tr>
      <w:tr w:rsidR="004822EA" w14:paraId="2341353C" w14:textId="77777777">
        <w:tblPrEx>
          <w:tblCellMar>
            <w:top w:w="0" w:type="dxa"/>
            <w:bottom w:w="0" w:type="dxa"/>
          </w:tblCellMar>
        </w:tblPrEx>
        <w:tc>
          <w:tcPr>
            <w:tcW w:w="2200" w:type="dxa"/>
            <w:shd w:val="clear" w:color="auto" w:fill="FFFFFF"/>
          </w:tcPr>
          <w:p w14:paraId="22C8FC0A" w14:textId="77777777" w:rsidR="004822EA" w:rsidRDefault="00F14710">
            <w:r>
              <w:rPr>
                <w:sz w:val="19"/>
                <w:szCs w:val="19"/>
              </w:rPr>
              <w:t>2015–16</w:t>
            </w:r>
          </w:p>
        </w:tc>
        <w:tc>
          <w:tcPr>
            <w:tcW w:w="1600" w:type="dxa"/>
            <w:shd w:val="clear" w:color="auto" w:fill="FFFFFF"/>
          </w:tcPr>
          <w:p w14:paraId="1379E1E1" w14:textId="77777777" w:rsidR="004822EA" w:rsidRDefault="00F14710">
            <w:r>
              <w:rPr>
                <w:sz w:val="19"/>
                <w:szCs w:val="19"/>
              </w:rPr>
              <w:t>63.5</w:t>
            </w:r>
          </w:p>
        </w:tc>
        <w:tc>
          <w:tcPr>
            <w:tcW w:w="2200" w:type="dxa"/>
            <w:shd w:val="clear" w:color="auto" w:fill="FFFFFF"/>
          </w:tcPr>
          <w:p w14:paraId="45DB2AD6" w14:textId="77777777" w:rsidR="004822EA" w:rsidRDefault="00F14710">
            <w:r>
              <w:rPr>
                <w:sz w:val="19"/>
                <w:szCs w:val="19"/>
              </w:rPr>
              <w:t>2019–20</w:t>
            </w:r>
          </w:p>
        </w:tc>
        <w:tc>
          <w:tcPr>
            <w:tcW w:w="1600" w:type="dxa"/>
            <w:shd w:val="clear" w:color="auto" w:fill="FFFFFF"/>
          </w:tcPr>
          <w:p w14:paraId="04073321" w14:textId="77777777" w:rsidR="004822EA" w:rsidRDefault="00F14710">
            <w:r>
              <w:rPr>
                <w:sz w:val="19"/>
                <w:szCs w:val="19"/>
              </w:rPr>
              <w:t>62.3</w:t>
            </w:r>
          </w:p>
        </w:tc>
      </w:tr>
      <w:tr w:rsidR="004822EA" w14:paraId="63F81739" w14:textId="77777777">
        <w:tblPrEx>
          <w:tblCellMar>
            <w:top w:w="0" w:type="dxa"/>
            <w:bottom w:w="0" w:type="dxa"/>
          </w:tblCellMar>
        </w:tblPrEx>
        <w:tc>
          <w:tcPr>
            <w:tcW w:w="2200" w:type="dxa"/>
            <w:shd w:val="clear" w:color="auto" w:fill="F2F6FA"/>
          </w:tcPr>
          <w:p w14:paraId="17A3F3C6" w14:textId="77777777" w:rsidR="004822EA" w:rsidRDefault="00F14710">
            <w:r>
              <w:rPr>
                <w:sz w:val="19"/>
                <w:szCs w:val="19"/>
              </w:rPr>
              <w:t>2016–17</w:t>
            </w:r>
          </w:p>
        </w:tc>
        <w:tc>
          <w:tcPr>
            <w:tcW w:w="1600" w:type="dxa"/>
            <w:shd w:val="clear" w:color="auto" w:fill="F2F6FA"/>
          </w:tcPr>
          <w:p w14:paraId="07CBB685" w14:textId="77777777" w:rsidR="004822EA" w:rsidRDefault="00F14710">
            <w:r>
              <w:rPr>
                <w:sz w:val="19"/>
                <w:szCs w:val="19"/>
              </w:rPr>
              <w:t>62.3</w:t>
            </w:r>
          </w:p>
        </w:tc>
        <w:tc>
          <w:tcPr>
            <w:tcW w:w="2200" w:type="dxa"/>
            <w:shd w:val="clear" w:color="auto" w:fill="F2F6FA"/>
          </w:tcPr>
          <w:p w14:paraId="2D25B9A6" w14:textId="77777777" w:rsidR="004822EA" w:rsidRDefault="00F14710">
            <w:r>
              <w:rPr>
                <w:sz w:val="19"/>
                <w:szCs w:val="19"/>
              </w:rPr>
              <w:t>2020–21</w:t>
            </w:r>
          </w:p>
        </w:tc>
        <w:tc>
          <w:tcPr>
            <w:tcW w:w="1600" w:type="dxa"/>
            <w:shd w:val="clear" w:color="auto" w:fill="F2F6FA"/>
          </w:tcPr>
          <w:p w14:paraId="1B4FEB06" w14:textId="77777777" w:rsidR="004822EA" w:rsidRDefault="00F14710">
            <w:r>
              <w:rPr>
                <w:sz w:val="19"/>
                <w:szCs w:val="19"/>
              </w:rPr>
              <w:t>62.4</w:t>
            </w:r>
          </w:p>
        </w:tc>
      </w:tr>
      <w:tr w:rsidR="004822EA" w14:paraId="11B32A5E" w14:textId="77777777">
        <w:tblPrEx>
          <w:tblCellMar>
            <w:top w:w="0" w:type="dxa"/>
            <w:bottom w:w="0" w:type="dxa"/>
          </w:tblCellMar>
        </w:tblPrEx>
        <w:tc>
          <w:tcPr>
            <w:tcW w:w="2200" w:type="dxa"/>
            <w:shd w:val="clear" w:color="auto" w:fill="FFFFFF"/>
          </w:tcPr>
          <w:p w14:paraId="3F9FE1F0" w14:textId="77777777" w:rsidR="004822EA" w:rsidRDefault="00F14710">
            <w:r>
              <w:rPr>
                <w:sz w:val="19"/>
                <w:szCs w:val="19"/>
              </w:rPr>
              <w:t>2017–18</w:t>
            </w:r>
          </w:p>
        </w:tc>
        <w:tc>
          <w:tcPr>
            <w:tcW w:w="1600" w:type="dxa"/>
            <w:shd w:val="clear" w:color="auto" w:fill="FFFFFF"/>
          </w:tcPr>
          <w:p w14:paraId="73AB942B" w14:textId="77777777" w:rsidR="004822EA" w:rsidRDefault="00F14710">
            <w:r>
              <w:rPr>
                <w:sz w:val="19"/>
                <w:szCs w:val="19"/>
              </w:rPr>
              <w:t>64.6</w:t>
            </w:r>
          </w:p>
        </w:tc>
        <w:tc>
          <w:tcPr>
            <w:tcW w:w="2200" w:type="dxa"/>
            <w:shd w:val="clear" w:color="auto" w:fill="FFFFFF"/>
          </w:tcPr>
          <w:p w14:paraId="1860299D" w14:textId="77777777" w:rsidR="004822EA" w:rsidRDefault="00F14710">
            <w:r>
              <w:rPr>
                <w:sz w:val="19"/>
                <w:szCs w:val="19"/>
              </w:rPr>
              <w:t>2021–22</w:t>
            </w:r>
          </w:p>
        </w:tc>
        <w:tc>
          <w:tcPr>
            <w:tcW w:w="1600" w:type="dxa"/>
            <w:shd w:val="clear" w:color="auto" w:fill="FFFFFF"/>
          </w:tcPr>
          <w:p w14:paraId="3C292668" w14:textId="77777777" w:rsidR="004822EA" w:rsidRDefault="00F14710">
            <w:r>
              <w:rPr>
                <w:sz w:val="19"/>
                <w:szCs w:val="19"/>
              </w:rPr>
              <w:t>64.3</w:t>
            </w:r>
          </w:p>
        </w:tc>
      </w:tr>
      <w:tr w:rsidR="004822EA" w14:paraId="73F87A1E" w14:textId="77777777">
        <w:tblPrEx>
          <w:tblCellMar>
            <w:top w:w="0" w:type="dxa"/>
            <w:bottom w:w="0" w:type="dxa"/>
          </w:tblCellMar>
        </w:tblPrEx>
        <w:tc>
          <w:tcPr>
            <w:tcW w:w="2200" w:type="dxa"/>
            <w:shd w:val="clear" w:color="auto" w:fill="F2F6FA"/>
          </w:tcPr>
          <w:p w14:paraId="216D0FAC" w14:textId="77777777" w:rsidR="004822EA" w:rsidRDefault="00F14710">
            <w:r>
              <w:rPr>
                <w:sz w:val="19"/>
                <w:szCs w:val="19"/>
              </w:rPr>
              <w:t>2018–19</w:t>
            </w:r>
          </w:p>
        </w:tc>
        <w:tc>
          <w:tcPr>
            <w:tcW w:w="1600" w:type="dxa"/>
            <w:shd w:val="clear" w:color="auto" w:fill="F2F6FA"/>
          </w:tcPr>
          <w:p w14:paraId="6FFF03D0" w14:textId="77777777" w:rsidR="004822EA" w:rsidRDefault="00F14710">
            <w:r>
              <w:rPr>
                <w:sz w:val="19"/>
                <w:szCs w:val="19"/>
              </w:rPr>
              <w:t>64.5</w:t>
            </w:r>
          </w:p>
        </w:tc>
        <w:tc>
          <w:tcPr>
            <w:tcW w:w="2200" w:type="dxa"/>
            <w:shd w:val="clear" w:color="auto" w:fill="F2F6FA"/>
          </w:tcPr>
          <w:p w14:paraId="25422399" w14:textId="77777777" w:rsidR="004822EA" w:rsidRDefault="00F14710">
            <w:r>
              <w:rPr>
                <w:sz w:val="19"/>
                <w:szCs w:val="19"/>
              </w:rPr>
              <w:t>2022–23</w:t>
            </w:r>
          </w:p>
        </w:tc>
        <w:tc>
          <w:tcPr>
            <w:tcW w:w="1600" w:type="dxa"/>
            <w:shd w:val="clear" w:color="auto" w:fill="F2F6FA"/>
          </w:tcPr>
          <w:p w14:paraId="755C60BF" w14:textId="77777777" w:rsidR="004822EA" w:rsidRDefault="00F14710">
            <w:r>
              <w:rPr>
                <w:sz w:val="19"/>
                <w:szCs w:val="19"/>
              </w:rPr>
              <w:t>64.3</w:t>
            </w:r>
          </w:p>
        </w:tc>
      </w:tr>
    </w:tbl>
    <w:p w14:paraId="1E71BF1F" w14:textId="77777777" w:rsidR="004822EA" w:rsidRDefault="00F14710">
      <w:pPr>
        <w:pStyle w:val="Heading1"/>
        <w:spacing w:before="260" w:after="120"/>
      </w:pPr>
      <w:bookmarkStart w:id="6" w:name="_Toc236854831"/>
      <w:r>
        <w:rPr>
          <w:b/>
          <w:bCs/>
          <w:color w:val="1F3A5F"/>
        </w:rPr>
        <w:t>3. Exploratory analysis</w:t>
      </w:r>
      <w:bookmarkEnd w:id="6"/>
    </w:p>
    <w:p w14:paraId="0CBDC33C" w14:textId="77777777" w:rsidR="004822EA" w:rsidRDefault="00F14710">
      <w:pPr>
        <w:spacing w:after="120" w:line="276" w:lineRule="auto"/>
      </w:pPr>
      <w:r>
        <w:t>Each wave was explored separately across four pillars — participation, demographics, indoor/outdoor activity, and volunteering — with all estimates weighted by the survey design weights. The exploratory work established the consistent patterns that the later modelling formalised:</w:t>
      </w:r>
    </w:p>
    <w:p w14:paraId="66F78666" w14:textId="77777777" w:rsidR="004822EA" w:rsidRDefault="00F14710">
      <w:pPr>
        <w:pStyle w:val="ListParagraph"/>
        <w:numPr>
          <w:ilvl w:val="0"/>
          <w:numId w:val="2"/>
        </w:numPr>
        <w:spacing w:after="80"/>
      </w:pPr>
      <w:r>
        <w:t>A steep age gradient (activity roughly halves from the youngest to the oldest bands).</w:t>
      </w:r>
    </w:p>
    <w:p w14:paraId="40EBDA56" w14:textId="77777777" w:rsidR="004822EA" w:rsidRDefault="00F14710">
      <w:pPr>
        <w:pStyle w:val="ListParagraph"/>
        <w:numPr>
          <w:ilvl w:val="0"/>
          <w:numId w:val="2"/>
        </w:numPr>
        <w:spacing w:after="80"/>
      </w:pPr>
      <w:r>
        <w:t>Men more active than women, and a large gap by limiting disability.</w:t>
      </w:r>
    </w:p>
    <w:p w14:paraId="3323E292" w14:textId="77777777" w:rsidR="004822EA" w:rsidRDefault="00F14710">
      <w:pPr>
        <w:pStyle w:val="ListParagraph"/>
        <w:numPr>
          <w:ilvl w:val="0"/>
          <w:numId w:val="2"/>
        </w:numPr>
        <w:spacing w:after="80"/>
      </w:pPr>
      <w:r>
        <w:t>Clear education and social-grade gradients.</w:t>
      </w:r>
    </w:p>
    <w:p w14:paraId="02B7BFE7" w14:textId="77777777" w:rsidR="004822EA" w:rsidRDefault="00F14710">
      <w:pPr>
        <w:pStyle w:val="ListParagraph"/>
        <w:numPr>
          <w:ilvl w:val="0"/>
          <w:numId w:val="2"/>
        </w:numPr>
        <w:spacing w:after="80"/>
      </w:pPr>
      <w:r>
        <w:t>A stable indoor-versus-outdoor asymmetry (outdoor participation roughly double indoor), which deepened in the pandemic wave as indoor facilities closed.</w:t>
      </w:r>
    </w:p>
    <w:p w14:paraId="5E49B19F" w14:textId="77777777" w:rsidR="004822EA" w:rsidRDefault="00F14710">
      <w:pPr>
        <w:spacing w:after="120" w:line="276" w:lineRule="auto"/>
      </w:pPr>
      <w:r>
        <w:t>Two coverage facts were established and carried forward: volunteering and indoor/outdoor were introduced in Year 2 (2016–17), so 2015–16 lacks both; and the indoor/outdoor questions are asked of a rotation subgroup (roughly a third of respondents), so those figures rest on smaller bases.</w:t>
      </w:r>
    </w:p>
    <w:p w14:paraId="4C2FFD26" w14:textId="77777777" w:rsidR="004822EA" w:rsidRDefault="00F14710">
      <w:pPr>
        <w:pBdr>
          <w:left w:val="single" w:sz="18" w:space="10" w:color="2980B9"/>
        </w:pBdr>
        <w:shd w:val="clear" w:color="auto" w:fill="EEF3F8"/>
        <w:spacing w:after="120" w:line="264" w:lineRule="auto"/>
      </w:pPr>
      <w:r>
        <w:rPr>
          <w:i/>
          <w:iCs/>
          <w:color w:val="555555"/>
        </w:rPr>
        <w:t xml:space="preserve">Reproducibility </w:t>
      </w:r>
      <w:proofErr w:type="gramStart"/>
      <w:r>
        <w:rPr>
          <w:i/>
          <w:iCs/>
          <w:color w:val="555555"/>
        </w:rPr>
        <w:t>note</w:t>
      </w:r>
      <w:proofErr w:type="gramEnd"/>
      <w:r>
        <w:rPr>
          <w:i/>
          <w:iCs/>
          <w:color w:val="555555"/>
        </w:rPr>
        <w:t>: the full set of per-wave exploratory figures was extracted from the notebooks and catalogued. Four waves currently hold the complete figure set; four hold a partial set pending a re-run.</w:t>
      </w:r>
    </w:p>
    <w:p w14:paraId="680F8A39" w14:textId="77777777" w:rsidR="004822EA" w:rsidRDefault="00F14710">
      <w:pPr>
        <w:pStyle w:val="Heading1"/>
        <w:spacing w:before="260" w:after="120"/>
      </w:pPr>
      <w:bookmarkStart w:id="7" w:name="_Toc236854832"/>
      <w:r>
        <w:rPr>
          <w:b/>
          <w:bCs/>
          <w:color w:val="1F3A5F"/>
        </w:rPr>
        <w:t>4. Individual-level drivers (</w:t>
      </w:r>
      <w:proofErr w:type="spellStart"/>
      <w:r>
        <w:rPr>
          <w:b/>
          <w:bCs/>
          <w:color w:val="1F3A5F"/>
        </w:rPr>
        <w:t>CatBoost</w:t>
      </w:r>
      <w:proofErr w:type="spellEnd"/>
      <w:r>
        <w:rPr>
          <w:b/>
          <w:bCs/>
          <w:color w:val="1F3A5F"/>
        </w:rPr>
        <w:t xml:space="preserve"> + SHAP)</w:t>
      </w:r>
      <w:bookmarkEnd w:id="7"/>
    </w:p>
    <w:p w14:paraId="37368A5E" w14:textId="77777777" w:rsidR="004822EA" w:rsidRDefault="00F14710">
      <w:pPr>
        <w:spacing w:after="120" w:line="276" w:lineRule="auto"/>
      </w:pPr>
      <w:r>
        <w:t>A gradient-boosted classifier (</w:t>
      </w:r>
      <w:proofErr w:type="spellStart"/>
      <w:r>
        <w:t>CatBoost</w:t>
      </w:r>
      <w:proofErr w:type="spellEnd"/>
      <w:r>
        <w:t>) was fitted to predict whether an individual meets the activity threshold, from their demographic characteristics: age, gender, ethnicity, disability, social grade, education and BMI. Categorical variables were passed to the model natively and survey weights were used as sample weights, so the model represents London rather than the raw respondent pool.</w:t>
      </w:r>
    </w:p>
    <w:p w14:paraId="426713F0" w14:textId="77777777" w:rsidR="004822EA" w:rsidRDefault="00F14710">
      <w:pPr>
        <w:pStyle w:val="Heading2"/>
        <w:spacing w:before="180" w:after="90"/>
      </w:pPr>
      <w:bookmarkStart w:id="8" w:name="_Toc236854833"/>
      <w:r>
        <w:rPr>
          <w:b/>
          <w:bCs/>
          <w:color w:val="2980B9"/>
        </w:rPr>
        <w:t>4.1 Validation design</w:t>
      </w:r>
      <w:bookmarkEnd w:id="8"/>
    </w:p>
    <w:p w14:paraId="0774A539" w14:textId="77777777" w:rsidR="004822EA" w:rsidRDefault="00F14710">
      <w:pPr>
        <w:spacing w:after="120" w:line="276" w:lineRule="auto"/>
      </w:pPr>
      <w:r>
        <w:t xml:space="preserve">Validation was </w:t>
      </w:r>
      <w:r>
        <w:rPr>
          <w:b/>
          <w:bCs/>
        </w:rPr>
        <w:t>temporal, not random</w:t>
      </w:r>
      <w:r>
        <w:t xml:space="preserve">: the model trained on 2015–16 through 2021–22 and was tested on the held-out 2022–23 wave. A random split would leak future information and inflate performance; because the </w:t>
      </w:r>
      <w:proofErr w:type="gramStart"/>
      <w:r>
        <w:t>ultimate aim</w:t>
      </w:r>
      <w:proofErr w:type="gramEnd"/>
      <w:r>
        <w:t xml:space="preserve"> is forward projection, the test had to be forward. The model achieved an AUC of 0.708 against a 0.500 no-signal baseline.</w:t>
      </w:r>
    </w:p>
    <w:p w14:paraId="20F336AE" w14:textId="77777777" w:rsidR="004822EA" w:rsidRDefault="00F14710">
      <w:pPr>
        <w:spacing w:after="120" w:line="276" w:lineRule="auto"/>
      </w:pPr>
      <w:r>
        <w:t>This level of accuracy is expected and appropriate: individual activity is only weakly predictable from demographics, which is a property of the phenomenon, not a modelling failure. It is precisely why borough-level aggregation — where individual noise averages out — yields the more useful signal.</w:t>
      </w:r>
    </w:p>
    <w:p w14:paraId="2D8562D1" w14:textId="77777777" w:rsidR="004822EA" w:rsidRDefault="00F14710">
      <w:pPr>
        <w:pStyle w:val="Heading2"/>
        <w:spacing w:before="180" w:after="90"/>
      </w:pPr>
      <w:bookmarkStart w:id="9" w:name="_Toc236854834"/>
      <w:r>
        <w:rPr>
          <w:b/>
          <w:bCs/>
          <w:color w:val="2980B9"/>
        </w:rPr>
        <w:t>4.2 What drives participation</w:t>
      </w:r>
      <w:bookmarkEnd w:id="9"/>
    </w:p>
    <w:p w14:paraId="712CA8D7" w14:textId="77777777" w:rsidR="004822EA" w:rsidRDefault="00F14710">
      <w:pPr>
        <w:spacing w:after="120" w:line="276" w:lineRule="auto"/>
      </w:pPr>
      <w:r>
        <w:t xml:space="preserve">SHAP analysis ranked the drivers: age is dominant, followed by ethnicity, education and social grade, with BMI and disability contributing less. </w:t>
      </w:r>
      <w:r>
        <w:t xml:space="preserve">Self-reported health was deliberately excluded from the model: it is missing from three waves, and it is strongly associated with disability (Cramér's V ≈ 0.40 in every wave that has both), which inverts the disability coefficient when both are included. The primary </w:t>
      </w:r>
      <w:r>
        <w:lastRenderedPageBreak/>
        <w:t>specification therefore excludes health, keeping the disability effect interpretable and the model comparable across all waves.</w:t>
      </w:r>
    </w:p>
    <w:p w14:paraId="595633CB" w14:textId="77777777" w:rsidR="004822EA" w:rsidRDefault="00F14710">
      <w:pPr>
        <w:pStyle w:val="Heading1"/>
        <w:spacing w:before="260" w:after="120"/>
      </w:pPr>
      <w:bookmarkStart w:id="10" w:name="_Toc236854835"/>
      <w:r>
        <w:rPr>
          <w:b/>
          <w:bCs/>
          <w:color w:val="1F3A5F"/>
        </w:rPr>
        <w:t>5. Borough effects beyond demographics</w:t>
      </w:r>
      <w:bookmarkEnd w:id="10"/>
    </w:p>
    <w:p w14:paraId="5B0DDDF8" w14:textId="77777777" w:rsidR="004822EA" w:rsidRDefault="00F14710">
      <w:pPr>
        <w:spacing w:after="120" w:line="276" w:lineRule="auto"/>
      </w:pPr>
      <w:r>
        <w:t xml:space="preserve">The central finding comes from the gap between each borough's observed activity rate and the rate predicted from its residents' demographics alone. Because the model never sees which borough a </w:t>
      </w:r>
      <w:proofErr w:type="gramStart"/>
      <w:r>
        <w:t>respondent lives</w:t>
      </w:r>
      <w:proofErr w:type="gramEnd"/>
      <w:r>
        <w:t xml:space="preserve"> in, this </w:t>
      </w:r>
      <w:r>
        <w:rPr>
          <w:b/>
          <w:bCs/>
        </w:rPr>
        <w:t>residual</w:t>
      </w:r>
      <w:r>
        <w:t xml:space="preserve"> is the part of a borough's activity that its population composition does not explain — the plausible territory of local factors such as facilities, green space and infrastructure.</w:t>
      </w:r>
    </w:p>
    <w:p w14:paraId="3E094A29" w14:textId="77777777" w:rsidR="004822EA" w:rsidRDefault="00F14710">
      <w:pPr>
        <w:pStyle w:val="Heading2"/>
        <w:spacing w:before="180" w:after="90"/>
      </w:pPr>
      <w:bookmarkStart w:id="11" w:name="_Toc236854836"/>
      <w:r>
        <w:rPr>
          <w:b/>
          <w:bCs/>
          <w:color w:val="2980B9"/>
        </w:rPr>
        <w:t>5.1 Robust estimation (leave-one-wave-out)</w:t>
      </w:r>
      <w:bookmarkEnd w:id="11"/>
    </w:p>
    <w:p w14:paraId="056EE349" w14:textId="77777777" w:rsidR="004822EA" w:rsidRDefault="00F14710">
      <w:pPr>
        <w:spacing w:after="120" w:line="276" w:lineRule="auto"/>
      </w:pPr>
      <w:r>
        <w:t xml:space="preserve">A single-wave residual proved unreliable: one borough (Barnet) that appeared strongly positive in 2022–23 was driven by a single anomalous cell and reversed sign when examined across waves. To guard against this, residuals were estimated </w:t>
      </w:r>
      <w:r>
        <w:rPr>
          <w:b/>
          <w:bCs/>
        </w:rPr>
        <w:t>leave-one-wave-out</w:t>
      </w:r>
      <w:r>
        <w:t>: for each wave the model was trained on the other seven and used to predict the held-out one, giving eight out-of-sample residuals per borough. Residuals were centred within each wave to remove between-wave level shifts. A borough's effect was treated as real only where it was both material and consistent in sign across at least seven of eight waves.</w:t>
      </w:r>
    </w:p>
    <w:p w14:paraId="0A121993" w14:textId="77777777" w:rsidR="004822EA" w:rsidRDefault="00F14710">
      <w:pPr>
        <w:pStyle w:val="Heading2"/>
        <w:spacing w:before="180" w:after="90"/>
      </w:pPr>
      <w:bookmarkStart w:id="12" w:name="_Toc236854837"/>
      <w:r>
        <w:rPr>
          <w:b/>
          <w:bCs/>
          <w:color w:val="2980B9"/>
        </w:rPr>
        <w:t>5.2 Nine stable boroughs</w:t>
      </w:r>
      <w:bookmarkEnd w:id="12"/>
    </w:p>
    <w:p w14:paraId="736BDCC3" w14:textId="77777777" w:rsidR="004822EA" w:rsidRDefault="00F14710">
      <w:pPr>
        <w:spacing w:after="120" w:line="276" w:lineRule="auto"/>
      </w:pPr>
      <w:r>
        <w:rPr>
          <w:i/>
          <w:iCs/>
        </w:rPr>
        <w:t>Nine boroughs showed a stable, material effect: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3300"/>
      </w:tblGrid>
      <w:tr w:rsidR="004822EA" w14:paraId="6B6EB59C" w14:textId="77777777">
        <w:tblPrEx>
          <w:tblCellMar>
            <w:top w:w="0" w:type="dxa"/>
            <w:bottom w:w="0" w:type="dxa"/>
          </w:tblCellMar>
        </w:tblPrEx>
        <w:trPr>
          <w:tblHeader/>
        </w:trPr>
        <w:tc>
          <w:tcPr>
            <w:tcW w:w="4700" w:type="dxa"/>
            <w:shd w:val="clear" w:color="auto" w:fill="1F3A5F"/>
          </w:tcPr>
          <w:p w14:paraId="0C01262B" w14:textId="77777777" w:rsidR="004822EA" w:rsidRDefault="00F14710">
            <w:r>
              <w:rPr>
                <w:b/>
                <w:bCs/>
                <w:color w:val="FFFFFF"/>
                <w:sz w:val="19"/>
                <w:szCs w:val="19"/>
              </w:rPr>
              <w:t>Persistently above their demographic profile</w:t>
            </w:r>
          </w:p>
        </w:tc>
        <w:tc>
          <w:tcPr>
            <w:tcW w:w="3300" w:type="dxa"/>
            <w:shd w:val="clear" w:color="auto" w:fill="1F3A5F"/>
          </w:tcPr>
          <w:p w14:paraId="232206E1" w14:textId="77777777" w:rsidR="004822EA" w:rsidRDefault="00F14710">
            <w:r>
              <w:rPr>
                <w:b/>
                <w:bCs/>
                <w:color w:val="FFFFFF"/>
                <w:sz w:val="19"/>
                <w:szCs w:val="19"/>
              </w:rPr>
              <w:t>Persistently below</w:t>
            </w:r>
          </w:p>
        </w:tc>
      </w:tr>
      <w:tr w:rsidR="004822EA" w14:paraId="155BCE65" w14:textId="77777777">
        <w:tblPrEx>
          <w:tblCellMar>
            <w:top w:w="0" w:type="dxa"/>
            <w:bottom w:w="0" w:type="dxa"/>
          </w:tblCellMar>
        </w:tblPrEx>
        <w:tc>
          <w:tcPr>
            <w:tcW w:w="4700" w:type="dxa"/>
            <w:shd w:val="clear" w:color="auto" w:fill="FFFFFF"/>
          </w:tcPr>
          <w:p w14:paraId="113A13A4" w14:textId="77777777" w:rsidR="004822EA" w:rsidRDefault="00F14710">
            <w:r>
              <w:rPr>
                <w:sz w:val="19"/>
                <w:szCs w:val="19"/>
              </w:rPr>
              <w:t>Islington, Hammersmith and Fulham, Camden, Wandsworth, Richmond upon Thames, Lambeth</w:t>
            </w:r>
          </w:p>
        </w:tc>
        <w:tc>
          <w:tcPr>
            <w:tcW w:w="3300" w:type="dxa"/>
            <w:shd w:val="clear" w:color="auto" w:fill="FFFFFF"/>
          </w:tcPr>
          <w:p w14:paraId="7C1038B1" w14:textId="77777777" w:rsidR="004822EA" w:rsidRDefault="00F14710">
            <w:r>
              <w:rPr>
                <w:sz w:val="19"/>
                <w:szCs w:val="19"/>
              </w:rPr>
              <w:t>Barking and Dagenham, Havering, Hounslow</w:t>
            </w:r>
          </w:p>
        </w:tc>
      </w:tr>
    </w:tbl>
    <w:p w14:paraId="7E09C856" w14:textId="77777777" w:rsidR="004822EA" w:rsidRDefault="00F14710">
      <w:pPr>
        <w:spacing w:after="120" w:line="276" w:lineRule="auto"/>
      </w:pPr>
      <w:r>
        <w:t>Barking and Dagenham was negative in all eight waves — about as consistent a signal as this data produces — while Islington and Hammersmith and Fulham were positive in all eight.</w:t>
      </w:r>
    </w:p>
    <w:p w14:paraId="58578EAA" w14:textId="77777777" w:rsidR="004822EA" w:rsidRDefault="00F14710">
      <w:pPr>
        <w:pStyle w:val="Heading2"/>
        <w:spacing w:before="180" w:after="90"/>
      </w:pPr>
      <w:bookmarkStart w:id="13" w:name="_Toc236854838"/>
      <w:r>
        <w:rPr>
          <w:b/>
          <w:bCs/>
          <w:color w:val="2980B9"/>
        </w:rPr>
        <w:t>5.3 The effect is not explained by deprivation</w:t>
      </w:r>
      <w:bookmarkEnd w:id="13"/>
    </w:p>
    <w:p w14:paraId="320900AD" w14:textId="77777777" w:rsidR="004822EA" w:rsidRDefault="00F14710">
      <w:pPr>
        <w:spacing w:after="120" w:line="276" w:lineRule="auto"/>
      </w:pPr>
      <w:r>
        <w:t xml:space="preserve">The obvious alternative explanation is that these residuals simply track affluence that the individual-level controls miss. This was tested directly by regressing each borough's mean residual on its Index of Multiple Deprivation (IoD2019) score. </w:t>
      </w:r>
      <w:r>
        <w:rPr>
          <w:b/>
          <w:bCs/>
        </w:rPr>
        <w:t>Deprivation explained essentially none of the residual</w:t>
      </w:r>
      <w:r>
        <w:t xml:space="preserve"> (correlation −0.06; controlling for it shrank the effects by about 2%). Relatively deprived boroughs appear on both sides — Islington and Lambeth over-perform, Barking and Dagenham under-performs — so the borough effect is genuinely orthogonal to deprivation, and to individual demographics. This substantially strengthens the interpretation that unmeasured local factors are at work.</w:t>
      </w:r>
    </w:p>
    <w:p w14:paraId="1E6BBC6D" w14:textId="77777777" w:rsidR="004822EA" w:rsidRDefault="00F14710">
      <w:pPr>
        <w:pBdr>
          <w:left w:val="single" w:sz="18" w:space="10" w:color="2980B9"/>
        </w:pBdr>
        <w:shd w:val="clear" w:color="auto" w:fill="EEF3F8"/>
        <w:spacing w:after="120" w:line="264" w:lineRule="auto"/>
      </w:pPr>
      <w:r>
        <w:rPr>
          <w:i/>
          <w:iCs/>
          <w:color w:val="555555"/>
        </w:rPr>
        <w:t xml:space="preserve">Caveats retained: these are borough-level (ecological) associations and do not license claims about individuals; with 32 boroughs the deprivation regression is indicative; and “not deprivation” does not by itself prove “facilities” — it identifies a well-posed question, not a mechanism. The </w:t>
      </w:r>
      <w:proofErr w:type="spellStart"/>
      <w:r>
        <w:rPr>
          <w:i/>
          <w:iCs/>
          <w:color w:val="555555"/>
        </w:rPr>
        <w:t>IoD</w:t>
      </w:r>
      <w:proofErr w:type="spellEnd"/>
      <w:r>
        <w:rPr>
          <w:i/>
          <w:iCs/>
          <w:color w:val="555555"/>
        </w:rPr>
        <w:t xml:space="preserve"> data is published under the Open Government Licence.</w:t>
      </w:r>
    </w:p>
    <w:p w14:paraId="26285154" w14:textId="77777777" w:rsidR="004822EA" w:rsidRDefault="00F14710">
      <w:pPr>
        <w:pStyle w:val="Heading1"/>
        <w:spacing w:before="260" w:after="120"/>
      </w:pPr>
      <w:bookmarkStart w:id="14" w:name="_Toc236854839"/>
      <w:r>
        <w:rPr>
          <w:b/>
          <w:bCs/>
          <w:color w:val="1F3A5F"/>
        </w:rPr>
        <w:t>6. Forecast to 2032</w:t>
      </w:r>
      <w:bookmarkEnd w:id="14"/>
    </w:p>
    <w:p w14:paraId="73C4D20A" w14:textId="77777777" w:rsidR="004822EA" w:rsidRDefault="00F14710">
      <w:pPr>
        <w:spacing w:after="120" w:line="276" w:lineRule="auto"/>
      </w:pPr>
      <w:r>
        <w:t xml:space="preserve">Borough participation was projected to 2032 using a weighted linear trend per borough, with the pandemic wave </w:t>
      </w:r>
      <w:proofErr w:type="gramStart"/>
      <w:r>
        <w:t>down-weighted</w:t>
      </w:r>
      <w:proofErr w:type="gramEnd"/>
      <w:r>
        <w:t xml:space="preserve"> and 95% prediction intervals. Flexible time-series models (Prophet, ARIMA) were rejected as inappropriate for eight annual observations, on which they would fit noise.</w:t>
      </w:r>
    </w:p>
    <w:p w14:paraId="60BAB142" w14:textId="77777777" w:rsidR="004822EA" w:rsidRDefault="00F14710">
      <w:pPr>
        <w:spacing w:after="120" w:line="276" w:lineRule="auto"/>
      </w:pPr>
      <w:r>
        <w:rPr>
          <w:b/>
          <w:bCs/>
        </w:rPr>
        <w:t xml:space="preserve">The honest result is that the series is flat. </w:t>
      </w:r>
      <w:r>
        <w:t xml:space="preserve">Only two of 32 boroughs showed a trend nominally distinguishable from flat, and both were traced to known data artefacts (Barnet's 2022–23 outlier; </w:t>
      </w:r>
      <w:r>
        <w:lastRenderedPageBreak/>
        <w:t xml:space="preserve">Greenwich's doubled sample that year). Once these are accounted for, </w:t>
      </w:r>
      <w:r>
        <w:rPr>
          <w:b/>
          <w:bCs/>
        </w:rPr>
        <w:t>no borough shows a credible directional trend</w:t>
      </w:r>
      <w:r>
        <w:t xml:space="preserve">. Prediction intervals </w:t>
      </w:r>
      <w:proofErr w:type="gramStart"/>
      <w:r>
        <w:t>at</w:t>
      </w:r>
      <w:proofErr w:type="gramEnd"/>
      <w:r>
        <w:t xml:space="preserve"> 2032 are wide — a median width of roughly 27 percentage points — so the projection is best read as “roughly stable, within a wide band.” The forecast is therefore presented as a scenario exhibit, not as a headline claim.</w:t>
      </w:r>
    </w:p>
    <w:p w14:paraId="752F12E8" w14:textId="77777777" w:rsidR="004822EA" w:rsidRDefault="00F14710">
      <w:pPr>
        <w:pStyle w:val="Heading1"/>
        <w:spacing w:before="260" w:after="120"/>
      </w:pPr>
      <w:bookmarkStart w:id="15" w:name="_Toc236854840"/>
      <w:r>
        <w:rPr>
          <w:b/>
          <w:bCs/>
          <w:color w:val="1F3A5F"/>
        </w:rPr>
        <w:t>7. Activity-type decomposition</w:t>
      </w:r>
      <w:bookmarkEnd w:id="15"/>
    </w:p>
    <w:p w14:paraId="29F537A2" w14:textId="77777777" w:rsidR="004822EA" w:rsidRDefault="00F14710">
      <w:pPr>
        <w:spacing w:after="120" w:line="276" w:lineRule="auto"/>
      </w:pPr>
      <w:r>
        <w:t xml:space="preserve">Finally, the activity rate was decomposed by activity type through a perturbation analysis: activity is measured in weekly minutes across nine </w:t>
      </w:r>
      <w:proofErr w:type="gramStart"/>
      <w:r>
        <w:t>mutually-exclusive</w:t>
      </w:r>
      <w:proofErr w:type="gramEnd"/>
      <w:r>
        <w:t xml:space="preserve"> Sport England method groups, and each activity's contribution was measured by removing its minutes and re-testing the 150-minute threshold. Because the test operates on minutes, overlap is handled correctly — removing one activity does not make a person inactive if another already carries them over the threshold.</w:t>
      </w:r>
    </w:p>
    <w:p w14:paraId="3F640450" w14:textId="77777777" w:rsidR="004822EA" w:rsidRDefault="00F14710">
      <w:pPr>
        <w:pStyle w:val="Heading2"/>
        <w:spacing w:before="180" w:after="90"/>
      </w:pPr>
      <w:bookmarkStart w:id="16" w:name="_Toc236854841"/>
      <w:r>
        <w:rPr>
          <w:b/>
          <w:bCs/>
          <w:color w:val="2980B9"/>
        </w:rPr>
        <w:t>7.1 Walking and active travel carry participation</w:t>
      </w:r>
      <w:bookmarkEnd w:id="16"/>
    </w:p>
    <w:p w14:paraId="7B064F52" w14:textId="77777777" w:rsidR="004822EA" w:rsidRDefault="00F14710">
      <w:pPr>
        <w:spacing w:after="120" w:line="276" w:lineRule="auto"/>
      </w:pPr>
      <w:r>
        <w:rPr>
          <w:i/>
          <w:iCs/>
        </w:rPr>
        <w:t>London-level marginal contributions (percentage points of the active rate lost if the activity were removed):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300"/>
        <w:gridCol w:w="2100"/>
      </w:tblGrid>
      <w:tr w:rsidR="004822EA" w14:paraId="065272F4" w14:textId="77777777">
        <w:tblPrEx>
          <w:tblCellMar>
            <w:top w:w="0" w:type="dxa"/>
            <w:bottom w:w="0" w:type="dxa"/>
          </w:tblCellMar>
        </w:tblPrEx>
        <w:trPr>
          <w:tblHeader/>
        </w:trPr>
        <w:tc>
          <w:tcPr>
            <w:tcW w:w="3600" w:type="dxa"/>
            <w:shd w:val="clear" w:color="auto" w:fill="1F3A5F"/>
          </w:tcPr>
          <w:p w14:paraId="3C1DE9F6" w14:textId="77777777" w:rsidR="004822EA" w:rsidRDefault="00F14710">
            <w:r>
              <w:rPr>
                <w:b/>
                <w:bCs/>
                <w:color w:val="FFFFFF"/>
                <w:sz w:val="19"/>
                <w:szCs w:val="19"/>
              </w:rPr>
              <w:t>Activity</w:t>
            </w:r>
          </w:p>
        </w:tc>
        <w:tc>
          <w:tcPr>
            <w:tcW w:w="2300" w:type="dxa"/>
            <w:shd w:val="clear" w:color="auto" w:fill="1F3A5F"/>
          </w:tcPr>
          <w:p w14:paraId="62A54EDE" w14:textId="77777777" w:rsidR="004822EA" w:rsidRDefault="00F14710">
            <w:r>
              <w:rPr>
                <w:b/>
                <w:bCs/>
                <w:color w:val="FFFFFF"/>
                <w:sz w:val="19"/>
                <w:szCs w:val="19"/>
              </w:rPr>
              <w:t>Contribution (pp)</w:t>
            </w:r>
          </w:p>
        </w:tc>
        <w:tc>
          <w:tcPr>
            <w:tcW w:w="2100" w:type="dxa"/>
            <w:shd w:val="clear" w:color="auto" w:fill="1F3A5F"/>
          </w:tcPr>
          <w:p w14:paraId="7ACF85F1" w14:textId="77777777" w:rsidR="004822EA" w:rsidRDefault="00F14710">
            <w:r>
              <w:rPr>
                <w:b/>
                <w:bCs/>
                <w:color w:val="FFFFFF"/>
                <w:sz w:val="19"/>
                <w:szCs w:val="19"/>
              </w:rPr>
              <w:t>Participation (%)</w:t>
            </w:r>
          </w:p>
        </w:tc>
      </w:tr>
      <w:tr w:rsidR="004822EA" w14:paraId="3B4BCE22" w14:textId="77777777">
        <w:tblPrEx>
          <w:tblCellMar>
            <w:top w:w="0" w:type="dxa"/>
            <w:bottom w:w="0" w:type="dxa"/>
          </w:tblCellMar>
        </w:tblPrEx>
        <w:tc>
          <w:tcPr>
            <w:tcW w:w="3600" w:type="dxa"/>
            <w:shd w:val="clear" w:color="auto" w:fill="FFFFFF"/>
          </w:tcPr>
          <w:p w14:paraId="2410AC9F" w14:textId="77777777" w:rsidR="004822EA" w:rsidRDefault="00F14710">
            <w:r>
              <w:rPr>
                <w:sz w:val="19"/>
                <w:szCs w:val="19"/>
              </w:rPr>
              <w:t>Walking</w:t>
            </w:r>
          </w:p>
        </w:tc>
        <w:tc>
          <w:tcPr>
            <w:tcW w:w="2300" w:type="dxa"/>
            <w:shd w:val="clear" w:color="auto" w:fill="FFFFFF"/>
          </w:tcPr>
          <w:p w14:paraId="2EBB0928" w14:textId="77777777" w:rsidR="004822EA" w:rsidRDefault="00F14710">
            <w:r>
              <w:rPr>
                <w:sz w:val="19"/>
                <w:szCs w:val="19"/>
              </w:rPr>
              <w:t>18.0</w:t>
            </w:r>
          </w:p>
        </w:tc>
        <w:tc>
          <w:tcPr>
            <w:tcW w:w="2100" w:type="dxa"/>
            <w:shd w:val="clear" w:color="auto" w:fill="FFFFFF"/>
          </w:tcPr>
          <w:p w14:paraId="585B229D" w14:textId="77777777" w:rsidR="004822EA" w:rsidRDefault="00F14710">
            <w:r>
              <w:rPr>
                <w:sz w:val="19"/>
                <w:szCs w:val="19"/>
              </w:rPr>
              <w:t>56.9</w:t>
            </w:r>
          </w:p>
        </w:tc>
      </w:tr>
      <w:tr w:rsidR="004822EA" w14:paraId="74D03567" w14:textId="77777777">
        <w:tblPrEx>
          <w:tblCellMar>
            <w:top w:w="0" w:type="dxa"/>
            <w:bottom w:w="0" w:type="dxa"/>
          </w:tblCellMar>
        </w:tblPrEx>
        <w:tc>
          <w:tcPr>
            <w:tcW w:w="3600" w:type="dxa"/>
            <w:shd w:val="clear" w:color="auto" w:fill="F2F6FA"/>
          </w:tcPr>
          <w:p w14:paraId="662FB3CF" w14:textId="77777777" w:rsidR="004822EA" w:rsidRDefault="00F14710">
            <w:r>
              <w:rPr>
                <w:sz w:val="19"/>
                <w:szCs w:val="19"/>
              </w:rPr>
              <w:t>Active travel</w:t>
            </w:r>
          </w:p>
        </w:tc>
        <w:tc>
          <w:tcPr>
            <w:tcW w:w="2300" w:type="dxa"/>
            <w:shd w:val="clear" w:color="auto" w:fill="F2F6FA"/>
          </w:tcPr>
          <w:p w14:paraId="4F11F4A6" w14:textId="77777777" w:rsidR="004822EA" w:rsidRDefault="00F14710">
            <w:r>
              <w:rPr>
                <w:sz w:val="19"/>
                <w:szCs w:val="19"/>
              </w:rPr>
              <w:t>8.8</w:t>
            </w:r>
          </w:p>
        </w:tc>
        <w:tc>
          <w:tcPr>
            <w:tcW w:w="2100" w:type="dxa"/>
            <w:shd w:val="clear" w:color="auto" w:fill="F2F6FA"/>
          </w:tcPr>
          <w:p w14:paraId="7EE36615" w14:textId="77777777" w:rsidR="004822EA" w:rsidRDefault="00F14710">
            <w:r>
              <w:rPr>
                <w:sz w:val="19"/>
                <w:szCs w:val="19"/>
              </w:rPr>
              <w:t>43.2</w:t>
            </w:r>
          </w:p>
        </w:tc>
      </w:tr>
      <w:tr w:rsidR="004822EA" w14:paraId="19C4471B" w14:textId="77777777">
        <w:tblPrEx>
          <w:tblCellMar>
            <w:top w:w="0" w:type="dxa"/>
            <w:bottom w:w="0" w:type="dxa"/>
          </w:tblCellMar>
        </w:tblPrEx>
        <w:tc>
          <w:tcPr>
            <w:tcW w:w="3600" w:type="dxa"/>
            <w:shd w:val="clear" w:color="auto" w:fill="FFFFFF"/>
          </w:tcPr>
          <w:p w14:paraId="729DA155" w14:textId="77777777" w:rsidR="004822EA" w:rsidRDefault="00F14710">
            <w:r>
              <w:rPr>
                <w:sz w:val="19"/>
                <w:szCs w:val="19"/>
              </w:rPr>
              <w:t>Cycling</w:t>
            </w:r>
          </w:p>
        </w:tc>
        <w:tc>
          <w:tcPr>
            <w:tcW w:w="2300" w:type="dxa"/>
            <w:shd w:val="clear" w:color="auto" w:fill="FFFFFF"/>
          </w:tcPr>
          <w:p w14:paraId="24432FE5" w14:textId="77777777" w:rsidR="004822EA" w:rsidRDefault="00F14710">
            <w:r>
              <w:rPr>
                <w:sz w:val="19"/>
                <w:szCs w:val="19"/>
              </w:rPr>
              <w:t>2.3</w:t>
            </w:r>
          </w:p>
        </w:tc>
        <w:tc>
          <w:tcPr>
            <w:tcW w:w="2100" w:type="dxa"/>
            <w:shd w:val="clear" w:color="auto" w:fill="FFFFFF"/>
          </w:tcPr>
          <w:p w14:paraId="40911AF7" w14:textId="77777777" w:rsidR="004822EA" w:rsidRDefault="00F14710">
            <w:r>
              <w:rPr>
                <w:sz w:val="19"/>
                <w:szCs w:val="19"/>
              </w:rPr>
              <w:t>18.4</w:t>
            </w:r>
          </w:p>
        </w:tc>
      </w:tr>
      <w:tr w:rsidR="004822EA" w14:paraId="23DDF233" w14:textId="77777777">
        <w:tblPrEx>
          <w:tblCellMar>
            <w:top w:w="0" w:type="dxa"/>
            <w:bottom w:w="0" w:type="dxa"/>
          </w:tblCellMar>
        </w:tblPrEx>
        <w:tc>
          <w:tcPr>
            <w:tcW w:w="3600" w:type="dxa"/>
            <w:shd w:val="clear" w:color="auto" w:fill="F2F6FA"/>
          </w:tcPr>
          <w:p w14:paraId="19E89454" w14:textId="77777777" w:rsidR="004822EA" w:rsidRDefault="00F14710">
            <w:r>
              <w:rPr>
                <w:sz w:val="19"/>
                <w:szCs w:val="19"/>
              </w:rPr>
              <w:t>Dance</w:t>
            </w:r>
          </w:p>
        </w:tc>
        <w:tc>
          <w:tcPr>
            <w:tcW w:w="2300" w:type="dxa"/>
            <w:shd w:val="clear" w:color="auto" w:fill="F2F6FA"/>
          </w:tcPr>
          <w:p w14:paraId="0A8F12DE" w14:textId="77777777" w:rsidR="004822EA" w:rsidRDefault="00F14710">
            <w:r>
              <w:rPr>
                <w:sz w:val="19"/>
                <w:szCs w:val="19"/>
              </w:rPr>
              <w:t>1.2</w:t>
            </w:r>
          </w:p>
        </w:tc>
        <w:tc>
          <w:tcPr>
            <w:tcW w:w="2100" w:type="dxa"/>
            <w:shd w:val="clear" w:color="auto" w:fill="F2F6FA"/>
          </w:tcPr>
          <w:p w14:paraId="2DD3728A" w14:textId="77777777" w:rsidR="004822EA" w:rsidRDefault="00F14710">
            <w:r>
              <w:rPr>
                <w:sz w:val="19"/>
                <w:szCs w:val="19"/>
              </w:rPr>
              <w:t>10.8</w:t>
            </w:r>
          </w:p>
        </w:tc>
      </w:tr>
      <w:tr w:rsidR="004822EA" w14:paraId="5C649017" w14:textId="77777777">
        <w:tblPrEx>
          <w:tblCellMar>
            <w:top w:w="0" w:type="dxa"/>
            <w:bottom w:w="0" w:type="dxa"/>
          </w:tblCellMar>
        </w:tblPrEx>
        <w:tc>
          <w:tcPr>
            <w:tcW w:w="3600" w:type="dxa"/>
            <w:shd w:val="clear" w:color="auto" w:fill="FFFFFF"/>
          </w:tcPr>
          <w:p w14:paraId="14A14EBE" w14:textId="77777777" w:rsidR="004822EA" w:rsidRDefault="00F14710">
            <w:r>
              <w:rPr>
                <w:sz w:val="19"/>
                <w:szCs w:val="19"/>
              </w:rPr>
              <w:t>Team sport</w:t>
            </w:r>
          </w:p>
        </w:tc>
        <w:tc>
          <w:tcPr>
            <w:tcW w:w="2300" w:type="dxa"/>
            <w:shd w:val="clear" w:color="auto" w:fill="FFFFFF"/>
          </w:tcPr>
          <w:p w14:paraId="0B569C0E" w14:textId="77777777" w:rsidR="004822EA" w:rsidRDefault="00F14710">
            <w:r>
              <w:rPr>
                <w:sz w:val="19"/>
                <w:szCs w:val="19"/>
              </w:rPr>
              <w:t>1.2</w:t>
            </w:r>
          </w:p>
        </w:tc>
        <w:tc>
          <w:tcPr>
            <w:tcW w:w="2100" w:type="dxa"/>
            <w:shd w:val="clear" w:color="auto" w:fill="FFFFFF"/>
          </w:tcPr>
          <w:p w14:paraId="14AD6E13" w14:textId="77777777" w:rsidR="004822EA" w:rsidRDefault="00F14710">
            <w:r>
              <w:rPr>
                <w:sz w:val="19"/>
                <w:szCs w:val="19"/>
              </w:rPr>
              <w:t>6.1</w:t>
            </w:r>
          </w:p>
        </w:tc>
      </w:tr>
      <w:tr w:rsidR="004822EA" w14:paraId="5071BB6A" w14:textId="77777777">
        <w:tblPrEx>
          <w:tblCellMar>
            <w:top w:w="0" w:type="dxa"/>
            <w:bottom w:w="0" w:type="dxa"/>
          </w:tblCellMar>
        </w:tblPrEx>
        <w:tc>
          <w:tcPr>
            <w:tcW w:w="3600" w:type="dxa"/>
            <w:shd w:val="clear" w:color="auto" w:fill="F2F6FA"/>
          </w:tcPr>
          <w:p w14:paraId="18F89D3F" w14:textId="77777777" w:rsidR="004822EA" w:rsidRDefault="00F14710">
            <w:r>
              <w:rPr>
                <w:sz w:val="19"/>
                <w:szCs w:val="19"/>
              </w:rPr>
              <w:t>Racket / water / combat / other</w:t>
            </w:r>
          </w:p>
        </w:tc>
        <w:tc>
          <w:tcPr>
            <w:tcW w:w="2300" w:type="dxa"/>
            <w:shd w:val="clear" w:color="auto" w:fill="F2F6FA"/>
          </w:tcPr>
          <w:p w14:paraId="14B53A07" w14:textId="77777777" w:rsidR="004822EA" w:rsidRDefault="00F14710">
            <w:r>
              <w:rPr>
                <w:sz w:val="19"/>
                <w:szCs w:val="19"/>
              </w:rPr>
              <w:t>&lt; 1 each</w:t>
            </w:r>
          </w:p>
        </w:tc>
        <w:tc>
          <w:tcPr>
            <w:tcW w:w="2100" w:type="dxa"/>
            <w:shd w:val="clear" w:color="auto" w:fill="F2F6FA"/>
          </w:tcPr>
          <w:p w14:paraId="077FE49B" w14:textId="77777777" w:rsidR="004822EA" w:rsidRDefault="00F14710">
            <w:r>
              <w:rPr>
                <w:sz w:val="19"/>
                <w:szCs w:val="19"/>
              </w:rPr>
              <w:t>small</w:t>
            </w:r>
          </w:p>
        </w:tc>
      </w:tr>
    </w:tbl>
    <w:p w14:paraId="362FB8AF" w14:textId="77777777" w:rsidR="004822EA" w:rsidRDefault="00F14710">
      <w:pPr>
        <w:spacing w:after="120" w:line="276" w:lineRule="auto"/>
      </w:pPr>
      <w:r>
        <w:t xml:space="preserve">Walking and active travel together account for </w:t>
      </w:r>
      <w:proofErr w:type="gramStart"/>
      <w:r>
        <w:t>the large majority of</w:t>
      </w:r>
      <w:proofErr w:type="gramEnd"/>
      <w:r>
        <w:t xml:space="preserve"> the active rate; every sport-specific activity contributes little to the threshold individually. A concentration check confirmed that participation is not substitutable: roughly one in five active Londoners relies on a single activity, usually walking. The clear implication is that everyday movement, not organised sport, underpins London's activity — and that walking infrastructure is the most load-bearing lever.</w:t>
      </w:r>
    </w:p>
    <w:p w14:paraId="5FCCEFFB" w14:textId="77777777" w:rsidR="004822EA" w:rsidRDefault="00F14710">
      <w:pPr>
        <w:pStyle w:val="Heading2"/>
        <w:spacing w:before="180" w:after="90"/>
      </w:pPr>
      <w:bookmarkStart w:id="17" w:name="_Toc236854842"/>
      <w:r>
        <w:rPr>
          <w:b/>
          <w:bCs/>
          <w:color w:val="2980B9"/>
        </w:rPr>
        <w:t>7.2 Borough activity signature</w:t>
      </w:r>
      <w:bookmarkEnd w:id="17"/>
    </w:p>
    <w:p w14:paraId="541F6B4A" w14:textId="77777777" w:rsidR="004822EA" w:rsidRDefault="00F14710">
      <w:pPr>
        <w:spacing w:after="120" w:line="276" w:lineRule="auto"/>
      </w:pPr>
      <w:r>
        <w:t xml:space="preserve">The decomposition was then run per borough to test whether the over-performing boroughs owe their advantage to </w:t>
      </w:r>
      <w:proofErr w:type="gramStart"/>
      <w:r>
        <w:t>particular activities</w:t>
      </w:r>
      <w:proofErr w:type="gramEnd"/>
      <w:r>
        <w:t xml:space="preserve">. </w:t>
      </w:r>
      <w:r>
        <w:rPr>
          <w:b/>
          <w:bCs/>
          <w:color w:val="C0392B"/>
        </w:rPr>
        <w:t xml:space="preserve">[TO CONFIRM FROM FINAL RUN: over- vs under-performer activity signature — the comparison table (notebook cell 12/14) and the per-activity reliability shares (cell 16) were not captured in full at the time of writing. Early output suggests over-performing boroughs lean more on cycling and active travel (e.g. Hackney's cycling reliance is roughly double the London norm), while under-performers rely almost entirely on walking — but this must be confirmed against the reliability filter before it is stated as a </w:t>
      </w:r>
      <w:r>
        <w:rPr>
          <w:b/>
          <w:bCs/>
          <w:color w:val="C0392B"/>
        </w:rPr>
        <w:t>finding.]</w:t>
      </w:r>
    </w:p>
    <w:p w14:paraId="5463E06E" w14:textId="77777777" w:rsidR="004822EA" w:rsidRDefault="00F14710">
      <w:pPr>
        <w:pStyle w:val="Heading1"/>
        <w:spacing w:before="260" w:after="120"/>
      </w:pPr>
      <w:bookmarkStart w:id="18" w:name="_Toc236854843"/>
      <w:r>
        <w:rPr>
          <w:b/>
          <w:bCs/>
          <w:color w:val="1F3A5F"/>
        </w:rPr>
        <w:t>8. Status and next steps</w:t>
      </w:r>
      <w:bookmarkEnd w:id="18"/>
    </w:p>
    <w:p w14:paraId="16A5C10B" w14:textId="77777777" w:rsidR="004822EA" w:rsidRDefault="00F14710">
      <w:pPr>
        <w:spacing w:after="120" w:line="276" w:lineRule="auto"/>
      </w:pPr>
      <w:r>
        <w:rPr>
          <w:b/>
          <w:bCs/>
        </w:rPr>
        <w:t>Completed:</w:t>
      </w:r>
    </w:p>
    <w:p w14:paraId="6FEB77BE" w14:textId="77777777" w:rsidR="004822EA" w:rsidRDefault="00F14710">
      <w:pPr>
        <w:pStyle w:val="ListParagraph"/>
        <w:numPr>
          <w:ilvl w:val="0"/>
          <w:numId w:val="2"/>
        </w:numPr>
        <w:spacing w:after="80"/>
      </w:pPr>
      <w:r>
        <w:t>Harmonised, GSS-verified 8-wave panel (two borough-swap errors found and corrected).</w:t>
      </w:r>
    </w:p>
    <w:p w14:paraId="375DAF6E" w14:textId="77777777" w:rsidR="004822EA" w:rsidRDefault="00F14710">
      <w:pPr>
        <w:pStyle w:val="ListParagraph"/>
        <w:numPr>
          <w:ilvl w:val="0"/>
          <w:numId w:val="2"/>
        </w:numPr>
        <w:spacing w:after="80"/>
      </w:pPr>
      <w:r>
        <w:t>Validation against Sport England published figures.</w:t>
      </w:r>
    </w:p>
    <w:p w14:paraId="201FEF19" w14:textId="77777777" w:rsidR="004822EA" w:rsidRDefault="00F14710">
      <w:pPr>
        <w:pStyle w:val="ListParagraph"/>
        <w:numPr>
          <w:ilvl w:val="0"/>
          <w:numId w:val="2"/>
        </w:numPr>
        <w:spacing w:after="80"/>
      </w:pPr>
      <w:r>
        <w:t>Wave-by-wave exploratory analysis across four pillars.</w:t>
      </w:r>
    </w:p>
    <w:p w14:paraId="04244749" w14:textId="77777777" w:rsidR="004822EA" w:rsidRDefault="00F14710">
      <w:pPr>
        <w:pStyle w:val="ListParagraph"/>
        <w:numPr>
          <w:ilvl w:val="0"/>
          <w:numId w:val="2"/>
        </w:numPr>
        <w:spacing w:after="80"/>
      </w:pPr>
      <w:proofErr w:type="spellStart"/>
      <w:r>
        <w:t>CatBoost</w:t>
      </w:r>
      <w:proofErr w:type="spellEnd"/>
      <w:r>
        <w:t xml:space="preserve"> driver model with temporal validation and SHAP.</w:t>
      </w:r>
    </w:p>
    <w:p w14:paraId="7ECF6DA5" w14:textId="77777777" w:rsidR="004822EA" w:rsidRDefault="00F14710">
      <w:pPr>
        <w:pStyle w:val="ListParagraph"/>
        <w:numPr>
          <w:ilvl w:val="0"/>
          <w:numId w:val="2"/>
        </w:numPr>
        <w:spacing w:after="80"/>
      </w:pPr>
      <w:r>
        <w:t>Leave-one-wave-out borough residuals, shown robust to deprivation.</w:t>
      </w:r>
    </w:p>
    <w:p w14:paraId="76AE40A2" w14:textId="77777777" w:rsidR="004822EA" w:rsidRDefault="00F14710">
      <w:pPr>
        <w:pStyle w:val="ListParagraph"/>
        <w:numPr>
          <w:ilvl w:val="0"/>
          <w:numId w:val="2"/>
        </w:numPr>
        <w:spacing w:after="80"/>
      </w:pPr>
      <w:r>
        <w:t>Forecast to 2032 with honest uncertainty.</w:t>
      </w:r>
    </w:p>
    <w:p w14:paraId="15F2840F" w14:textId="77777777" w:rsidR="004822EA" w:rsidRDefault="00F14710">
      <w:pPr>
        <w:pStyle w:val="ListParagraph"/>
        <w:numPr>
          <w:ilvl w:val="0"/>
          <w:numId w:val="2"/>
        </w:numPr>
        <w:spacing w:after="80"/>
      </w:pPr>
      <w:r>
        <w:t>Activity-type perturbation (London-level complete; borough signature to be finalised).</w:t>
      </w:r>
    </w:p>
    <w:p w14:paraId="13C0FB02" w14:textId="77777777" w:rsidR="004822EA" w:rsidRDefault="00F14710">
      <w:pPr>
        <w:spacing w:after="120" w:line="276" w:lineRule="auto"/>
      </w:pPr>
      <w:r>
        <w:rPr>
          <w:b/>
          <w:bCs/>
        </w:rPr>
        <w:lastRenderedPageBreak/>
        <w:t>Outstanding:</w:t>
      </w:r>
    </w:p>
    <w:p w14:paraId="6D6A411C" w14:textId="77777777" w:rsidR="004822EA" w:rsidRDefault="00F14710">
      <w:pPr>
        <w:pStyle w:val="ListParagraph"/>
        <w:numPr>
          <w:ilvl w:val="0"/>
          <w:numId w:val="2"/>
        </w:numPr>
        <w:spacing w:after="80"/>
      </w:pPr>
      <w:r>
        <w:t>Confirm the borough activity signature against the reliability filter (Section 7.2).</w:t>
      </w:r>
    </w:p>
    <w:p w14:paraId="2050B0A8" w14:textId="77777777" w:rsidR="004822EA" w:rsidRDefault="00F14710">
      <w:pPr>
        <w:pStyle w:val="ListParagraph"/>
        <w:numPr>
          <w:ilvl w:val="0"/>
          <w:numId w:val="2"/>
        </w:numPr>
        <w:spacing w:after="80"/>
      </w:pPr>
      <w:r>
        <w:t>Re-run four EDA notebooks to complete the extracted figure set.</w:t>
      </w:r>
    </w:p>
    <w:p w14:paraId="5295DCA5" w14:textId="77777777" w:rsidR="004822EA" w:rsidRDefault="00F14710">
      <w:pPr>
        <w:pStyle w:val="ListParagraph"/>
        <w:numPr>
          <w:ilvl w:val="0"/>
          <w:numId w:val="2"/>
        </w:numPr>
        <w:spacing w:after="80"/>
      </w:pPr>
      <w:r>
        <w:t>Optional robustness: bootstrap the borough residuals to convert sign-consistency into a confidence statement.</w:t>
      </w:r>
    </w:p>
    <w:p w14:paraId="5A3E87F2" w14:textId="77777777" w:rsidR="004822EA" w:rsidRDefault="00F14710">
      <w:pPr>
        <w:spacing w:before="300"/>
      </w:pPr>
      <w:r>
        <w:rPr>
          <w:i/>
          <w:iCs/>
          <w:color w:val="C0392B"/>
          <w:sz w:val="18"/>
          <w:szCs w:val="18"/>
        </w:rPr>
        <w:t>Note: figures shown in red are placeholders for results not fully captured at the time of writing and should be filled from the corresponding notebook outputs before submission.</w:t>
      </w:r>
    </w:p>
    <w:sectPr w:rsidR="004822EA">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F4A"/>
    <w:multiLevelType w:val="hybridMultilevel"/>
    <w:tmpl w:val="E4CC0624"/>
    <w:lvl w:ilvl="0" w:tplc="F4CAAE4A">
      <w:start w:val="1"/>
      <w:numFmt w:val="bullet"/>
      <w:lvlText w:val="•"/>
      <w:lvlJc w:val="left"/>
      <w:pPr>
        <w:ind w:left="460" w:hanging="260"/>
      </w:pPr>
    </w:lvl>
    <w:lvl w:ilvl="1" w:tplc="EDF67596">
      <w:numFmt w:val="decimal"/>
      <w:lvlText w:val=""/>
      <w:lvlJc w:val="left"/>
    </w:lvl>
    <w:lvl w:ilvl="2" w:tplc="648A9840">
      <w:numFmt w:val="decimal"/>
      <w:lvlText w:val=""/>
      <w:lvlJc w:val="left"/>
    </w:lvl>
    <w:lvl w:ilvl="3" w:tplc="3DEC083C">
      <w:numFmt w:val="decimal"/>
      <w:lvlText w:val=""/>
      <w:lvlJc w:val="left"/>
    </w:lvl>
    <w:lvl w:ilvl="4" w:tplc="2DE62D2C">
      <w:numFmt w:val="decimal"/>
      <w:lvlText w:val=""/>
      <w:lvlJc w:val="left"/>
    </w:lvl>
    <w:lvl w:ilvl="5" w:tplc="77E06368">
      <w:numFmt w:val="decimal"/>
      <w:lvlText w:val=""/>
      <w:lvlJc w:val="left"/>
    </w:lvl>
    <w:lvl w:ilvl="6" w:tplc="F5E0352A">
      <w:numFmt w:val="decimal"/>
      <w:lvlText w:val=""/>
      <w:lvlJc w:val="left"/>
    </w:lvl>
    <w:lvl w:ilvl="7" w:tplc="16786D06">
      <w:numFmt w:val="decimal"/>
      <w:lvlText w:val=""/>
      <w:lvlJc w:val="left"/>
    </w:lvl>
    <w:lvl w:ilvl="8" w:tplc="0EDC5042">
      <w:numFmt w:val="decimal"/>
      <w:lvlText w:val=""/>
      <w:lvlJc w:val="left"/>
    </w:lvl>
  </w:abstractNum>
  <w:abstractNum w:abstractNumId="1" w15:restartNumberingAfterBreak="0">
    <w:nsid w:val="689A25E5"/>
    <w:multiLevelType w:val="hybridMultilevel"/>
    <w:tmpl w:val="BF2A3ED8"/>
    <w:lvl w:ilvl="0" w:tplc="4E6E2C00">
      <w:start w:val="1"/>
      <w:numFmt w:val="bullet"/>
      <w:lvlText w:val="●"/>
      <w:lvlJc w:val="left"/>
      <w:pPr>
        <w:ind w:left="720" w:hanging="360"/>
      </w:pPr>
    </w:lvl>
    <w:lvl w:ilvl="1" w:tplc="6D5CE180">
      <w:start w:val="1"/>
      <w:numFmt w:val="bullet"/>
      <w:lvlText w:val="○"/>
      <w:lvlJc w:val="left"/>
      <w:pPr>
        <w:ind w:left="1440" w:hanging="360"/>
      </w:pPr>
    </w:lvl>
    <w:lvl w:ilvl="2" w:tplc="7B7CCC20">
      <w:start w:val="1"/>
      <w:numFmt w:val="bullet"/>
      <w:lvlText w:val="■"/>
      <w:lvlJc w:val="left"/>
      <w:pPr>
        <w:ind w:left="2160" w:hanging="360"/>
      </w:pPr>
    </w:lvl>
    <w:lvl w:ilvl="3" w:tplc="5C7EC3B2">
      <w:start w:val="1"/>
      <w:numFmt w:val="bullet"/>
      <w:lvlText w:val="●"/>
      <w:lvlJc w:val="left"/>
      <w:pPr>
        <w:ind w:left="2880" w:hanging="360"/>
      </w:pPr>
    </w:lvl>
    <w:lvl w:ilvl="4" w:tplc="38CAEE4C">
      <w:start w:val="1"/>
      <w:numFmt w:val="bullet"/>
      <w:lvlText w:val="○"/>
      <w:lvlJc w:val="left"/>
      <w:pPr>
        <w:ind w:left="3600" w:hanging="360"/>
      </w:pPr>
    </w:lvl>
    <w:lvl w:ilvl="5" w:tplc="A386B550">
      <w:start w:val="1"/>
      <w:numFmt w:val="bullet"/>
      <w:lvlText w:val="■"/>
      <w:lvlJc w:val="left"/>
      <w:pPr>
        <w:ind w:left="4320" w:hanging="360"/>
      </w:pPr>
    </w:lvl>
    <w:lvl w:ilvl="6" w:tplc="53E29E80">
      <w:start w:val="1"/>
      <w:numFmt w:val="bullet"/>
      <w:lvlText w:val="●"/>
      <w:lvlJc w:val="left"/>
      <w:pPr>
        <w:ind w:left="5040" w:hanging="360"/>
      </w:pPr>
    </w:lvl>
    <w:lvl w:ilvl="7" w:tplc="46128B2E">
      <w:start w:val="1"/>
      <w:numFmt w:val="bullet"/>
      <w:lvlText w:val="●"/>
      <w:lvlJc w:val="left"/>
      <w:pPr>
        <w:ind w:left="5760" w:hanging="360"/>
      </w:pPr>
    </w:lvl>
    <w:lvl w:ilvl="8" w:tplc="CDAA7F62">
      <w:start w:val="1"/>
      <w:numFmt w:val="bullet"/>
      <w:lvlText w:val="●"/>
      <w:lvlJc w:val="left"/>
      <w:pPr>
        <w:ind w:left="6480" w:hanging="360"/>
      </w:pPr>
    </w:lvl>
  </w:abstractNum>
  <w:num w:numId="1" w16cid:durableId="1956322966">
    <w:abstractNumId w:val="1"/>
    <w:lvlOverride w:ilvl="0">
      <w:startOverride w:val="1"/>
    </w:lvlOverride>
  </w:num>
  <w:num w:numId="2" w16cid:durableId="202057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2EA"/>
    <w:rsid w:val="004822EA"/>
    <w:rsid w:val="00AB6415"/>
    <w:rsid w:val="00F14710"/>
    <w:rsid w:val="00F63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CC33"/>
  <w15:docId w15:val="{5D999726-F744-486D-82FF-5BDD9435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6415"/>
    <w:pPr>
      <w:spacing w:after="100"/>
    </w:pPr>
  </w:style>
  <w:style w:type="paragraph" w:styleId="TOC2">
    <w:name w:val="toc 2"/>
    <w:basedOn w:val="Normal"/>
    <w:next w:val="Normal"/>
    <w:autoRedefine/>
    <w:uiPriority w:val="39"/>
    <w:unhideWhenUsed/>
    <w:rsid w:val="00AB641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2261</Words>
  <Characters>12891</Characters>
  <Application>Microsoft Office Word</Application>
  <DocSecurity>0</DocSecurity>
  <Lines>107</Lines>
  <Paragraphs>30</Paragraphs>
  <ScaleCrop>false</ScaleCrop>
  <Company/>
  <LinksUpToDate>false</LinksUpToDate>
  <CharactersWithSpaces>15122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2026-08-05T19:42:00Z</dcterms:created>
  <dcterms:modified xsi:type="dcterms:W3CDTF">2026-08-05T19:42:00Z</dcterms:modified>
</cp:coreProperties>
</file>