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color w:val="1F3A5F"/>
          <w:sz w:val="44"/>
          <w:szCs w:val="44"/>
        </w:rPr>
        <w:t xml:space="preserve">Activity Participation Model</w:t>
      </w:r>
    </w:p>
    <w:p>
      <w:pPr>
        <w:spacing w:after="40"/>
        <w:jc w:val="center"/>
      </w:pPr>
      <w:r>
        <w:rPr>
          <w:color w:val="2980B9"/>
          <w:sz w:val="26"/>
          <w:szCs w:val="26"/>
        </w:rPr>
        <w:t xml:space="preserve">Experimental Setup, Results, and Model Evaluation</w:t>
      </w:r>
    </w:p>
    <w:p>
      <w:pPr>
        <w:spacing w:after="240"/>
        <w:jc w:val="center"/>
      </w:pPr>
      <w:r>
        <w:rPr>
          <w:i/>
          <w:iCs/>
          <w:color w:val="555555"/>
          <w:sz w:val="20"/>
          <w:szCs w:val="20"/>
        </w:rPr>
        <w:t xml:space="preserve">CatBoost classifier — Active Lives London, 2015–16 to 2022–23</w:t>
      </w:r>
    </w:p>
    <w:p>
      <w:pPr>
        <w:pBdr>
          <w:bottom w:val="single" w:color="2980B9" w:sz="12" w:space="6"/>
        </w:pBdr>
        <w:spacing w:after="200"/>
      </w:pPr>
    </w:p>
    <w:p>
      <w:pPr>
        <w:pStyle w:val="Heading1"/>
        <w:spacing w:after="120" w:before="260"/>
      </w:pPr>
      <w:r>
        <w:rPr>
          <w:b/>
          <w:bCs/>
          <w:color w:val="1F3A5F"/>
        </w:rPr>
        <w:t xml:space="preserve">1. Experimental setup</w:t>
      </w:r>
    </w:p>
    <w:p>
      <w:pPr>
        <w:spacing w:after="120" w:line="276"/>
      </w:pPr>
      <w:r>
        <w:t xml:space="preserve">All modelling used a pooled, harmonised frame of 135,497 respondents across 8 waves (2015–16 to 2022–23) and 32 London boroughs, built from the raw coded all-years file with a single canonical codebook so that no categorical label drift remained between waves.</w:t>
      </w:r>
    </w:p>
    <w:p>
      <w:pPr>
        <w:pStyle w:val="Heading2"/>
        <w:spacing w:after="90" w:before="180"/>
      </w:pPr>
      <w:r>
        <w:rPr>
          <w:b/>
          <w:bCs/>
          <w:color w:val="2980B9"/>
        </w:rPr>
        <w:t xml:space="preserve">1.1 Task and target</w:t>
      </w:r>
    </w:p>
    <w:p>
      <w:pPr>
        <w:spacing w:after="120" w:line="276"/>
      </w:pPr>
      <w:r>
        <w:t xml:space="preserve">Binary classification of individual activity status: the target is 1 if a respondent meets the Active Lives “Active” threshold (≥150 weekly minutes) and 0 otherwise. The target keys on the “Active” label, which did not drift across waves, so its definition is identical for every wave.</w:t>
      </w:r>
    </w:p>
    <w:p>
      <w:pPr>
        <w:pStyle w:val="Heading2"/>
        <w:spacing w:after="90" w:before="180"/>
      </w:pPr>
      <w:r>
        <w:rPr>
          <w:b/>
          <w:bCs/>
          <w:color w:val="2980B9"/>
        </w:rPr>
        <w:t xml:space="preserve">1.2 Features</w:t>
      </w:r>
    </w:p>
    <w:p>
      <w:pPr>
        <w:spacing w:after="120" w:line="276"/>
      </w:pPr>
      <w:r>
        <w:t xml:space="preserve">Seven demographic predictors, all categorical: age band, gender, ethnicity, disability, social grade (NS-SEC), education, and BMI group. Missing values were encoded as an explicit “Missing” level rather than dropped, since item non-response is itself informative (BMI is ~18% missing) and complete-case deletion would discard roughly a third of rows.</w:t>
      </w:r>
    </w:p>
    <w:p>
      <w:pPr>
        <w:spacing w:after="120" w:line="276"/>
      </w:pPr>
      <w:r>
        <w:t xml:space="preserve">Self-reported health was excluded on two grounds: it is absent from three waves, and it is strongly collinear with disability (Cramér's V ≈ 0.40 in every wave that has both), which inverts the disability coefficient when both are present. Borough identity (GSS) was excluded from the primary model and tested only as a secondary comparison.</w:t>
      </w:r>
    </w:p>
    <w:p>
      <w:pPr>
        <w:pStyle w:val="Heading2"/>
        <w:spacing w:after="90" w:before="180"/>
      </w:pPr>
      <w:r>
        <w:rPr>
          <w:b/>
          <w:bCs/>
          <w:color w:val="2980B9"/>
        </w:rPr>
        <w:t xml:space="preserve">1.3 Model and hyperparameters</w:t>
      </w:r>
    </w:p>
    <w:p>
      <w:pPr>
        <w:spacing w:after="120" w:line="276"/>
      </w:pPr>
      <w:r>
        <w:t xml:space="preserve">CatBoost gradient-boosted decision trees, selected for native categorical handling (no one-hot encoding), which was important given the label variation across waves. Configuration:</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tblGrid>
      <w:tr>
        <w:trPr>
          <w:tblHeader/>
        </w:trPr>
        <w:tc>
          <w:tcPr>
            <w:tcW w:type="dxa" w:w="3000"/>
            <w:shd w:fill="1F3A5F" w:val="clear"/>
          </w:tcPr>
          <w:p>
            <w:r>
              <w:rPr>
                <w:b/>
                <w:bCs/>
                <w:color w:val="FFFFFF"/>
                <w:sz w:val="19"/>
                <w:szCs w:val="19"/>
              </w:rPr>
              <w:t xml:space="preserve">Setting</w:t>
            </w:r>
          </w:p>
        </w:tc>
        <w:tc>
          <w:tcPr>
            <w:tcW w:type="dxa" w:w="5000"/>
            <w:shd w:fill="1F3A5F" w:val="clear"/>
          </w:tcPr>
          <w:p>
            <w:r>
              <w:rPr>
                <w:b/>
                <w:bCs/>
                <w:color w:val="FFFFFF"/>
                <w:sz w:val="19"/>
                <w:szCs w:val="19"/>
              </w:rPr>
              <w:t xml:space="preserve">Value</w:t>
            </w:r>
          </w:p>
        </w:tc>
      </w:tr>
      <w:tr>
        <w:tc>
          <w:tcPr>
            <w:tcW w:type="dxa" w:w="3000"/>
            <w:shd w:fill="FFFFFF" w:val="clear"/>
          </w:tcPr>
          <w:p>
            <w:r>
              <w:rPr>
                <w:sz w:val="19"/>
                <w:szCs w:val="19"/>
              </w:rPr>
              <w:t xml:space="preserve">Algorithm</w:t>
            </w:r>
          </w:p>
        </w:tc>
        <w:tc>
          <w:tcPr>
            <w:tcW w:type="dxa" w:w="5000"/>
            <w:shd w:fill="FFFFFF" w:val="clear"/>
          </w:tcPr>
          <w:p>
            <w:r>
              <w:rPr>
                <w:sz w:val="19"/>
                <w:szCs w:val="19"/>
              </w:rPr>
              <w:t xml:space="preserve">CatBoost (gradient-boosted trees)</w:t>
            </w:r>
          </w:p>
        </w:tc>
      </w:tr>
      <w:tr>
        <w:tc>
          <w:tcPr>
            <w:tcW w:type="dxa" w:w="3000"/>
            <w:shd w:fill="F2F6FA" w:val="clear"/>
          </w:tcPr>
          <w:p>
            <w:r>
              <w:rPr>
                <w:sz w:val="19"/>
                <w:szCs w:val="19"/>
              </w:rPr>
              <w:t xml:space="preserve">Max iterations</w:t>
            </w:r>
          </w:p>
        </w:tc>
        <w:tc>
          <w:tcPr>
            <w:tcW w:type="dxa" w:w="5000"/>
            <w:shd w:fill="F2F6FA" w:val="clear"/>
          </w:tcPr>
          <w:p>
            <w:r>
              <w:rPr>
                <w:sz w:val="19"/>
                <w:szCs w:val="19"/>
              </w:rPr>
              <w:t xml:space="preserve">2,000</w:t>
            </w:r>
          </w:p>
        </w:tc>
      </w:tr>
      <w:tr>
        <w:tc>
          <w:tcPr>
            <w:tcW w:type="dxa" w:w="3000"/>
            <w:shd w:fill="FFFFFF" w:val="clear"/>
          </w:tcPr>
          <w:p>
            <w:r>
              <w:rPr>
                <w:sz w:val="19"/>
                <w:szCs w:val="19"/>
              </w:rPr>
              <w:t xml:space="preserve">Learning rate</w:t>
            </w:r>
          </w:p>
        </w:tc>
        <w:tc>
          <w:tcPr>
            <w:tcW w:type="dxa" w:w="5000"/>
            <w:shd w:fill="FFFFFF" w:val="clear"/>
          </w:tcPr>
          <w:p>
            <w:r>
              <w:rPr>
                <w:sz w:val="19"/>
                <w:szCs w:val="19"/>
              </w:rPr>
              <w:t xml:space="preserve">0.05</w:t>
            </w:r>
          </w:p>
        </w:tc>
      </w:tr>
      <w:tr>
        <w:tc>
          <w:tcPr>
            <w:tcW w:type="dxa" w:w="3000"/>
            <w:shd w:fill="F2F6FA" w:val="clear"/>
          </w:tcPr>
          <w:p>
            <w:r>
              <w:rPr>
                <w:sz w:val="19"/>
                <w:szCs w:val="19"/>
              </w:rPr>
              <w:t xml:space="preserve">Tree depth</w:t>
            </w:r>
          </w:p>
        </w:tc>
        <w:tc>
          <w:tcPr>
            <w:tcW w:type="dxa" w:w="5000"/>
            <w:shd w:fill="F2F6FA" w:val="clear"/>
          </w:tcPr>
          <w:p>
            <w:r>
              <w:rPr>
                <w:sz w:val="19"/>
                <w:szCs w:val="19"/>
              </w:rPr>
              <w:t xml:space="preserve">6</w:t>
            </w:r>
          </w:p>
        </w:tc>
      </w:tr>
      <w:tr>
        <w:tc>
          <w:tcPr>
            <w:tcW w:type="dxa" w:w="3000"/>
            <w:shd w:fill="FFFFFF" w:val="clear"/>
          </w:tcPr>
          <w:p>
            <w:r>
              <w:rPr>
                <w:sz w:val="19"/>
                <w:szCs w:val="19"/>
              </w:rPr>
              <w:t xml:space="preserve">Loss function</w:t>
            </w:r>
          </w:p>
        </w:tc>
        <w:tc>
          <w:tcPr>
            <w:tcW w:type="dxa" w:w="5000"/>
            <w:shd w:fill="FFFFFF" w:val="clear"/>
          </w:tcPr>
          <w:p>
            <w:r>
              <w:rPr>
                <w:sz w:val="19"/>
                <w:szCs w:val="19"/>
              </w:rPr>
              <w:t xml:space="preserve">Log-loss</w:t>
            </w:r>
          </w:p>
        </w:tc>
      </w:tr>
      <w:tr>
        <w:tc>
          <w:tcPr>
            <w:tcW w:type="dxa" w:w="3000"/>
            <w:shd w:fill="F2F6FA" w:val="clear"/>
          </w:tcPr>
          <w:p>
            <w:r>
              <w:rPr>
                <w:sz w:val="19"/>
                <w:szCs w:val="19"/>
              </w:rPr>
              <w:t xml:space="preserve">Early stopping</w:t>
            </w:r>
          </w:p>
        </w:tc>
        <w:tc>
          <w:tcPr>
            <w:tcW w:type="dxa" w:w="5000"/>
            <w:shd w:fill="F2F6FA" w:val="clear"/>
          </w:tcPr>
          <w:p>
            <w:r>
              <w:rPr>
                <w:sz w:val="19"/>
                <w:szCs w:val="19"/>
              </w:rPr>
              <w:t xml:space="preserve">100 rounds, on the 2021–22 internal validation slice</w:t>
            </w:r>
          </w:p>
        </w:tc>
      </w:tr>
      <w:tr>
        <w:tc>
          <w:tcPr>
            <w:tcW w:type="dxa" w:w="3000"/>
            <w:shd w:fill="FFFFFF" w:val="clear"/>
          </w:tcPr>
          <w:p>
            <w:r>
              <w:rPr>
                <w:sz w:val="19"/>
                <w:szCs w:val="19"/>
              </w:rPr>
              <w:t xml:space="preserve">Categorical handling</w:t>
            </w:r>
          </w:p>
        </w:tc>
        <w:tc>
          <w:tcPr>
            <w:tcW w:type="dxa" w:w="5000"/>
            <w:shd w:fill="FFFFFF" w:val="clear"/>
          </w:tcPr>
          <w:p>
            <w:r>
              <w:rPr>
                <w:sz w:val="19"/>
                <w:szCs w:val="19"/>
              </w:rPr>
              <w:t xml:space="preserve">native (cat_features), no one-hot</w:t>
            </w:r>
          </w:p>
        </w:tc>
      </w:tr>
      <w:tr>
        <w:tc>
          <w:tcPr>
            <w:tcW w:type="dxa" w:w="3000"/>
            <w:shd w:fill="F2F6FA" w:val="clear"/>
          </w:tcPr>
          <w:p>
            <w:r>
              <w:rPr>
                <w:sz w:val="19"/>
                <w:szCs w:val="19"/>
              </w:rPr>
              <w:t xml:space="preserve">Random seed</w:t>
            </w:r>
          </w:p>
        </w:tc>
        <w:tc>
          <w:tcPr>
            <w:tcW w:type="dxa" w:w="5000"/>
            <w:shd w:fill="F2F6FA" w:val="clear"/>
          </w:tcPr>
          <w:p>
            <w:r>
              <w:rPr>
                <w:sz w:val="19"/>
                <w:szCs w:val="19"/>
              </w:rPr>
              <w:t xml:space="preserve">fixed, for reproducibility</w:t>
            </w:r>
          </w:p>
        </w:tc>
      </w:tr>
    </w:tbl>
    <w:p>
      <w:pPr>
        <w:spacing w:after="120" w:line="276"/>
      </w:pPr>
      <w:r>
        <w:t xml:space="preserve">The final model was refitted on all training waves at the iteration count selected by early stopping.</w:t>
      </w:r>
    </w:p>
    <w:p>
      <w:pPr>
        <w:pStyle w:val="Heading2"/>
        <w:spacing w:after="90" w:before="180"/>
      </w:pPr>
      <w:r>
        <w:rPr>
          <w:b/>
          <w:bCs/>
          <w:color w:val="2980B9"/>
        </w:rPr>
        <w:t xml:space="preserve">1.4 Weighting</w:t>
      </w:r>
    </w:p>
    <w:p>
      <w:pPr>
        <w:spacing w:after="120" w:line="276"/>
      </w:pPr>
      <w:r>
        <w:t xml:space="preserve">Survey design weights (wt_final) were supplied as sample weights during fitting and used in every evaluation metric. Unweighted fitting would model the respondent pool rather than the London population.</w:t>
      </w:r>
    </w:p>
    <w:p>
      <w:pPr>
        <w:pStyle w:val="Heading2"/>
        <w:spacing w:after="90" w:before="180"/>
      </w:pPr>
      <w:r>
        <w:rPr>
          <w:b/>
          <w:bCs/>
          <w:color w:val="2980B9"/>
        </w:rPr>
        <w:t xml:space="preserve">1.5 Validation design</w:t>
      </w:r>
    </w:p>
    <w:p>
      <w:pPr>
        <w:spacing w:after="120" w:line="276"/>
      </w:pPr>
      <w:r>
        <w:t xml:space="preserve">Two complementary schemes were used. For headline evaluation, a </w:t>
      </w:r>
      <w:r>
        <w:rPr>
          <w:b/>
          <w:bCs/>
        </w:rPr>
        <w:t xml:space="preserve">temporal hold-out</w:t>
      </w:r>
      <w:r>
        <w:t xml:space="preserve">: train on 2015–16 through 2021–22 and test on the unseen 2022–23 wave. For borough-effect estimation, </w:t>
      </w:r>
      <w:r>
        <w:rPr>
          <w:b/>
          <w:bCs/>
        </w:rPr>
        <w:t xml:space="preserve">leave-one-wave-out</w:t>
      </w:r>
      <w:r>
        <w:t xml:space="preserve">: eight refits, each predicting one held-out wave from the other seven, so every borough receives eight out-of-sample residuals, centred within wave.</w:t>
      </w:r>
    </w:p>
    <w:p>
      <w:pPr>
        <w:spacing w:after="120" w:line="276"/>
      </w:pPr>
      <w:r>
        <w:t xml:space="preserve">Random cross-validation was deliberately avoided: it leaks future information into training and is invalid for a forward-looking task.</w:t>
      </w:r>
    </w:p>
    <w:p>
      <w:r>
        <w:br w:type="page"/>
      </w:r>
    </w:p>
    <w:p>
      <w:pPr>
        <w:pStyle w:val="Heading1"/>
        <w:spacing w:after="120" w:before="260"/>
      </w:pPr>
      <w:r>
        <w:rPr>
          <w:b/>
          <w:bCs/>
          <w:color w:val="1F3A5F"/>
        </w:rPr>
        <w:t xml:space="preserve">2. Results</w:t>
      </w:r>
    </w:p>
    <w:p>
      <w:pPr>
        <w:pStyle w:val="Heading2"/>
        <w:spacing w:after="90" w:before="180"/>
      </w:pPr>
      <w:r>
        <w:rPr>
          <w:b/>
          <w:bCs/>
          <w:color w:val="2980B9"/>
        </w:rPr>
        <w:t xml:space="preserve">2.1 Predictive performance</w:t>
      </w:r>
    </w:p>
    <w:p>
      <w:pPr>
        <w:spacing w:after="120" w:line="276"/>
      </w:pPr>
      <w:r>
        <w:t xml:space="preserve">On the held-out 2022–23 wave, the model was compared against a prior baseline (predicting the training active rate for every respondent). It beat the baseline on every metric:</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1500"/>
        <w:gridCol w:w="1400"/>
        <w:gridCol w:w="1500"/>
      </w:tblGrid>
      <w:tr>
        <w:trPr>
          <w:tblHeader/>
        </w:trPr>
        <w:tc>
          <w:tcPr>
            <w:tcW w:type="dxa" w:w="2900"/>
            <w:shd w:fill="1F3A5F" w:val="clear"/>
          </w:tcPr>
          <w:p>
            <w:r>
              <w:rPr>
                <w:b/>
                <w:bCs/>
                <w:color w:val="FFFFFF"/>
                <w:sz w:val="19"/>
                <w:szCs w:val="19"/>
              </w:rPr>
              <w:t xml:space="preserve">Model</w:t>
            </w:r>
          </w:p>
        </w:tc>
        <w:tc>
          <w:tcPr>
            <w:tcW w:type="dxa" w:w="1400"/>
            <w:shd w:fill="1F3A5F" w:val="clear"/>
          </w:tcPr>
          <w:p>
            <w:r>
              <w:rPr>
                <w:b/>
                <w:bCs/>
                <w:color w:val="FFFFFF"/>
                <w:sz w:val="19"/>
                <w:szCs w:val="19"/>
              </w:rPr>
              <w:t xml:space="preserve">AUC</w:t>
            </w:r>
          </w:p>
        </w:tc>
        <w:tc>
          <w:tcPr>
            <w:tcW w:type="dxa" w:w="1500"/>
            <w:shd w:fill="1F3A5F" w:val="clear"/>
          </w:tcPr>
          <w:p>
            <w:r>
              <w:rPr>
                <w:b/>
                <w:bCs/>
                <w:color w:val="FFFFFF"/>
                <w:sz w:val="19"/>
                <w:szCs w:val="19"/>
              </w:rPr>
              <w:t xml:space="preserve">LogLoss</w:t>
            </w:r>
          </w:p>
        </w:tc>
        <w:tc>
          <w:tcPr>
            <w:tcW w:type="dxa" w:w="1400"/>
            <w:shd w:fill="1F3A5F" w:val="clear"/>
          </w:tcPr>
          <w:p>
            <w:r>
              <w:rPr>
                <w:b/>
                <w:bCs/>
                <w:color w:val="FFFFFF"/>
                <w:sz w:val="19"/>
                <w:szCs w:val="19"/>
              </w:rPr>
              <w:t xml:space="preserve">Brier</w:t>
            </w:r>
          </w:p>
        </w:tc>
        <w:tc>
          <w:tcPr>
            <w:tcW w:type="dxa" w:w="1500"/>
            <w:shd w:fill="1F3A5F" w:val="clear"/>
          </w:tcPr>
          <w:p>
            <w:r>
              <w:rPr>
                <w:b/>
                <w:bCs/>
                <w:color w:val="FFFFFF"/>
                <w:sz w:val="19"/>
                <w:szCs w:val="19"/>
              </w:rPr>
              <w:t xml:space="preserve">Accuracy</w:t>
            </w:r>
          </w:p>
        </w:tc>
      </w:tr>
      <w:tr>
        <w:tc>
          <w:tcPr>
            <w:tcW w:type="dxa" w:w="2900"/>
            <w:shd w:fill="FFFFFF" w:val="clear"/>
          </w:tcPr>
          <w:p>
            <w:r>
              <w:rPr>
                <w:sz w:val="19"/>
                <w:szCs w:val="19"/>
              </w:rPr>
              <w:t xml:space="preserve">Prior baseline</w:t>
            </w:r>
          </w:p>
        </w:tc>
        <w:tc>
          <w:tcPr>
            <w:tcW w:type="dxa" w:w="1400"/>
            <w:shd w:fill="FFFFFF" w:val="clear"/>
          </w:tcPr>
          <w:p>
            <w:r>
              <w:rPr>
                <w:sz w:val="19"/>
                <w:szCs w:val="19"/>
              </w:rPr>
              <w:t xml:space="preserve">0.500</w:t>
            </w:r>
          </w:p>
        </w:tc>
        <w:tc>
          <w:tcPr>
            <w:tcW w:type="dxa" w:w="1500"/>
            <w:shd w:fill="FFFFFF" w:val="clear"/>
          </w:tcPr>
          <w:p>
            <w:r>
              <w:rPr>
                <w:sz w:val="19"/>
                <w:szCs w:val="19"/>
              </w:rPr>
              <w:t xml:space="preserve">0.652</w:t>
            </w:r>
          </w:p>
        </w:tc>
        <w:tc>
          <w:tcPr>
            <w:tcW w:type="dxa" w:w="1400"/>
            <w:shd w:fill="FFFFFF" w:val="clear"/>
          </w:tcPr>
          <w:p>
            <w:r>
              <w:rPr>
                <w:sz w:val="19"/>
                <w:szCs w:val="19"/>
              </w:rPr>
              <w:t xml:space="preserve">0.230</w:t>
            </w:r>
          </w:p>
        </w:tc>
        <w:tc>
          <w:tcPr>
            <w:tcW w:type="dxa" w:w="1500"/>
            <w:shd w:fill="FFFFFF" w:val="clear"/>
          </w:tcPr>
          <w:p>
            <w:r>
              <w:rPr>
                <w:sz w:val="19"/>
                <w:szCs w:val="19"/>
              </w:rPr>
              <w:t xml:space="preserve">0.643</w:t>
            </w:r>
          </w:p>
        </w:tc>
      </w:tr>
      <w:tr>
        <w:tc>
          <w:tcPr>
            <w:tcW w:type="dxa" w:w="2900"/>
            <w:shd w:fill="F2F6FA" w:val="clear"/>
          </w:tcPr>
          <w:p>
            <w:r>
              <w:rPr>
                <w:sz w:val="19"/>
                <w:szCs w:val="19"/>
              </w:rPr>
              <w:t xml:space="preserve">CatBoost (primary)</w:t>
            </w:r>
          </w:p>
        </w:tc>
        <w:tc>
          <w:tcPr>
            <w:tcW w:type="dxa" w:w="1400"/>
            <w:shd w:fill="F2F6FA" w:val="clear"/>
          </w:tcPr>
          <w:p>
            <w:r>
              <w:rPr>
                <w:sz w:val="19"/>
                <w:szCs w:val="19"/>
              </w:rPr>
              <w:t xml:space="preserve">0.708</w:t>
            </w:r>
          </w:p>
        </w:tc>
        <w:tc>
          <w:tcPr>
            <w:tcW w:type="dxa" w:w="1500"/>
            <w:shd w:fill="F2F6FA" w:val="clear"/>
          </w:tcPr>
          <w:p>
            <w:r>
              <w:rPr>
                <w:sz w:val="19"/>
                <w:szCs w:val="19"/>
              </w:rPr>
              <w:t xml:space="preserve">0.588</w:t>
            </w:r>
          </w:p>
        </w:tc>
        <w:tc>
          <w:tcPr>
            <w:tcW w:type="dxa" w:w="1400"/>
            <w:shd w:fill="F2F6FA" w:val="clear"/>
          </w:tcPr>
          <w:p>
            <w:r>
              <w:rPr>
                <w:sz w:val="19"/>
                <w:szCs w:val="19"/>
              </w:rPr>
              <w:t xml:space="preserve">0.201</w:t>
            </w:r>
          </w:p>
        </w:tc>
        <w:tc>
          <w:tcPr>
            <w:tcW w:type="dxa" w:w="1500"/>
            <w:shd w:fill="F2F6FA" w:val="clear"/>
          </w:tcPr>
          <w:p>
            <w:r>
              <w:rPr>
                <w:sz w:val="19"/>
                <w:szCs w:val="19"/>
              </w:rPr>
              <w:t xml:space="preserve">0.689</w:t>
            </w:r>
          </w:p>
        </w:tc>
      </w:tr>
      <w:tr>
        <w:tc>
          <w:tcPr>
            <w:tcW w:type="dxa" w:w="2900"/>
            <w:shd w:fill="FFFFFF" w:val="clear"/>
          </w:tcPr>
          <w:p>
            <w:r>
              <w:rPr>
                <w:sz w:val="19"/>
                <w:szCs w:val="19"/>
              </w:rPr>
              <w:t xml:space="preserve">CatBoost + borough</w:t>
            </w:r>
          </w:p>
        </w:tc>
        <w:tc>
          <w:tcPr>
            <w:tcW w:type="dxa" w:w="1400"/>
            <w:shd w:fill="FFFFFF" w:val="clear"/>
          </w:tcPr>
          <w:p>
            <w:r>
              <w:rPr>
                <w:sz w:val="19"/>
                <w:szCs w:val="19"/>
              </w:rPr>
              <w:t xml:space="preserve">0.711</w:t>
            </w:r>
          </w:p>
        </w:tc>
        <w:tc>
          <w:tcPr>
            <w:tcW w:type="dxa" w:w="1500"/>
            <w:shd w:fill="FFFFFF" w:val="clear"/>
          </w:tcPr>
          <w:p>
            <w:r>
              <w:rPr>
                <w:sz w:val="19"/>
                <w:szCs w:val="19"/>
              </w:rPr>
              <w:t xml:space="preserve">0.585</w:t>
            </w:r>
          </w:p>
        </w:tc>
        <w:tc>
          <w:tcPr>
            <w:tcW w:type="dxa" w:w="1400"/>
            <w:shd w:fill="FFFFFF" w:val="clear"/>
          </w:tcPr>
          <w:p>
            <w:r>
              <w:rPr>
                <w:sz w:val="19"/>
                <w:szCs w:val="19"/>
              </w:rPr>
              <w:t xml:space="preserve">0.200</w:t>
            </w:r>
          </w:p>
        </w:tc>
        <w:tc>
          <w:tcPr>
            <w:tcW w:type="dxa" w:w="1500"/>
            <w:shd w:fill="FFFFFF" w:val="clear"/>
          </w:tcPr>
          <w:p>
            <w:r>
              <w:rPr>
                <w:sz w:val="19"/>
                <w:szCs w:val="19"/>
              </w:rPr>
              <w:t xml:space="preserve">0.688</w:t>
            </w:r>
          </w:p>
        </w:tc>
      </w:tr>
    </w:tbl>
    <w:p>
      <w:pPr>
        <w:spacing w:after="120" w:line="276"/>
      </w:pPr>
      <w:r>
        <w:t xml:space="preserve">An AUC of 0.708 against a 0.500 no-signal floor confirms genuine but modest predictive signal. This level is expected: individual activity is only weakly predictable from demographics, which is a property of the phenomenon rather than a modelling shortcoming, and it is why borough-level aggregation — where individual noise averages out — yields the more useful signal.</w:t>
      </w:r>
    </w:p>
    <w:p>
      <w:pPr>
        <w:spacing w:after="120" w:line="276"/>
      </w:pPr>
      <w:r>
        <w:t xml:space="preserve">Adding borough identity raised AUC by only 0.004 (0.708 to 0.711). This is direct evidence that borough differences are </w:t>
      </w:r>
      <w:r>
        <w:rPr>
          <w:b/>
          <w:bCs/>
        </w:rPr>
        <w:t xml:space="preserve">largely compositional at the individual level</w:t>
      </w:r>
      <w:r>
        <w:t xml:space="preserve">: who lives in a borough explains most of its activity rate. The small systematic component that remains does not average out, which is why it surfaces clearly in borough-level analysis despite being a weak individual predictor.</w:t>
      </w:r>
    </w:p>
    <w:p>
      <w:pPr>
        <w:pStyle w:val="Heading2"/>
        <w:spacing w:after="90" w:before="180"/>
      </w:pPr>
      <w:r>
        <w:rPr>
          <w:b/>
          <w:bCs/>
          <w:color w:val="2980B9"/>
        </w:rPr>
        <w:t xml:space="preserve">2.2 Calibration</w:t>
      </w:r>
    </w:p>
    <w:p>
      <w:pPr>
        <w:spacing w:after="120" w:line="276"/>
      </w:pPr>
      <w:r>
        <w:t xml:space="preserve">Because borough estimates are formed by averaging predicted probabilities, calibration matters more than ranking. The model was slightly under-confident on the held-out wave (overall predicted minus observed ≈ −0.011), a level shift arising because the training period averaged a lower active rate than the 2022–23 test wave. This ~1 percentage-point bias is the reason borough forecasts are taken from the aggregate series directly rather than from the classifier.</w:t>
      </w:r>
    </w:p>
    <w:p>
      <w:pPr>
        <w:pStyle w:val="Heading2"/>
        <w:spacing w:after="90" w:before="180"/>
      </w:pPr>
      <w:r>
        <w:rPr>
          <w:b/>
          <w:bCs/>
          <w:color w:val="2980B9"/>
        </w:rPr>
        <w:t xml:space="preserve">2.3 Drivers (SHAP)</w:t>
      </w:r>
    </w:p>
    <w:p>
      <w:pPr>
        <w:spacing w:after="120" w:line="276"/>
      </w:pPr>
      <w:r>
        <w:t xml:space="preserve">Ranked by mean absolute SHAP value, the drivers are: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3400"/>
        <w:gridCol w:w="4000"/>
      </w:tblGrid>
      <w:tr>
        <w:trPr>
          <w:tblHeader/>
        </w:trPr>
        <w:tc>
          <w:tcPr>
            <w:tcW w:type="dxa" w:w="1200"/>
            <w:shd w:fill="1F3A5F" w:val="clear"/>
          </w:tcPr>
          <w:p>
            <w:r>
              <w:rPr>
                <w:b/>
                <w:bCs/>
                <w:color w:val="FFFFFF"/>
                <w:sz w:val="19"/>
                <w:szCs w:val="19"/>
              </w:rPr>
              <w:t xml:space="preserve">Rank</w:t>
            </w:r>
          </w:p>
        </w:tc>
        <w:tc>
          <w:tcPr>
            <w:tcW w:type="dxa" w:w="3400"/>
            <w:shd w:fill="1F3A5F" w:val="clear"/>
          </w:tcPr>
          <w:p>
            <w:r>
              <w:rPr>
                <w:b/>
                <w:bCs/>
                <w:color w:val="FFFFFF"/>
                <w:sz w:val="19"/>
                <w:szCs w:val="19"/>
              </w:rPr>
              <w:t xml:space="preserve">Feature</w:t>
            </w:r>
          </w:p>
        </w:tc>
        <w:tc>
          <w:tcPr>
            <w:tcW w:type="dxa" w:w="4000"/>
            <w:shd w:fill="1F3A5F" w:val="clear"/>
          </w:tcPr>
          <w:p>
            <w:r>
              <w:rPr>
                <w:b/>
                <w:bCs/>
                <w:color w:val="FFFFFF"/>
                <w:sz w:val="19"/>
                <w:szCs w:val="19"/>
              </w:rPr>
              <w:t xml:space="preserve">Relative influence (mean |SHAP|)</w:t>
            </w:r>
          </w:p>
        </w:tc>
      </w:tr>
      <w:tr>
        <w:tc>
          <w:tcPr>
            <w:tcW w:type="dxa" w:w="1200"/>
            <w:shd w:fill="FFFFFF" w:val="clear"/>
          </w:tcPr>
          <w:p>
            <w:r>
              <w:rPr>
                <w:sz w:val="19"/>
                <w:szCs w:val="19"/>
              </w:rPr>
              <w:t xml:space="preserve">1</w:t>
            </w:r>
          </w:p>
        </w:tc>
        <w:tc>
          <w:tcPr>
            <w:tcW w:type="dxa" w:w="3400"/>
            <w:shd w:fill="FFFFFF" w:val="clear"/>
          </w:tcPr>
          <w:p>
            <w:r>
              <w:rPr>
                <w:sz w:val="19"/>
                <w:szCs w:val="19"/>
              </w:rPr>
              <w:t xml:space="preserve">Ethnicity</w:t>
            </w:r>
          </w:p>
        </w:tc>
        <w:tc>
          <w:tcPr>
            <w:tcW w:type="dxa" w:w="4000"/>
            <w:shd w:fill="FFFFFF" w:val="clear"/>
          </w:tcPr>
          <w:p>
            <w:r>
              <w:rPr>
                <w:sz w:val="19"/>
                <w:szCs w:val="19"/>
              </w:rPr>
              <w:t xml:space="preserve">highest</w:t>
            </w:r>
          </w:p>
        </w:tc>
      </w:tr>
      <w:tr>
        <w:tc>
          <w:tcPr>
            <w:tcW w:type="dxa" w:w="1200"/>
            <w:shd w:fill="F2F6FA" w:val="clear"/>
          </w:tcPr>
          <w:p>
            <w:r>
              <w:rPr>
                <w:sz w:val="19"/>
                <w:szCs w:val="19"/>
              </w:rPr>
              <w:t xml:space="preserve">2</w:t>
            </w:r>
          </w:p>
        </w:tc>
        <w:tc>
          <w:tcPr>
            <w:tcW w:type="dxa" w:w="3400"/>
            <w:shd w:fill="F2F6FA" w:val="clear"/>
          </w:tcPr>
          <w:p>
            <w:r>
              <w:rPr>
                <w:sz w:val="19"/>
                <w:szCs w:val="19"/>
              </w:rPr>
              <w:t xml:space="preserve">Education</w:t>
            </w:r>
          </w:p>
        </w:tc>
        <w:tc>
          <w:tcPr>
            <w:tcW w:type="dxa" w:w="4000"/>
            <w:shd w:fill="F2F6FA" w:val="clear"/>
          </w:tcPr>
          <w:p>
            <w:r>
              <w:rPr>
                <w:sz w:val="19"/>
                <w:szCs w:val="19"/>
              </w:rPr>
              <w:t xml:space="preserve">high</w:t>
            </w:r>
          </w:p>
        </w:tc>
      </w:tr>
      <w:tr>
        <w:tc>
          <w:tcPr>
            <w:tcW w:type="dxa" w:w="1200"/>
            <w:shd w:fill="FFFFFF" w:val="clear"/>
          </w:tcPr>
          <w:p>
            <w:r>
              <w:rPr>
                <w:sz w:val="19"/>
                <w:szCs w:val="19"/>
              </w:rPr>
              <w:t xml:space="preserve">3</w:t>
            </w:r>
          </w:p>
        </w:tc>
        <w:tc>
          <w:tcPr>
            <w:tcW w:type="dxa" w:w="3400"/>
            <w:shd w:fill="FFFFFF" w:val="clear"/>
          </w:tcPr>
          <w:p>
            <w:r>
              <w:rPr>
                <w:sz w:val="19"/>
                <w:szCs w:val="19"/>
              </w:rPr>
              <w:t xml:space="preserve">BMI</w:t>
            </w:r>
          </w:p>
        </w:tc>
        <w:tc>
          <w:tcPr>
            <w:tcW w:type="dxa" w:w="4000"/>
            <w:shd w:fill="FFFFFF" w:val="clear"/>
          </w:tcPr>
          <w:p>
            <w:r>
              <w:rPr>
                <w:sz w:val="19"/>
                <w:szCs w:val="19"/>
              </w:rPr>
              <w:t xml:space="preserve">high</w:t>
            </w:r>
          </w:p>
        </w:tc>
      </w:tr>
      <w:tr>
        <w:tc>
          <w:tcPr>
            <w:tcW w:type="dxa" w:w="1200"/>
            <w:shd w:fill="F2F6FA" w:val="clear"/>
          </w:tcPr>
          <w:p>
            <w:r>
              <w:rPr>
                <w:sz w:val="19"/>
                <w:szCs w:val="19"/>
              </w:rPr>
              <w:t xml:space="preserve">4</w:t>
            </w:r>
          </w:p>
        </w:tc>
        <w:tc>
          <w:tcPr>
            <w:tcW w:type="dxa" w:w="3400"/>
            <w:shd w:fill="F2F6FA" w:val="clear"/>
          </w:tcPr>
          <w:p>
            <w:r>
              <w:rPr>
                <w:sz w:val="19"/>
                <w:szCs w:val="19"/>
              </w:rPr>
              <w:t xml:space="preserve">Age</w:t>
            </w:r>
          </w:p>
        </w:tc>
        <w:tc>
          <w:tcPr>
            <w:tcW w:type="dxa" w:w="4000"/>
            <w:shd w:fill="F2F6FA" w:val="clear"/>
          </w:tcPr>
          <w:p>
            <w:r>
              <w:rPr>
                <w:sz w:val="19"/>
                <w:szCs w:val="19"/>
              </w:rPr>
              <w:t xml:space="preserve">moderate–high</w:t>
            </w:r>
          </w:p>
        </w:tc>
      </w:tr>
      <w:tr>
        <w:tc>
          <w:tcPr>
            <w:tcW w:type="dxa" w:w="1200"/>
            <w:shd w:fill="FFFFFF" w:val="clear"/>
          </w:tcPr>
          <w:p>
            <w:r>
              <w:rPr>
                <w:sz w:val="19"/>
                <w:szCs w:val="19"/>
              </w:rPr>
              <w:t xml:space="preserve">5</w:t>
            </w:r>
          </w:p>
        </w:tc>
        <w:tc>
          <w:tcPr>
            <w:tcW w:type="dxa" w:w="3400"/>
            <w:shd w:fill="FFFFFF" w:val="clear"/>
          </w:tcPr>
          <w:p>
            <w:r>
              <w:rPr>
                <w:sz w:val="19"/>
                <w:szCs w:val="19"/>
              </w:rPr>
              <w:t xml:space="preserve">Social grade (NS-SEC)</w:t>
            </w:r>
          </w:p>
        </w:tc>
        <w:tc>
          <w:tcPr>
            <w:tcW w:type="dxa" w:w="4000"/>
            <w:shd w:fill="FFFFFF" w:val="clear"/>
          </w:tcPr>
          <w:p>
            <w:r>
              <w:rPr>
                <w:sz w:val="19"/>
                <w:szCs w:val="19"/>
              </w:rPr>
              <w:t xml:space="preserve">moderate</w:t>
            </w:r>
          </w:p>
        </w:tc>
      </w:tr>
      <w:tr>
        <w:tc>
          <w:tcPr>
            <w:tcW w:type="dxa" w:w="1200"/>
            <w:shd w:fill="F2F6FA" w:val="clear"/>
          </w:tcPr>
          <w:p>
            <w:r>
              <w:rPr>
                <w:sz w:val="19"/>
                <w:szCs w:val="19"/>
              </w:rPr>
              <w:t xml:space="preserve">6</w:t>
            </w:r>
          </w:p>
        </w:tc>
        <w:tc>
          <w:tcPr>
            <w:tcW w:type="dxa" w:w="3400"/>
            <w:shd w:fill="F2F6FA" w:val="clear"/>
          </w:tcPr>
          <w:p>
            <w:r>
              <w:rPr>
                <w:sz w:val="19"/>
                <w:szCs w:val="19"/>
              </w:rPr>
              <w:t xml:space="preserve">Disability</w:t>
            </w:r>
          </w:p>
        </w:tc>
        <w:tc>
          <w:tcPr>
            <w:tcW w:type="dxa" w:w="4000"/>
            <w:shd w:fill="F2F6FA" w:val="clear"/>
          </w:tcPr>
          <w:p>
            <w:r>
              <w:rPr>
                <w:sz w:val="19"/>
                <w:szCs w:val="19"/>
              </w:rPr>
              <w:t xml:space="preserve">moderate</w:t>
            </w:r>
          </w:p>
        </w:tc>
      </w:tr>
      <w:tr>
        <w:tc>
          <w:tcPr>
            <w:tcW w:type="dxa" w:w="1200"/>
            <w:shd w:fill="FFFFFF" w:val="clear"/>
          </w:tcPr>
          <w:p>
            <w:r>
              <w:rPr>
                <w:sz w:val="19"/>
                <w:szCs w:val="19"/>
              </w:rPr>
              <w:t xml:space="preserve">7</w:t>
            </w:r>
          </w:p>
        </w:tc>
        <w:tc>
          <w:tcPr>
            <w:tcW w:type="dxa" w:w="3400"/>
            <w:shd w:fill="FFFFFF" w:val="clear"/>
          </w:tcPr>
          <w:p>
            <w:r>
              <w:rPr>
                <w:sz w:val="19"/>
                <w:szCs w:val="19"/>
              </w:rPr>
              <w:t xml:space="preserve">Gender</w:t>
            </w:r>
          </w:p>
        </w:tc>
        <w:tc>
          <w:tcPr>
            <w:tcW w:type="dxa" w:w="4000"/>
            <w:shd w:fill="FFFFFF" w:val="clear"/>
          </w:tcPr>
          <w:p>
            <w:r>
              <w:rPr>
                <w:sz w:val="19"/>
                <w:szCs w:val="19"/>
              </w:rPr>
              <w:t xml:space="preserve">lowest</w:t>
            </w:r>
          </w:p>
        </w:tc>
      </w:tr>
    </w:tbl>
    <w:p>
      <w:pPr>
        <w:spacing w:after="120" w:line="276"/>
      </w:pPr>
      <w:r>
        <w:t xml:space="preserve">The beeswarm view qualifies this ranking: </w:t>
      </w:r>
      <w:r>
        <w:rPr>
          <w:b/>
          <w:bCs/>
        </w:rPr>
        <w:t xml:space="preserve">age has by far the widest spread</w:t>
      </w:r>
      <w:r>
        <w:t xml:space="preserve"> — the oldest bands produce the strongest single push toward inactivity — while ethnicity, education and BMI exert the largest </w:t>
      </w:r>
      <w:r>
        <w:rPr>
          <w:i/>
          <w:iCs/>
        </w:rPr>
        <w:t xml:space="preserve">average</w:t>
      </w:r>
      <w:r>
        <w:t xml:space="preserve"> influence across the population. Gender is the weakest predictor.</w:t>
      </w:r>
    </w:p>
    <w:p>
      <w:pPr>
        <w:spacing w:after="120" w:line="276"/>
      </w:pPr>
      <w:r>
        <w:t xml:space="preserve">One notable pattern: a missing BMI value is strongly associated with inactivity — more so than being in the obese category. Missingness here is informative rather than random, which validates encoding it as an explicit level rather than dropping those respondents. This is an association within the model, not a causal statement.</w:t>
      </w:r>
    </w:p>
    <w:p>
      <w:r>
        <w:br w:type="page"/>
      </w:r>
    </w:p>
    <w:p>
      <w:pPr>
        <w:pStyle w:val="Heading1"/>
        <w:spacing w:after="120" w:before="260"/>
      </w:pPr>
      <w:r>
        <w:rPr>
          <w:b/>
          <w:bCs/>
          <w:color w:val="1F3A5F"/>
        </w:rPr>
        <w:t xml:space="preserve">3. Model choice: strengths and limitations</w:t>
      </w:r>
    </w:p>
    <w:p>
      <w:pPr>
        <w:pStyle w:val="Heading2"/>
        <w:spacing w:after="90" w:before="180"/>
      </w:pPr>
      <w:r>
        <w:rPr>
          <w:b/>
          <w:bCs/>
          <w:color w:val="2980B9"/>
        </w:rPr>
        <w:t xml:space="preserve">3.1 Strengths for this problem</w:t>
      </w:r>
    </w:p>
    <w:p>
      <w:pPr>
        <w:pStyle w:val="ListParagraph"/>
        <w:numPr>
          <w:ilvl w:val="0"/>
          <w:numId w:val="2"/>
        </w:numPr>
        <w:spacing w:after="80"/>
      </w:pPr>
      <w:r>
        <w:rPr>
          <w:b/>
          <w:bCs/>
        </w:rPr>
        <w:t xml:space="preserve">Native categorical handling. </w:t>
      </w:r>
      <w:r>
        <w:t xml:space="preserve">Every predictor is categorical, several with labels that varied across waves; CatBoost ingests them directly, avoiding a fragile one-hot layer and the risk of a missed label variant becoming a spurious separate column.</w:t>
      </w:r>
    </w:p>
    <w:p>
      <w:pPr>
        <w:pStyle w:val="ListParagraph"/>
        <w:numPr>
          <w:ilvl w:val="0"/>
          <w:numId w:val="2"/>
        </w:numPr>
        <w:spacing w:after="80"/>
      </w:pPr>
      <w:r>
        <w:rPr>
          <w:b/>
          <w:bCs/>
        </w:rPr>
        <w:t xml:space="preserve">Strong on tabular data. </w:t>
      </w:r>
      <w:r>
        <w:t xml:space="preserve">Gradient-boosted trees are the reliable choice for structured survey data of this size and shape, capturing non-linearities and interactions (for example age × disability) without manual specification.</w:t>
      </w:r>
    </w:p>
    <w:p>
      <w:pPr>
        <w:pStyle w:val="ListParagraph"/>
        <w:numPr>
          <w:ilvl w:val="0"/>
          <w:numId w:val="2"/>
        </w:numPr>
        <w:spacing w:after="80"/>
      </w:pPr>
      <w:r>
        <w:rPr>
          <w:b/>
          <w:bCs/>
        </w:rPr>
        <w:t xml:space="preserve">Survey-weight support. </w:t>
      </w:r>
      <w:r>
        <w:t xml:space="preserve">Design weights integrate directly into fitting and evaluation, so estimates represent the London population rather than the raw respondent pool.</w:t>
      </w:r>
    </w:p>
    <w:p>
      <w:pPr>
        <w:pStyle w:val="ListParagraph"/>
        <w:numPr>
          <w:ilvl w:val="0"/>
          <w:numId w:val="2"/>
        </w:numPr>
        <w:spacing w:after="80"/>
      </w:pPr>
      <w:r>
        <w:rPr>
          <w:b/>
          <w:bCs/>
        </w:rPr>
        <w:t xml:space="preserve">Interpretability via SHAP. </w:t>
      </w:r>
      <w:r>
        <w:t xml:space="preserve">TreeExplainer provides exact and fast attributions, converting the model into the ranked driver analysis the task requires.</w:t>
      </w:r>
    </w:p>
    <w:p>
      <w:pPr>
        <w:pStyle w:val="ListParagraph"/>
        <w:numPr>
          <w:ilvl w:val="0"/>
          <w:numId w:val="2"/>
        </w:numPr>
        <w:spacing w:after="80"/>
      </w:pPr>
      <w:r>
        <w:rPr>
          <w:b/>
          <w:bCs/>
        </w:rPr>
        <w:t xml:space="preserve">Robust missing-value handling. </w:t>
      </w:r>
      <w:r>
        <w:t xml:space="preserve">Missing categories are modelled rather than imputed or dropped, which surfaced the informative-missingness finding for BMI and retained the full sample.</w:t>
      </w:r>
    </w:p>
    <w:p>
      <w:pPr>
        <w:pStyle w:val="Heading2"/>
        <w:spacing w:after="90" w:before="180"/>
      </w:pPr>
      <w:r>
        <w:rPr>
          <w:b/>
          <w:bCs/>
          <w:color w:val="2980B9"/>
        </w:rPr>
        <w:t xml:space="preserve">3.2 Limitations</w:t>
      </w:r>
    </w:p>
    <w:p>
      <w:pPr>
        <w:pStyle w:val="ListParagraph"/>
        <w:numPr>
          <w:ilvl w:val="0"/>
          <w:numId w:val="2"/>
        </w:numPr>
        <w:spacing w:after="80"/>
      </w:pPr>
      <w:r>
        <w:rPr>
          <w:b/>
          <w:bCs/>
        </w:rPr>
        <w:t xml:space="preserve">Weak individual-level ceiling. </w:t>
      </w:r>
      <w:r>
        <w:t xml:space="preserve">AUC ≈ 0.71 reflects that demographics only weakly predict individual behaviour. This is inherent to the phenomenon, but it means individual-level predictions are not actionable — only aggregates are.</w:t>
      </w:r>
    </w:p>
    <w:p>
      <w:pPr>
        <w:pStyle w:val="ListParagraph"/>
        <w:numPr>
          <w:ilvl w:val="0"/>
          <w:numId w:val="2"/>
        </w:numPr>
        <w:spacing w:after="80"/>
      </w:pPr>
      <w:r>
        <w:rPr>
          <w:b/>
          <w:bCs/>
        </w:rPr>
        <w:t xml:space="preserve">No native extrapolation. </w:t>
      </w:r>
      <w:r>
        <w:t xml:space="preserve">Tree models cannot predict beyond the range they were trained on, so the classifier cannot forecast future waves; forward projection had to be performed separately on the aggregate series.</w:t>
      </w:r>
    </w:p>
    <w:p>
      <w:pPr>
        <w:pStyle w:val="ListParagraph"/>
        <w:numPr>
          <w:ilvl w:val="0"/>
          <w:numId w:val="2"/>
        </w:numPr>
        <w:spacing w:after="80"/>
      </w:pPr>
      <w:r>
        <w:rPr>
          <w:b/>
          <w:bCs/>
        </w:rPr>
        <w:t xml:space="preserve">Calibration drift over time. </w:t>
      </w:r>
      <w:r>
        <w:t xml:space="preserve">The model reproduces the training-era level and lags a shifting baseline, producing the ~1 percentage-point bias on the held-out wave. Acceptable for explanation, but the reason it is not used for forecasting.</w:t>
      </w:r>
    </w:p>
    <w:p>
      <w:pPr>
        <w:pStyle w:val="ListParagraph"/>
        <w:numPr>
          <w:ilvl w:val="0"/>
          <w:numId w:val="2"/>
        </w:numPr>
        <w:spacing w:after="80"/>
      </w:pPr>
      <w:r>
        <w:rPr>
          <w:b/>
          <w:bCs/>
        </w:rPr>
        <w:t xml:space="preserve">Ecological gap. </w:t>
      </w:r>
      <w:r>
        <w:t xml:space="preserve">The model explains individuals, whereas the headline borough finding lives at borough level. Bridging the two required a separate residual analysis rather than the model alone.</w:t>
      </w:r>
    </w:p>
    <w:p>
      <w:pPr>
        <w:pStyle w:val="ListParagraph"/>
        <w:numPr>
          <w:ilvl w:val="0"/>
          <w:numId w:val="2"/>
        </w:numPr>
        <w:spacing w:after="80"/>
      </w:pPr>
      <w:r>
        <w:rPr>
          <w:b/>
          <w:bCs/>
        </w:rPr>
        <w:t xml:space="preserve">Correlational, not causal. </w:t>
      </w:r>
      <w:r>
        <w:t xml:space="preserve">SHAP attributions describe how the model uses features, not causal effects; no causal claim is made about any driver.</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2026-08-11T11:44:28.371Z</dcterms:created>
  <dcterms:modified xsi:type="dcterms:W3CDTF">2026-08-11T11:44:28.384Z</dcterms:modified>
</cp:coreProperties>
</file>

<file path=docProps/custom.xml><?xml version="1.0" encoding="utf-8"?>
<Properties xmlns="http://schemas.openxmlformats.org/officeDocument/2006/custom-properties" xmlns:vt="http://schemas.openxmlformats.org/officeDocument/2006/docPropsVTypes"/>
</file>