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A498DC" w14:textId="77777777" w:rsidR="00225705" w:rsidRPr="00664531" w:rsidRDefault="007B1A62" w:rsidP="00664531">
      <w:pPr>
        <w:jc w:val="center"/>
        <w:rPr>
          <w:rFonts w:ascii="Calibri" w:hAnsi="Calibri" w:cs="Calibri"/>
          <w:color w:val="000000" w:themeColor="text1"/>
          <w:sz w:val="24"/>
          <w:szCs w:val="24"/>
        </w:rPr>
      </w:pPr>
      <w:r w:rsidRPr="00664531">
        <w:rPr>
          <w:rFonts w:ascii="Calibri" w:hAnsi="Calibri" w:cs="Calibri"/>
          <w:b/>
          <w:color w:val="000000" w:themeColor="text1"/>
          <w:sz w:val="24"/>
          <w:szCs w:val="24"/>
        </w:rPr>
        <w:t>Population Segmentation and Machine Learning Classification</w:t>
      </w:r>
      <w:r w:rsidRPr="00664531">
        <w:rPr>
          <w:rFonts w:ascii="Calibri" w:hAnsi="Calibri" w:cs="Calibri"/>
          <w:b/>
          <w:color w:val="000000" w:themeColor="text1"/>
          <w:sz w:val="24"/>
          <w:szCs w:val="24"/>
        </w:rPr>
        <w:br/>
      </w:r>
      <w:r w:rsidRPr="00664531">
        <w:rPr>
          <w:rFonts w:ascii="Calibri" w:hAnsi="Calibri" w:cs="Calibri"/>
          <w:color w:val="000000" w:themeColor="text1"/>
          <w:sz w:val="24"/>
          <w:szCs w:val="24"/>
        </w:rPr>
        <w:t>Exploratory Clustering + Prediction Approach</w:t>
      </w:r>
    </w:p>
    <w:p w14:paraId="2788A776"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Executive Summary</w:t>
      </w:r>
    </w:p>
    <w:p w14:paraId="1026EFF4"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An exploratory Clustering + Prediction framework was developed to investigate whether demographic segmentation followed by supervised machine-learning classification could be used to understand physical activity participation within the London Active Lives Survey population. K-Modes clustering was selected because the principal segmentation variables were categorical. The selected variables included age band, gender, ethnicity, education, NS-SEC, disability status, and borough. The clustering stage produced groups of individuals with similar observed characteristics.</w:t>
      </w:r>
    </w:p>
    <w:p w14:paraId="40D03038"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A supervised classification stage was subsequently explored to predict whether an individual met the recommended 150+ minutes of physical activity per week. Logistic Regression, Decision Tree, Random Forest, and Gradient Boosting were compared using accuracy, Macro Precision, Macro Recall and Macro F1, alongside cross-validation performance.</w:t>
      </w:r>
    </w:p>
    <w:p w14:paraId="0DD6A040"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Gradient Boosting achieved the highest overall test accuracy (67.93%) and cross-validation accuracy (68.07%). However, its Macro F1 score was substantially lower (0.363), indicating weaker balanced performance across the two classes. Random Forest achieved a lower test accuracy of 54.03%, but obtained the highest Test Macro F1 (0.428), with a comparable cross-validation Macro F1 of 0.426. Consequently, Random Forest was preferred for the exploratory classification analysis when balanced classification performance was prioritised over accuracy alone.</w:t>
      </w:r>
    </w:p>
    <w:p w14:paraId="7DCE6ACC"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The train–cross-validation accuracy gaps also provided useful information about model behaviour. Gradient Boosting had a very small gap of 0.001, indicating little evidence of overfitting according to this measure, whereas Random Forest showed a moderate gap of 0.033. Therefore, the lower Macro F1 of Gradient Boosting should not be interpreted primarily as a consequence of overfitting; rather, its high accuracy was accompanied by weaker balanced class performance.</w:t>
      </w:r>
    </w:p>
    <w:p w14:paraId="72E4131C"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The main limitation was methodological rather than simply predictive performance. Survey Year was not included in this experimental setup, meaning that the framework primarily captured cross-sectional relationships between individual characteristics and current activity status. It therefore did not learn temporal changes and could not directly generate future participation forecasts. Because the wider project objective is to forecast future participation and support longer-term policy planning, this approach was retained as exploratory work rather than the final methodology.</w:t>
      </w:r>
    </w:p>
    <w:p w14:paraId="53019C67"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1. Introduction</w:t>
      </w:r>
    </w:p>
    <w:p w14:paraId="7FD9FE0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project investigates physical activity participation using the Sport England Active Lives Survey, with particular focus on London. The survey contains demographic, socioeconomic, geographical and activity-related variables. An exploratory question was whether the population could first be divided into meaningful groups with similar characteristics and then modelled using supervised machine learning.</w:t>
      </w:r>
    </w:p>
    <w:p w14:paraId="68F3078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This led to a two-stage Clustering + Prediction approach. The first stage was unsupervised population segmentation using K-Modes. The second stage was supervised classification, where several machine-</w:t>
      </w:r>
      <w:r w:rsidRPr="00664531">
        <w:rPr>
          <w:rFonts w:ascii="Calibri" w:hAnsi="Calibri" w:cs="Calibri"/>
          <w:color w:val="000000" w:themeColor="text1"/>
          <w:sz w:val="24"/>
          <w:szCs w:val="24"/>
        </w:rPr>
        <w:lastRenderedPageBreak/>
        <w:t>learning algorithms were compared for predicting whether respondents achieved the 150+ minutes/week physical activity guideline.</w:t>
      </w:r>
    </w:p>
    <w:p w14:paraId="4E743CF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experiment was intended to assess both predictive feasibility and whether demographic segmentation provided a useful structure for the wider project.</w:t>
      </w:r>
    </w:p>
    <w:p w14:paraId="5C541D7B"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2. Experimental Setup</w:t>
      </w:r>
    </w:p>
    <w:p w14:paraId="21FBEFA5"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2.1 Dataset and analytical unit</w:t>
      </w:r>
    </w:p>
    <w:p w14:paraId="59255F5C"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experiment used the London component of the Sport England Active Lives Survey. The analytical unit was the individual survey respondent. The classification target represented whether the respondent achieved at least 150 minutes of physical activity per week.</w:t>
      </w:r>
    </w:p>
    <w:p w14:paraId="09C84523"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2.2 Target variable</w:t>
      </w:r>
    </w:p>
    <w:p w14:paraId="6310F4B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prediction task was formulated as binary classification: meeting versus not meeting the recommended 150+ minutes/week activity threshold. This produced a policy-oriented outcome that could be directly interpreted as guideline attainment.</w:t>
      </w:r>
    </w:p>
    <w:p w14:paraId="1C89796F"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2.3 Variables used for segmentation</w:t>
      </w:r>
    </w:p>
    <w:tbl>
      <w:tblPr>
        <w:tblStyle w:val="TableGrid"/>
        <w:tblW w:w="0" w:type="auto"/>
        <w:jc w:val="center"/>
        <w:tblLook w:val="04A0" w:firstRow="1" w:lastRow="0" w:firstColumn="1" w:lastColumn="0" w:noHBand="0" w:noVBand="1"/>
      </w:tblPr>
      <w:tblGrid>
        <w:gridCol w:w="3312"/>
        <w:gridCol w:w="3312"/>
        <w:gridCol w:w="3312"/>
      </w:tblGrid>
      <w:tr w:rsidR="00225705" w:rsidRPr="00664531" w14:paraId="19A9746E" w14:textId="77777777">
        <w:trPr>
          <w:jc w:val="center"/>
        </w:trPr>
        <w:tc>
          <w:tcPr>
            <w:tcW w:w="3312" w:type="dxa"/>
          </w:tcPr>
          <w:p w14:paraId="61046672"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Variable</w:t>
            </w:r>
          </w:p>
        </w:tc>
        <w:tc>
          <w:tcPr>
            <w:tcW w:w="3312" w:type="dxa"/>
          </w:tcPr>
          <w:p w14:paraId="00DB1C6D"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Role</w:t>
            </w:r>
          </w:p>
        </w:tc>
        <w:tc>
          <w:tcPr>
            <w:tcW w:w="3312" w:type="dxa"/>
          </w:tcPr>
          <w:p w14:paraId="70DE427C"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Purpose</w:t>
            </w:r>
          </w:p>
        </w:tc>
      </w:tr>
      <w:tr w:rsidR="00225705" w:rsidRPr="00664531" w14:paraId="0813C2E0" w14:textId="77777777">
        <w:trPr>
          <w:jc w:val="center"/>
        </w:trPr>
        <w:tc>
          <w:tcPr>
            <w:tcW w:w="3312" w:type="dxa"/>
          </w:tcPr>
          <w:p w14:paraId="14E455B0"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Age_4Band</w:t>
            </w:r>
          </w:p>
        </w:tc>
        <w:tc>
          <w:tcPr>
            <w:tcW w:w="3312" w:type="dxa"/>
          </w:tcPr>
          <w:p w14:paraId="16B7FD7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Demographic</w:t>
            </w:r>
          </w:p>
        </w:tc>
        <w:tc>
          <w:tcPr>
            <w:tcW w:w="3312" w:type="dxa"/>
          </w:tcPr>
          <w:p w14:paraId="2B842888"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Represents broad age differences</w:t>
            </w:r>
          </w:p>
        </w:tc>
      </w:tr>
      <w:tr w:rsidR="00225705" w:rsidRPr="00664531" w14:paraId="7A40D948" w14:textId="77777777">
        <w:trPr>
          <w:jc w:val="center"/>
        </w:trPr>
        <w:tc>
          <w:tcPr>
            <w:tcW w:w="3312" w:type="dxa"/>
          </w:tcPr>
          <w:p w14:paraId="7927BA3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Gend3</w:t>
            </w:r>
          </w:p>
        </w:tc>
        <w:tc>
          <w:tcPr>
            <w:tcW w:w="3312" w:type="dxa"/>
          </w:tcPr>
          <w:p w14:paraId="041F4AE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Demographic</w:t>
            </w:r>
          </w:p>
        </w:tc>
        <w:tc>
          <w:tcPr>
            <w:tcW w:w="3312" w:type="dxa"/>
          </w:tcPr>
          <w:p w14:paraId="3F88B2D1"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Captures gender-related differences</w:t>
            </w:r>
          </w:p>
        </w:tc>
      </w:tr>
      <w:tr w:rsidR="00225705" w:rsidRPr="00664531" w14:paraId="2592A3F3" w14:textId="77777777">
        <w:trPr>
          <w:jc w:val="center"/>
        </w:trPr>
        <w:tc>
          <w:tcPr>
            <w:tcW w:w="3312" w:type="dxa"/>
          </w:tcPr>
          <w:p w14:paraId="24DCABCC"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Eth7</w:t>
            </w:r>
          </w:p>
        </w:tc>
        <w:tc>
          <w:tcPr>
            <w:tcW w:w="3312" w:type="dxa"/>
          </w:tcPr>
          <w:p w14:paraId="40B788B3"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Demographic</w:t>
            </w:r>
          </w:p>
        </w:tc>
        <w:tc>
          <w:tcPr>
            <w:tcW w:w="3312" w:type="dxa"/>
          </w:tcPr>
          <w:p w14:paraId="5C0421D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Represents ethnicity categories</w:t>
            </w:r>
          </w:p>
        </w:tc>
      </w:tr>
      <w:tr w:rsidR="00225705" w:rsidRPr="00664531" w14:paraId="06758559" w14:textId="77777777">
        <w:trPr>
          <w:jc w:val="center"/>
        </w:trPr>
        <w:tc>
          <w:tcPr>
            <w:tcW w:w="3312" w:type="dxa"/>
          </w:tcPr>
          <w:p w14:paraId="05A8644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Educ6</w:t>
            </w:r>
          </w:p>
        </w:tc>
        <w:tc>
          <w:tcPr>
            <w:tcW w:w="3312" w:type="dxa"/>
          </w:tcPr>
          <w:p w14:paraId="281B470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Socioeconomic</w:t>
            </w:r>
          </w:p>
        </w:tc>
        <w:tc>
          <w:tcPr>
            <w:tcW w:w="3312" w:type="dxa"/>
          </w:tcPr>
          <w:p w14:paraId="398034C7"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Captures educational background</w:t>
            </w:r>
          </w:p>
        </w:tc>
      </w:tr>
      <w:tr w:rsidR="00225705" w:rsidRPr="00664531" w14:paraId="3E138352" w14:textId="77777777">
        <w:trPr>
          <w:jc w:val="center"/>
        </w:trPr>
        <w:tc>
          <w:tcPr>
            <w:tcW w:w="3312" w:type="dxa"/>
          </w:tcPr>
          <w:p w14:paraId="65894CA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NSSEC5</w:t>
            </w:r>
          </w:p>
        </w:tc>
        <w:tc>
          <w:tcPr>
            <w:tcW w:w="3312" w:type="dxa"/>
          </w:tcPr>
          <w:p w14:paraId="5F4E4150"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Socioeconomic</w:t>
            </w:r>
          </w:p>
        </w:tc>
        <w:tc>
          <w:tcPr>
            <w:tcW w:w="3312" w:type="dxa"/>
          </w:tcPr>
          <w:p w14:paraId="582C7F11"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Represents socioeconomic/occupational position</w:t>
            </w:r>
          </w:p>
        </w:tc>
      </w:tr>
      <w:tr w:rsidR="00225705" w:rsidRPr="00664531" w14:paraId="3527D6EC" w14:textId="77777777">
        <w:trPr>
          <w:jc w:val="center"/>
        </w:trPr>
        <w:tc>
          <w:tcPr>
            <w:tcW w:w="3312" w:type="dxa"/>
          </w:tcPr>
          <w:p w14:paraId="0DA1B9F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Disab3</w:t>
            </w:r>
          </w:p>
        </w:tc>
        <w:tc>
          <w:tcPr>
            <w:tcW w:w="3312" w:type="dxa"/>
          </w:tcPr>
          <w:p w14:paraId="1067A55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Health/demographic</w:t>
            </w:r>
          </w:p>
        </w:tc>
        <w:tc>
          <w:tcPr>
            <w:tcW w:w="3312" w:type="dxa"/>
          </w:tcPr>
          <w:p w14:paraId="733E394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Captures disability status</w:t>
            </w:r>
          </w:p>
        </w:tc>
      </w:tr>
      <w:tr w:rsidR="00225705" w:rsidRPr="00664531" w14:paraId="5A0B6795" w14:textId="77777777">
        <w:trPr>
          <w:jc w:val="center"/>
        </w:trPr>
        <w:tc>
          <w:tcPr>
            <w:tcW w:w="3312" w:type="dxa"/>
          </w:tcPr>
          <w:p w14:paraId="546CE0E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Borough</w:t>
            </w:r>
          </w:p>
        </w:tc>
        <w:tc>
          <w:tcPr>
            <w:tcW w:w="3312" w:type="dxa"/>
          </w:tcPr>
          <w:p w14:paraId="6FFC7DC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Geographical</w:t>
            </w:r>
          </w:p>
        </w:tc>
        <w:tc>
          <w:tcPr>
            <w:tcW w:w="3312" w:type="dxa"/>
          </w:tcPr>
          <w:p w14:paraId="4471BA78"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Represents London location</w:t>
            </w:r>
          </w:p>
        </w:tc>
      </w:tr>
    </w:tbl>
    <w:p w14:paraId="02919EBE"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clustering feature set focused on demographic, socioeconomic, health and geographical characteristics rather than the detailed activity variables. This allowed the experiment to examine population structure independently of the final activity outcome.</w:t>
      </w:r>
    </w:p>
    <w:p w14:paraId="278389CF"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2.4 Why K-Modes?</w:t>
      </w:r>
    </w:p>
    <w:p w14:paraId="7C4A992C"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principal clustering variables were categorical. Standard K-Means relies on numerical centroids and distance measures, making it inappropriate for directly representing nominal categories. K-Modes provides a categorical alternative by using matching-based dissimilarity and cluster modes rather than numerical means. It was therefore a suitable choice for the selected survey variables.</w:t>
      </w:r>
    </w:p>
    <w:p w14:paraId="54E32F0F"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lastRenderedPageBreak/>
        <w:t>2.5 Classification models compared</w:t>
      </w:r>
    </w:p>
    <w:tbl>
      <w:tblPr>
        <w:tblStyle w:val="TableGrid"/>
        <w:tblW w:w="0" w:type="auto"/>
        <w:tblLook w:val="04A0" w:firstRow="1" w:lastRow="0" w:firstColumn="1" w:lastColumn="0" w:noHBand="0" w:noVBand="1"/>
      </w:tblPr>
      <w:tblGrid>
        <w:gridCol w:w="3312"/>
        <w:gridCol w:w="3312"/>
        <w:gridCol w:w="3312"/>
      </w:tblGrid>
      <w:tr w:rsidR="00225705" w:rsidRPr="00664531" w14:paraId="38AF8B1C" w14:textId="77777777">
        <w:tc>
          <w:tcPr>
            <w:tcW w:w="3312" w:type="dxa"/>
          </w:tcPr>
          <w:p w14:paraId="2A9138E1"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Model</w:t>
            </w:r>
          </w:p>
        </w:tc>
        <w:tc>
          <w:tcPr>
            <w:tcW w:w="3312" w:type="dxa"/>
          </w:tcPr>
          <w:p w14:paraId="203FCED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Type</w:t>
            </w:r>
          </w:p>
        </w:tc>
        <w:tc>
          <w:tcPr>
            <w:tcW w:w="3312" w:type="dxa"/>
          </w:tcPr>
          <w:p w14:paraId="4AEE729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Role</w:t>
            </w:r>
          </w:p>
        </w:tc>
      </w:tr>
      <w:tr w:rsidR="00225705" w:rsidRPr="00664531" w14:paraId="65CD208E" w14:textId="77777777">
        <w:tc>
          <w:tcPr>
            <w:tcW w:w="3312" w:type="dxa"/>
          </w:tcPr>
          <w:p w14:paraId="4178931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Logistic Regression</w:t>
            </w:r>
          </w:p>
        </w:tc>
        <w:tc>
          <w:tcPr>
            <w:tcW w:w="3312" w:type="dxa"/>
          </w:tcPr>
          <w:p w14:paraId="49B035C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Linear classification</w:t>
            </w:r>
          </w:p>
        </w:tc>
        <w:tc>
          <w:tcPr>
            <w:tcW w:w="3312" w:type="dxa"/>
          </w:tcPr>
          <w:p w14:paraId="080C956D"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Baseline</w:t>
            </w:r>
          </w:p>
        </w:tc>
      </w:tr>
      <w:tr w:rsidR="00225705" w:rsidRPr="00664531" w14:paraId="12D6755A" w14:textId="77777777">
        <w:tc>
          <w:tcPr>
            <w:tcW w:w="3312" w:type="dxa"/>
          </w:tcPr>
          <w:p w14:paraId="0966DD01"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Decision Tree</w:t>
            </w:r>
          </w:p>
        </w:tc>
        <w:tc>
          <w:tcPr>
            <w:tcW w:w="3312" w:type="dxa"/>
          </w:tcPr>
          <w:p w14:paraId="4A3914AD"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Tree-based classification</w:t>
            </w:r>
          </w:p>
        </w:tc>
        <w:tc>
          <w:tcPr>
            <w:tcW w:w="3312" w:type="dxa"/>
          </w:tcPr>
          <w:p w14:paraId="0ADB1C3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Simple non-linear baseline</w:t>
            </w:r>
          </w:p>
        </w:tc>
      </w:tr>
      <w:tr w:rsidR="00225705" w:rsidRPr="00664531" w14:paraId="6717420C" w14:textId="77777777">
        <w:tc>
          <w:tcPr>
            <w:tcW w:w="3312" w:type="dxa"/>
          </w:tcPr>
          <w:p w14:paraId="4860AB7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Random Forest</w:t>
            </w:r>
          </w:p>
        </w:tc>
        <w:tc>
          <w:tcPr>
            <w:tcW w:w="3312" w:type="dxa"/>
          </w:tcPr>
          <w:p w14:paraId="3F9F407C"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Bagged tree ensemble</w:t>
            </w:r>
          </w:p>
        </w:tc>
        <w:tc>
          <w:tcPr>
            <w:tcW w:w="3312" w:type="dxa"/>
          </w:tcPr>
          <w:p w14:paraId="5B79B4B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Main ensemble candidate</w:t>
            </w:r>
          </w:p>
        </w:tc>
      </w:tr>
      <w:tr w:rsidR="00225705" w:rsidRPr="00664531" w14:paraId="79E40ADC" w14:textId="77777777">
        <w:tc>
          <w:tcPr>
            <w:tcW w:w="3312" w:type="dxa"/>
          </w:tcPr>
          <w:p w14:paraId="024DB79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Gradient Boosting</w:t>
            </w:r>
          </w:p>
        </w:tc>
        <w:tc>
          <w:tcPr>
            <w:tcW w:w="3312" w:type="dxa"/>
          </w:tcPr>
          <w:p w14:paraId="7A886DD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Boosted tree ensemble</w:t>
            </w:r>
          </w:p>
        </w:tc>
        <w:tc>
          <w:tcPr>
            <w:tcW w:w="3312" w:type="dxa"/>
          </w:tcPr>
          <w:p w14:paraId="5EEB09CE"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Alternative ensemble candidate</w:t>
            </w:r>
          </w:p>
        </w:tc>
      </w:tr>
    </w:tbl>
    <w:p w14:paraId="3C8190C2"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2.6 Evaluation metrics</w:t>
      </w:r>
    </w:p>
    <w:p w14:paraId="519B3F76"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Accuracy, precision, recall and Macro F1 were used for comparison. Macro F1 was particularly important because it gives equal weight to the classes and therefore provides a more balanced assessment when class frequencies differ.</w:t>
      </w:r>
    </w:p>
    <w:p w14:paraId="4BDE7BAA"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3. Experimental Workflow</w:t>
      </w:r>
    </w:p>
    <w:p w14:paraId="313B14E1"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Active Lives Survey data</w:t>
      </w:r>
    </w:p>
    <w:p w14:paraId="429CD9B3"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Selection of demographic, socioeconomic, health and geographical variables</w:t>
      </w:r>
    </w:p>
    <w:p w14:paraId="16587954"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Categorical data preparation</w:t>
      </w:r>
    </w:p>
    <w:p w14:paraId="5B334210"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K-</w:t>
      </w:r>
      <w:proofErr w:type="gramStart"/>
      <w:r w:rsidRPr="00664531">
        <w:rPr>
          <w:rFonts w:ascii="Calibri" w:hAnsi="Calibri" w:cs="Calibri"/>
          <w:color w:val="000000" w:themeColor="text1"/>
          <w:sz w:val="24"/>
          <w:szCs w:val="24"/>
        </w:rPr>
        <w:t>Modes</w:t>
      </w:r>
      <w:proofErr w:type="gramEnd"/>
      <w:r w:rsidRPr="00664531">
        <w:rPr>
          <w:rFonts w:ascii="Calibri" w:hAnsi="Calibri" w:cs="Calibri"/>
          <w:color w:val="000000" w:themeColor="text1"/>
          <w:sz w:val="24"/>
          <w:szCs w:val="24"/>
        </w:rPr>
        <w:t xml:space="preserve"> clustering</w:t>
      </w:r>
    </w:p>
    <w:p w14:paraId="587A42A4"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assignment and cluster-profile interpretation</w:t>
      </w:r>
    </w:p>
    <w:p w14:paraId="655B7DD2"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Construction of the 150+ minutes/week classification target</w:t>
      </w:r>
    </w:p>
    <w:p w14:paraId="01F6BEE1"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Training and comparison of Logistic Regression, Decision Tree, Random Forest and Gradient Boosting</w:t>
      </w:r>
    </w:p>
    <w:p w14:paraId="72056C31"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Evaluation using accuracy, precision, recall and Macro F1</w:t>
      </w:r>
    </w:p>
    <w:p w14:paraId="55148552" w14:textId="77777777" w:rsidR="00225705" w:rsidRPr="00664531" w:rsidRDefault="007B1A62" w:rsidP="00664531">
      <w:pPr>
        <w:pStyle w:val="ListNumber"/>
        <w:jc w:val="both"/>
        <w:rPr>
          <w:rFonts w:ascii="Calibri" w:hAnsi="Calibri" w:cs="Calibri"/>
          <w:color w:val="000000" w:themeColor="text1"/>
          <w:sz w:val="24"/>
          <w:szCs w:val="24"/>
        </w:rPr>
      </w:pPr>
      <w:r w:rsidRPr="00664531">
        <w:rPr>
          <w:rFonts w:ascii="Calibri" w:hAnsi="Calibri" w:cs="Calibri"/>
          <w:color w:val="000000" w:themeColor="text1"/>
          <w:sz w:val="24"/>
          <w:szCs w:val="24"/>
        </w:rPr>
        <w:t>Selection and interpretation of the strongest classifier</w:t>
      </w:r>
    </w:p>
    <w:p w14:paraId="0F4B6C64"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4. Clustering Results</w:t>
      </w:r>
    </w:p>
    <w:p w14:paraId="5B89E462"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4.1 Population segmentation</w:t>
      </w:r>
    </w:p>
    <w:p w14:paraId="540B7C4F"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K-Modes produced demographic segments within the survey population. Each cluster represents respondents sharing similar combinations of the categorical variables supplied to the algorithm. The clusters provide a descriptive representation of population heterogeneity rather than causal categories.</w:t>
      </w:r>
    </w:p>
    <w:p w14:paraId="57ACD470"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interpretation should therefore be based on the dominant characteristics of each segment. A cluster does not imply that its defining characteristics cause physical activity behaviour; it describes similarity under the selected feature representation.</w:t>
      </w:r>
    </w:p>
    <w:p w14:paraId="1C5EC28D"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4.2 Cluster outputs</w:t>
      </w:r>
    </w:p>
    <w:tbl>
      <w:tblPr>
        <w:tblStyle w:val="TableGrid"/>
        <w:tblW w:w="0" w:type="auto"/>
        <w:tblLook w:val="04A0" w:firstRow="1" w:lastRow="0" w:firstColumn="1" w:lastColumn="0" w:noHBand="0" w:noVBand="1"/>
      </w:tblPr>
      <w:tblGrid>
        <w:gridCol w:w="3312"/>
        <w:gridCol w:w="3312"/>
        <w:gridCol w:w="3312"/>
      </w:tblGrid>
      <w:tr w:rsidR="00225705" w:rsidRPr="00664531" w14:paraId="49F817DD" w14:textId="77777777">
        <w:tc>
          <w:tcPr>
            <w:tcW w:w="3312" w:type="dxa"/>
          </w:tcPr>
          <w:p w14:paraId="7A5A6A58"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Output</w:t>
            </w:r>
          </w:p>
        </w:tc>
        <w:tc>
          <w:tcPr>
            <w:tcW w:w="3312" w:type="dxa"/>
          </w:tcPr>
          <w:p w14:paraId="79AEAAF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Meaning</w:t>
            </w:r>
          </w:p>
        </w:tc>
        <w:tc>
          <w:tcPr>
            <w:tcW w:w="3312" w:type="dxa"/>
          </w:tcPr>
          <w:p w14:paraId="3CE22026"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Use</w:t>
            </w:r>
          </w:p>
        </w:tc>
      </w:tr>
      <w:tr w:rsidR="00225705" w:rsidRPr="00664531" w14:paraId="46C139FD" w14:textId="77777777">
        <w:tc>
          <w:tcPr>
            <w:tcW w:w="3312" w:type="dxa"/>
          </w:tcPr>
          <w:p w14:paraId="4DB84CC1"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label</w:t>
            </w:r>
          </w:p>
        </w:tc>
        <w:tc>
          <w:tcPr>
            <w:tcW w:w="3312" w:type="dxa"/>
          </w:tcPr>
          <w:p w14:paraId="32656F4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Segment assigned to each respondent</w:t>
            </w:r>
          </w:p>
        </w:tc>
        <w:tc>
          <w:tcPr>
            <w:tcW w:w="3312" w:type="dxa"/>
          </w:tcPr>
          <w:p w14:paraId="786B484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Links respondents to a population segment</w:t>
            </w:r>
          </w:p>
        </w:tc>
      </w:tr>
      <w:tr w:rsidR="00225705" w:rsidRPr="00664531" w14:paraId="62CDC4C5" w14:textId="77777777">
        <w:tc>
          <w:tcPr>
            <w:tcW w:w="3312" w:type="dxa"/>
          </w:tcPr>
          <w:p w14:paraId="7DDA8988"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profile</w:t>
            </w:r>
          </w:p>
        </w:tc>
        <w:tc>
          <w:tcPr>
            <w:tcW w:w="3312" w:type="dxa"/>
          </w:tcPr>
          <w:p w14:paraId="43DB127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 xml:space="preserve">Dominant categorical </w:t>
            </w:r>
            <w:r w:rsidRPr="00664531">
              <w:rPr>
                <w:rFonts w:ascii="Calibri" w:hAnsi="Calibri" w:cs="Calibri"/>
                <w:color w:val="000000" w:themeColor="text1"/>
                <w:sz w:val="24"/>
                <w:szCs w:val="24"/>
              </w:rPr>
              <w:lastRenderedPageBreak/>
              <w:t>characteristics</w:t>
            </w:r>
          </w:p>
        </w:tc>
        <w:tc>
          <w:tcPr>
            <w:tcW w:w="3312" w:type="dxa"/>
          </w:tcPr>
          <w:p w14:paraId="465FC322"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lastRenderedPageBreak/>
              <w:t>Supports interpretation</w:t>
            </w:r>
          </w:p>
        </w:tc>
      </w:tr>
      <w:tr w:rsidR="00225705" w:rsidRPr="00664531" w14:paraId="65D6A401" w14:textId="77777777">
        <w:tc>
          <w:tcPr>
            <w:tcW w:w="3312" w:type="dxa"/>
          </w:tcPr>
          <w:p w14:paraId="0B02961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distribution</w:t>
            </w:r>
          </w:p>
        </w:tc>
        <w:tc>
          <w:tcPr>
            <w:tcW w:w="3312" w:type="dxa"/>
          </w:tcPr>
          <w:p w14:paraId="7D4549C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Number/proportion of respondents in each segment</w:t>
            </w:r>
          </w:p>
        </w:tc>
        <w:tc>
          <w:tcPr>
            <w:tcW w:w="3312" w:type="dxa"/>
          </w:tcPr>
          <w:p w14:paraId="662CF598"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Shows prevalence of segments</w:t>
            </w:r>
          </w:p>
        </w:tc>
      </w:tr>
    </w:tbl>
    <w:p w14:paraId="765EA7C1"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5. Prediction Results</w:t>
      </w:r>
    </w:p>
    <w:p w14:paraId="28569ECF"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5.1 Classification task</w:t>
      </w:r>
    </w:p>
    <w:p w14:paraId="1E17433E"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classification stage predicted whether respondents met the 150+ minutes/week guideline. Candidate models were trained and evaluated under the same general framework to support empirical model selection.</w:t>
      </w:r>
    </w:p>
    <w:p w14:paraId="7D7B6568"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5.2 Model comparison</w:t>
      </w:r>
    </w:p>
    <w:p w14:paraId="1F1D4ED7"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The four classification models were evaluated using test-set performance and cross-validation results. Accuracy was considered alongside Macro Precision, Macro Recall and Macro F1 to avoid relying solely on overall classification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973"/>
        <w:gridCol w:w="1016"/>
        <w:gridCol w:w="752"/>
        <w:gridCol w:w="736"/>
        <w:gridCol w:w="967"/>
        <w:gridCol w:w="730"/>
        <w:gridCol w:w="977"/>
        <w:gridCol w:w="740"/>
        <w:gridCol w:w="936"/>
        <w:gridCol w:w="1028"/>
      </w:tblGrid>
      <w:tr w:rsidR="00A742B7" w:rsidRPr="00664531" w14:paraId="0B60ABC4" w14:textId="77777777">
        <w:trPr>
          <w:tblHeader/>
          <w:tblCellSpacing w:w="15" w:type="dxa"/>
        </w:trPr>
        <w:tc>
          <w:tcPr>
            <w:tcW w:w="0" w:type="auto"/>
            <w:vAlign w:val="center"/>
            <w:hideMark/>
          </w:tcPr>
          <w:p w14:paraId="4266409B"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Model</w:t>
            </w:r>
          </w:p>
        </w:tc>
        <w:tc>
          <w:tcPr>
            <w:tcW w:w="0" w:type="auto"/>
            <w:vAlign w:val="center"/>
            <w:hideMark/>
          </w:tcPr>
          <w:p w14:paraId="67C9647B"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Test Accuracy</w:t>
            </w:r>
          </w:p>
        </w:tc>
        <w:tc>
          <w:tcPr>
            <w:tcW w:w="0" w:type="auto"/>
            <w:vAlign w:val="center"/>
            <w:hideMark/>
          </w:tcPr>
          <w:p w14:paraId="3420AB49"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Test Precision Macro</w:t>
            </w:r>
          </w:p>
        </w:tc>
        <w:tc>
          <w:tcPr>
            <w:tcW w:w="0" w:type="auto"/>
            <w:vAlign w:val="center"/>
            <w:hideMark/>
          </w:tcPr>
          <w:p w14:paraId="6457D8DF"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Test Recall Macro</w:t>
            </w:r>
          </w:p>
        </w:tc>
        <w:tc>
          <w:tcPr>
            <w:tcW w:w="0" w:type="auto"/>
            <w:vAlign w:val="center"/>
            <w:hideMark/>
          </w:tcPr>
          <w:p w14:paraId="1927DC8C"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Test F1 Macro</w:t>
            </w:r>
          </w:p>
        </w:tc>
        <w:tc>
          <w:tcPr>
            <w:tcW w:w="0" w:type="auto"/>
            <w:vAlign w:val="center"/>
            <w:hideMark/>
          </w:tcPr>
          <w:p w14:paraId="2944B22A"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CV Accuracy</w:t>
            </w:r>
          </w:p>
        </w:tc>
        <w:tc>
          <w:tcPr>
            <w:tcW w:w="0" w:type="auto"/>
            <w:vAlign w:val="center"/>
            <w:hideMark/>
          </w:tcPr>
          <w:p w14:paraId="4B73BDCA"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CV F1 Macro</w:t>
            </w:r>
          </w:p>
        </w:tc>
        <w:tc>
          <w:tcPr>
            <w:tcW w:w="0" w:type="auto"/>
            <w:vAlign w:val="center"/>
            <w:hideMark/>
          </w:tcPr>
          <w:p w14:paraId="3244C1A1"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Train Accuracy</w:t>
            </w:r>
          </w:p>
        </w:tc>
        <w:tc>
          <w:tcPr>
            <w:tcW w:w="0" w:type="auto"/>
            <w:vAlign w:val="center"/>
            <w:hideMark/>
          </w:tcPr>
          <w:p w14:paraId="12C50FC3"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Train F1 Macro</w:t>
            </w:r>
          </w:p>
        </w:tc>
        <w:tc>
          <w:tcPr>
            <w:tcW w:w="0" w:type="auto"/>
            <w:vAlign w:val="center"/>
            <w:hideMark/>
          </w:tcPr>
          <w:p w14:paraId="2CFA7040"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Runtime (min)</w:t>
            </w:r>
          </w:p>
        </w:tc>
        <w:tc>
          <w:tcPr>
            <w:tcW w:w="0" w:type="auto"/>
            <w:vAlign w:val="center"/>
            <w:hideMark/>
          </w:tcPr>
          <w:p w14:paraId="1EB11ADF" w14:textId="77777777" w:rsidR="00A742B7" w:rsidRPr="00664531" w:rsidRDefault="00A742B7" w:rsidP="00664531">
            <w:pPr>
              <w:jc w:val="both"/>
              <w:rPr>
                <w:rFonts w:ascii="Calibri" w:hAnsi="Calibri" w:cs="Calibri"/>
                <w:b/>
                <w:bCs/>
                <w:color w:val="000000" w:themeColor="text1"/>
                <w:sz w:val="24"/>
                <w:szCs w:val="24"/>
              </w:rPr>
            </w:pPr>
            <w:r w:rsidRPr="00664531">
              <w:rPr>
                <w:rFonts w:ascii="Calibri" w:hAnsi="Calibri" w:cs="Calibri"/>
                <w:b/>
                <w:bCs/>
                <w:color w:val="000000" w:themeColor="text1"/>
                <w:sz w:val="24"/>
                <w:szCs w:val="24"/>
              </w:rPr>
              <w:t>Train–CV Accuracy Gap</w:t>
            </w:r>
          </w:p>
        </w:tc>
      </w:tr>
      <w:tr w:rsidR="00A742B7" w:rsidRPr="00664531" w14:paraId="5D3F1AD2" w14:textId="77777777">
        <w:trPr>
          <w:tblCellSpacing w:w="15" w:type="dxa"/>
        </w:trPr>
        <w:tc>
          <w:tcPr>
            <w:tcW w:w="0" w:type="auto"/>
            <w:vAlign w:val="center"/>
            <w:hideMark/>
          </w:tcPr>
          <w:p w14:paraId="16AA2E03"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Logistic Regression</w:t>
            </w:r>
          </w:p>
        </w:tc>
        <w:tc>
          <w:tcPr>
            <w:tcW w:w="0" w:type="auto"/>
            <w:vAlign w:val="center"/>
            <w:hideMark/>
          </w:tcPr>
          <w:p w14:paraId="19B3D839"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0.536</w:t>
            </w:r>
          </w:p>
        </w:tc>
        <w:tc>
          <w:tcPr>
            <w:tcW w:w="0" w:type="auto"/>
            <w:vAlign w:val="center"/>
            <w:hideMark/>
          </w:tcPr>
          <w:p w14:paraId="237ABFDA"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0.435</w:t>
            </w:r>
          </w:p>
        </w:tc>
        <w:tc>
          <w:tcPr>
            <w:tcW w:w="0" w:type="auto"/>
            <w:vAlign w:val="center"/>
            <w:hideMark/>
          </w:tcPr>
          <w:p w14:paraId="371ECA10"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0.452</w:t>
            </w:r>
          </w:p>
        </w:tc>
        <w:tc>
          <w:tcPr>
            <w:tcW w:w="0" w:type="auto"/>
            <w:vAlign w:val="center"/>
            <w:hideMark/>
          </w:tcPr>
          <w:p w14:paraId="333AA6AC" w14:textId="77777777" w:rsidR="00A742B7" w:rsidRPr="00664531" w:rsidRDefault="00A742B7" w:rsidP="00664531">
            <w:pPr>
              <w:jc w:val="both"/>
              <w:rPr>
                <w:rFonts w:ascii="Calibri" w:hAnsi="Calibri" w:cs="Calibri"/>
                <w:color w:val="000000" w:themeColor="text1"/>
                <w:sz w:val="24"/>
                <w:szCs w:val="24"/>
              </w:rPr>
            </w:pPr>
            <w:r w:rsidRPr="00664531">
              <w:rPr>
                <w:rStyle w:val="Strong"/>
                <w:rFonts w:ascii="Calibri" w:hAnsi="Calibri" w:cs="Calibri"/>
                <w:color w:val="000000" w:themeColor="text1"/>
                <w:sz w:val="24"/>
                <w:szCs w:val="24"/>
              </w:rPr>
              <w:t>0.431</w:t>
            </w:r>
          </w:p>
        </w:tc>
        <w:tc>
          <w:tcPr>
            <w:tcW w:w="0" w:type="auto"/>
            <w:vAlign w:val="center"/>
            <w:hideMark/>
          </w:tcPr>
          <w:p w14:paraId="6C18ECAC"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0.535</w:t>
            </w:r>
          </w:p>
        </w:tc>
        <w:tc>
          <w:tcPr>
            <w:tcW w:w="0" w:type="auto"/>
            <w:vAlign w:val="center"/>
            <w:hideMark/>
          </w:tcPr>
          <w:p w14:paraId="133C7AAC"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0.427</w:t>
            </w:r>
          </w:p>
        </w:tc>
        <w:tc>
          <w:tcPr>
            <w:tcW w:w="0" w:type="auto"/>
            <w:vAlign w:val="center"/>
            <w:hideMark/>
          </w:tcPr>
          <w:p w14:paraId="123AD973"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0.536</w:t>
            </w:r>
          </w:p>
        </w:tc>
        <w:tc>
          <w:tcPr>
            <w:tcW w:w="0" w:type="auto"/>
            <w:vAlign w:val="center"/>
            <w:hideMark/>
          </w:tcPr>
          <w:p w14:paraId="76B4D6C2"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0.429</w:t>
            </w:r>
          </w:p>
        </w:tc>
        <w:tc>
          <w:tcPr>
            <w:tcW w:w="0" w:type="auto"/>
            <w:vAlign w:val="center"/>
            <w:hideMark/>
          </w:tcPr>
          <w:p w14:paraId="129FC358"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0.078</w:t>
            </w:r>
          </w:p>
        </w:tc>
        <w:tc>
          <w:tcPr>
            <w:tcW w:w="0" w:type="auto"/>
            <w:vAlign w:val="center"/>
            <w:hideMark/>
          </w:tcPr>
          <w:p w14:paraId="1615CBFB"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0.001</w:t>
            </w:r>
          </w:p>
        </w:tc>
      </w:tr>
      <w:tr w:rsidR="00A742B7" w:rsidRPr="00664531" w14:paraId="6E15E4D1" w14:textId="77777777">
        <w:trPr>
          <w:tblCellSpacing w:w="15" w:type="dxa"/>
        </w:trPr>
        <w:tc>
          <w:tcPr>
            <w:tcW w:w="0" w:type="auto"/>
            <w:vAlign w:val="center"/>
            <w:hideMark/>
          </w:tcPr>
          <w:p w14:paraId="58F4E4CC"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Random Forest</w:t>
            </w:r>
          </w:p>
        </w:tc>
        <w:tc>
          <w:tcPr>
            <w:tcW w:w="0" w:type="auto"/>
            <w:vAlign w:val="center"/>
            <w:hideMark/>
          </w:tcPr>
          <w:p w14:paraId="45FA3F46" w14:textId="77777777" w:rsidR="00A742B7" w:rsidRPr="00664531" w:rsidRDefault="00A742B7" w:rsidP="00664531">
            <w:pPr>
              <w:jc w:val="both"/>
              <w:rPr>
                <w:rFonts w:ascii="Calibri" w:hAnsi="Calibri" w:cs="Calibri"/>
                <w:color w:val="000000" w:themeColor="text1"/>
                <w:sz w:val="24"/>
                <w:szCs w:val="24"/>
              </w:rPr>
            </w:pPr>
            <w:r w:rsidRPr="00664531">
              <w:rPr>
                <w:rStyle w:val="Strong"/>
                <w:rFonts w:ascii="Calibri" w:hAnsi="Calibri" w:cs="Calibri"/>
                <w:color w:val="000000" w:themeColor="text1"/>
                <w:sz w:val="24"/>
                <w:szCs w:val="24"/>
              </w:rPr>
              <w:t>0.540</w:t>
            </w:r>
          </w:p>
        </w:tc>
        <w:tc>
          <w:tcPr>
            <w:tcW w:w="0" w:type="auto"/>
            <w:vAlign w:val="center"/>
            <w:hideMark/>
          </w:tcPr>
          <w:p w14:paraId="2C5A401D"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0.431</w:t>
            </w:r>
          </w:p>
        </w:tc>
        <w:tc>
          <w:tcPr>
            <w:tcW w:w="0" w:type="auto"/>
            <w:vAlign w:val="center"/>
            <w:hideMark/>
          </w:tcPr>
          <w:p w14:paraId="1D5A70A7"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0.451</w:t>
            </w:r>
          </w:p>
        </w:tc>
        <w:tc>
          <w:tcPr>
            <w:tcW w:w="0" w:type="auto"/>
            <w:vAlign w:val="center"/>
            <w:hideMark/>
          </w:tcPr>
          <w:p w14:paraId="31A08186" w14:textId="77777777" w:rsidR="00A742B7" w:rsidRPr="00664531" w:rsidRDefault="00A742B7" w:rsidP="00664531">
            <w:pPr>
              <w:jc w:val="both"/>
              <w:rPr>
                <w:rFonts w:ascii="Calibri" w:hAnsi="Calibri" w:cs="Calibri"/>
                <w:color w:val="000000" w:themeColor="text1"/>
                <w:sz w:val="24"/>
                <w:szCs w:val="24"/>
              </w:rPr>
            </w:pPr>
            <w:r w:rsidRPr="00664531">
              <w:rPr>
                <w:rStyle w:val="Strong"/>
                <w:rFonts w:ascii="Calibri" w:hAnsi="Calibri" w:cs="Calibri"/>
                <w:color w:val="000000" w:themeColor="text1"/>
                <w:sz w:val="24"/>
                <w:szCs w:val="24"/>
              </w:rPr>
              <w:t>0.428</w:t>
            </w:r>
          </w:p>
        </w:tc>
        <w:tc>
          <w:tcPr>
            <w:tcW w:w="0" w:type="auto"/>
            <w:vAlign w:val="center"/>
            <w:hideMark/>
          </w:tcPr>
          <w:p w14:paraId="7595B6C3"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0.544</w:t>
            </w:r>
          </w:p>
        </w:tc>
        <w:tc>
          <w:tcPr>
            <w:tcW w:w="0" w:type="auto"/>
            <w:vAlign w:val="center"/>
            <w:hideMark/>
          </w:tcPr>
          <w:p w14:paraId="0B9142D1"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0.426</w:t>
            </w:r>
          </w:p>
        </w:tc>
        <w:tc>
          <w:tcPr>
            <w:tcW w:w="0" w:type="auto"/>
            <w:vAlign w:val="center"/>
            <w:hideMark/>
          </w:tcPr>
          <w:p w14:paraId="5EBCF5A9"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0.577</w:t>
            </w:r>
          </w:p>
        </w:tc>
        <w:tc>
          <w:tcPr>
            <w:tcW w:w="0" w:type="auto"/>
            <w:vAlign w:val="center"/>
            <w:hideMark/>
          </w:tcPr>
          <w:p w14:paraId="122934E8"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0.481</w:t>
            </w:r>
          </w:p>
        </w:tc>
        <w:tc>
          <w:tcPr>
            <w:tcW w:w="0" w:type="auto"/>
            <w:vAlign w:val="center"/>
            <w:hideMark/>
          </w:tcPr>
          <w:p w14:paraId="51DF59F5"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0.229</w:t>
            </w:r>
          </w:p>
        </w:tc>
        <w:tc>
          <w:tcPr>
            <w:tcW w:w="0" w:type="auto"/>
            <w:vAlign w:val="center"/>
            <w:hideMark/>
          </w:tcPr>
          <w:p w14:paraId="008AF642"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0.033</w:t>
            </w:r>
          </w:p>
        </w:tc>
      </w:tr>
      <w:tr w:rsidR="00A742B7" w:rsidRPr="00664531" w14:paraId="3132C3C8" w14:textId="77777777">
        <w:trPr>
          <w:tblCellSpacing w:w="15" w:type="dxa"/>
        </w:trPr>
        <w:tc>
          <w:tcPr>
            <w:tcW w:w="0" w:type="auto"/>
            <w:vAlign w:val="center"/>
            <w:hideMark/>
          </w:tcPr>
          <w:p w14:paraId="58F81186"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Decision Tree</w:t>
            </w:r>
          </w:p>
        </w:tc>
        <w:tc>
          <w:tcPr>
            <w:tcW w:w="0" w:type="auto"/>
            <w:vAlign w:val="center"/>
            <w:hideMark/>
          </w:tcPr>
          <w:p w14:paraId="3FC520C4"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0.480</w:t>
            </w:r>
          </w:p>
        </w:tc>
        <w:tc>
          <w:tcPr>
            <w:tcW w:w="0" w:type="auto"/>
            <w:vAlign w:val="center"/>
            <w:hideMark/>
          </w:tcPr>
          <w:p w14:paraId="0886C5F0"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0.425</w:t>
            </w:r>
          </w:p>
        </w:tc>
        <w:tc>
          <w:tcPr>
            <w:tcW w:w="0" w:type="auto"/>
            <w:vAlign w:val="center"/>
            <w:hideMark/>
          </w:tcPr>
          <w:p w14:paraId="35644DA6"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0.435</w:t>
            </w:r>
          </w:p>
        </w:tc>
        <w:tc>
          <w:tcPr>
            <w:tcW w:w="0" w:type="auto"/>
            <w:vAlign w:val="center"/>
            <w:hideMark/>
          </w:tcPr>
          <w:p w14:paraId="64039B64"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0.404</w:t>
            </w:r>
          </w:p>
        </w:tc>
        <w:tc>
          <w:tcPr>
            <w:tcW w:w="0" w:type="auto"/>
            <w:vAlign w:val="center"/>
            <w:hideMark/>
          </w:tcPr>
          <w:p w14:paraId="796D2D1B"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0.484</w:t>
            </w:r>
          </w:p>
        </w:tc>
        <w:tc>
          <w:tcPr>
            <w:tcW w:w="0" w:type="auto"/>
            <w:vAlign w:val="center"/>
            <w:hideMark/>
          </w:tcPr>
          <w:p w14:paraId="6C686695"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0.403</w:t>
            </w:r>
          </w:p>
        </w:tc>
        <w:tc>
          <w:tcPr>
            <w:tcW w:w="0" w:type="auto"/>
            <w:vAlign w:val="center"/>
            <w:hideMark/>
          </w:tcPr>
          <w:p w14:paraId="7C34530B"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0.512</w:t>
            </w:r>
          </w:p>
        </w:tc>
        <w:tc>
          <w:tcPr>
            <w:tcW w:w="0" w:type="auto"/>
            <w:vAlign w:val="center"/>
            <w:hideMark/>
          </w:tcPr>
          <w:p w14:paraId="7E62C301"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0.443</w:t>
            </w:r>
          </w:p>
        </w:tc>
        <w:tc>
          <w:tcPr>
            <w:tcW w:w="0" w:type="auto"/>
            <w:vAlign w:val="center"/>
            <w:hideMark/>
          </w:tcPr>
          <w:p w14:paraId="2DE000DD"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0.060</w:t>
            </w:r>
          </w:p>
        </w:tc>
        <w:tc>
          <w:tcPr>
            <w:tcW w:w="0" w:type="auto"/>
            <w:vAlign w:val="center"/>
            <w:hideMark/>
          </w:tcPr>
          <w:p w14:paraId="058DEFBC"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0.028</w:t>
            </w:r>
          </w:p>
        </w:tc>
      </w:tr>
      <w:tr w:rsidR="00A742B7" w:rsidRPr="00664531" w14:paraId="1299797E" w14:textId="77777777">
        <w:trPr>
          <w:tblCellSpacing w:w="15" w:type="dxa"/>
        </w:trPr>
        <w:tc>
          <w:tcPr>
            <w:tcW w:w="0" w:type="auto"/>
            <w:vAlign w:val="center"/>
            <w:hideMark/>
          </w:tcPr>
          <w:p w14:paraId="038DAA40"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Gradient Boosting</w:t>
            </w:r>
          </w:p>
        </w:tc>
        <w:tc>
          <w:tcPr>
            <w:tcW w:w="0" w:type="auto"/>
            <w:vAlign w:val="center"/>
            <w:hideMark/>
          </w:tcPr>
          <w:p w14:paraId="6CC8FD83" w14:textId="77777777" w:rsidR="00A742B7" w:rsidRPr="00664531" w:rsidRDefault="00A742B7" w:rsidP="00664531">
            <w:pPr>
              <w:jc w:val="both"/>
              <w:rPr>
                <w:rFonts w:ascii="Calibri" w:hAnsi="Calibri" w:cs="Calibri"/>
                <w:color w:val="000000" w:themeColor="text1"/>
                <w:sz w:val="24"/>
                <w:szCs w:val="24"/>
              </w:rPr>
            </w:pPr>
            <w:r w:rsidRPr="00664531">
              <w:rPr>
                <w:rStyle w:val="Strong"/>
                <w:rFonts w:ascii="Calibri" w:hAnsi="Calibri" w:cs="Calibri"/>
                <w:color w:val="000000" w:themeColor="text1"/>
                <w:sz w:val="24"/>
                <w:szCs w:val="24"/>
              </w:rPr>
              <w:t>0.679</w:t>
            </w:r>
          </w:p>
        </w:tc>
        <w:tc>
          <w:tcPr>
            <w:tcW w:w="0" w:type="auto"/>
            <w:vAlign w:val="center"/>
            <w:hideMark/>
          </w:tcPr>
          <w:p w14:paraId="75B2877E"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0.408</w:t>
            </w:r>
          </w:p>
        </w:tc>
        <w:tc>
          <w:tcPr>
            <w:tcW w:w="0" w:type="auto"/>
            <w:vAlign w:val="center"/>
            <w:hideMark/>
          </w:tcPr>
          <w:p w14:paraId="5D04E52F"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0.384</w:t>
            </w:r>
          </w:p>
        </w:tc>
        <w:tc>
          <w:tcPr>
            <w:tcW w:w="0" w:type="auto"/>
            <w:vAlign w:val="center"/>
            <w:hideMark/>
          </w:tcPr>
          <w:p w14:paraId="1FD91205"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0.363</w:t>
            </w:r>
          </w:p>
        </w:tc>
        <w:tc>
          <w:tcPr>
            <w:tcW w:w="0" w:type="auto"/>
            <w:vAlign w:val="center"/>
            <w:hideMark/>
          </w:tcPr>
          <w:p w14:paraId="65950A67" w14:textId="77777777" w:rsidR="00A742B7" w:rsidRPr="00664531" w:rsidRDefault="00A742B7" w:rsidP="00664531">
            <w:pPr>
              <w:jc w:val="both"/>
              <w:rPr>
                <w:rFonts w:ascii="Calibri" w:hAnsi="Calibri" w:cs="Calibri"/>
                <w:color w:val="000000" w:themeColor="text1"/>
                <w:sz w:val="24"/>
                <w:szCs w:val="24"/>
              </w:rPr>
            </w:pPr>
            <w:r w:rsidRPr="00664531">
              <w:rPr>
                <w:rStyle w:val="Strong"/>
                <w:rFonts w:ascii="Calibri" w:hAnsi="Calibri" w:cs="Calibri"/>
                <w:color w:val="000000" w:themeColor="text1"/>
                <w:sz w:val="24"/>
                <w:szCs w:val="24"/>
              </w:rPr>
              <w:t>0.681</w:t>
            </w:r>
          </w:p>
        </w:tc>
        <w:tc>
          <w:tcPr>
            <w:tcW w:w="0" w:type="auto"/>
            <w:vAlign w:val="center"/>
            <w:hideMark/>
          </w:tcPr>
          <w:p w14:paraId="21BD014A"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0.363</w:t>
            </w:r>
          </w:p>
        </w:tc>
        <w:tc>
          <w:tcPr>
            <w:tcW w:w="0" w:type="auto"/>
            <w:vAlign w:val="center"/>
            <w:hideMark/>
          </w:tcPr>
          <w:p w14:paraId="6AE72EA0"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0.682</w:t>
            </w:r>
          </w:p>
        </w:tc>
        <w:tc>
          <w:tcPr>
            <w:tcW w:w="0" w:type="auto"/>
            <w:vAlign w:val="center"/>
            <w:hideMark/>
          </w:tcPr>
          <w:p w14:paraId="41F4998D"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0.365</w:t>
            </w:r>
          </w:p>
        </w:tc>
        <w:tc>
          <w:tcPr>
            <w:tcW w:w="0" w:type="auto"/>
            <w:vAlign w:val="center"/>
            <w:hideMark/>
          </w:tcPr>
          <w:p w14:paraId="5FB37F93"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2.265</w:t>
            </w:r>
          </w:p>
        </w:tc>
        <w:tc>
          <w:tcPr>
            <w:tcW w:w="0" w:type="auto"/>
            <w:vAlign w:val="center"/>
            <w:hideMark/>
          </w:tcPr>
          <w:p w14:paraId="043223F1" w14:textId="77777777" w:rsidR="00A742B7" w:rsidRPr="00664531" w:rsidRDefault="00A742B7"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0.001</w:t>
            </w:r>
          </w:p>
        </w:tc>
      </w:tr>
    </w:tbl>
    <w:p w14:paraId="24D69F4E"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The results demonstrate a clear trade-off between overall accuracy and balanced class performance. Gradient Boosting produced substantially higher accuracy than the other models, with a test accuracy of 67.93% and cross-validation accuracy of 68.07%. However, its Macro F1 score was the lowest among the four models at 0.363. Its Macro Recall was also comparatively low at 0.384.</w:t>
      </w:r>
    </w:p>
    <w:p w14:paraId="58AA4695"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t>Random Forest produced a considerably lower test accuracy of 54.03%, but achieved the highest Test Macro F1 among the four models at 0.428. Its cross-validation Macro F1 was 0.426, providing a similar result under cross-validation. Logistic Regression produced a slightly higher Test Macro F1 of 0.431, but its cross-validation Macro F1 was 0.427. Therefore, the difference between Logistic Regression and Random Forest should be interpreted carefully rather than describing Random Forest as the highest-performing model across every metric.</w:t>
      </w:r>
    </w:p>
    <w:p w14:paraId="17629467" w14:textId="77777777" w:rsidR="00A742B7" w:rsidRPr="00664531" w:rsidRDefault="00A742B7" w:rsidP="00664531">
      <w:pPr>
        <w:pStyle w:val="NormalWeb"/>
        <w:jc w:val="both"/>
        <w:rPr>
          <w:rFonts w:ascii="Calibri" w:hAnsi="Calibri" w:cs="Calibri"/>
          <w:color w:val="000000" w:themeColor="text1"/>
        </w:rPr>
      </w:pPr>
      <w:r w:rsidRPr="00664531">
        <w:rPr>
          <w:rFonts w:ascii="Calibri" w:hAnsi="Calibri" w:cs="Calibri"/>
          <w:color w:val="000000" w:themeColor="text1"/>
        </w:rPr>
        <w:lastRenderedPageBreak/>
        <w:t>Overall, the results show that no single model dominated across all evaluation criteria. Gradient Boosting was strongest in terms of accuracy, while Logistic Regression and Random Forest provided stronger Macro F1 performance. This illustrates the importance of evaluating multiple metrics when class frequencies and class-level performance are relevant.</w:t>
      </w:r>
    </w:p>
    <w:p w14:paraId="45D41EE1" w14:textId="77777777" w:rsidR="00A742B7" w:rsidRPr="00664531" w:rsidRDefault="00A742B7" w:rsidP="00664531">
      <w:pPr>
        <w:pStyle w:val="Heading2"/>
        <w:jc w:val="both"/>
        <w:rPr>
          <w:rFonts w:ascii="Calibri" w:hAnsi="Calibri" w:cs="Calibri"/>
          <w:color w:val="000000" w:themeColor="text1"/>
          <w:sz w:val="24"/>
          <w:szCs w:val="24"/>
        </w:rPr>
      </w:pPr>
    </w:p>
    <w:p w14:paraId="5B3C0662" w14:textId="183F0CA0"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5.3 Model selection</w:t>
      </w:r>
    </w:p>
    <w:p w14:paraId="0240ACD7" w14:textId="77777777" w:rsidR="00601672" w:rsidRPr="00664531" w:rsidRDefault="00601672" w:rsidP="00664531">
      <w:pPr>
        <w:pStyle w:val="NormalWeb"/>
        <w:jc w:val="both"/>
        <w:rPr>
          <w:rFonts w:ascii="Calibri" w:hAnsi="Calibri" w:cs="Calibri"/>
          <w:color w:val="000000" w:themeColor="text1"/>
        </w:rPr>
      </w:pPr>
      <w:r w:rsidRPr="00664531">
        <w:rPr>
          <w:rFonts w:ascii="Calibri" w:hAnsi="Calibri" w:cs="Calibri"/>
          <w:color w:val="000000" w:themeColor="text1"/>
        </w:rPr>
        <w:t>The model comparison showed that no single classifier performed best across all evaluation metrics. Gradient Boosting achieved the highest overall accuracy (67.93%) and cross-validation accuracy (68.07%), while Logistic Regression achieved the highest Test Macro F1 (0.431). Random Forest achieved a Test Macro F1 of 0.428 and a comparable cross-validation Macro F1 of 0.426, indicating relatively consistent balanced classification performance.</w:t>
      </w:r>
    </w:p>
    <w:p w14:paraId="063359F3" w14:textId="77777777" w:rsidR="00601672" w:rsidRPr="00664531" w:rsidRDefault="00601672" w:rsidP="00664531">
      <w:pPr>
        <w:pStyle w:val="NormalWeb"/>
        <w:jc w:val="both"/>
        <w:rPr>
          <w:rFonts w:ascii="Calibri" w:hAnsi="Calibri" w:cs="Calibri"/>
          <w:color w:val="000000" w:themeColor="text1"/>
        </w:rPr>
      </w:pPr>
      <w:r w:rsidRPr="00664531">
        <w:rPr>
          <w:rFonts w:ascii="Calibri" w:hAnsi="Calibri" w:cs="Calibri"/>
          <w:color w:val="000000" w:themeColor="text1"/>
        </w:rPr>
        <w:t>Random Forest was selected for the exploratory classification analysis based on its overall performance across the evaluation results and its suitability for modelling potentially non-linear relationships and interactions between demographic, socioeconomic and geographical characteristics. Its ensemble structure also provided feature-importance measures that could support interpretation of influential predictors.</w:t>
      </w:r>
    </w:p>
    <w:p w14:paraId="7B0E6856" w14:textId="77777777" w:rsidR="00601672" w:rsidRPr="00664531" w:rsidRDefault="00601672" w:rsidP="00664531">
      <w:pPr>
        <w:pStyle w:val="NormalWeb"/>
        <w:jc w:val="both"/>
        <w:rPr>
          <w:rFonts w:ascii="Calibri" w:hAnsi="Calibri" w:cs="Calibri"/>
          <w:color w:val="000000" w:themeColor="text1"/>
        </w:rPr>
      </w:pPr>
      <w:r w:rsidRPr="00664531">
        <w:rPr>
          <w:rFonts w:ascii="Calibri" w:hAnsi="Calibri" w:cs="Calibri"/>
          <w:color w:val="000000" w:themeColor="text1"/>
        </w:rPr>
        <w:t>The selection of Random Forest therefore does not imply that it was the best model according to every individual metric. Instead, it was retained as the preferred exploratory ensemble model while recognising the trade-off between accuracy and balanced class performance. Gradient Boosting performed substantially better in terms of accuracy, whereas Logistic Regression achieved a marginally higher Test Macro F1. This comparison demonstrates why model selection should consider the analytical objective and multiple evaluation measures rather than relying on accuracy alone.</w:t>
      </w:r>
    </w:p>
    <w:p w14:paraId="070589B7" w14:textId="77777777" w:rsidR="00225705" w:rsidRPr="00664531" w:rsidRDefault="007B1A62" w:rsidP="00664531">
      <w:pPr>
        <w:pStyle w:val="Heading2"/>
        <w:jc w:val="both"/>
        <w:rPr>
          <w:rFonts w:ascii="Calibri" w:hAnsi="Calibri" w:cs="Calibri"/>
          <w:color w:val="000000" w:themeColor="text1"/>
          <w:sz w:val="24"/>
          <w:szCs w:val="24"/>
        </w:rPr>
      </w:pPr>
      <w:r w:rsidRPr="00664531">
        <w:rPr>
          <w:rFonts w:ascii="Calibri" w:hAnsi="Calibri" w:cs="Calibri"/>
          <w:color w:val="000000" w:themeColor="text1"/>
          <w:sz w:val="24"/>
          <w:szCs w:val="24"/>
        </w:rPr>
        <w:t>5.4 Prediction outputs</w:t>
      </w:r>
    </w:p>
    <w:p w14:paraId="7A80E28E" w14:textId="77777777" w:rsidR="00225705" w:rsidRPr="00664531" w:rsidRDefault="007B1A62" w:rsidP="00664531">
      <w:pPr>
        <w:pStyle w:val="ListBullet"/>
        <w:jc w:val="both"/>
        <w:rPr>
          <w:rFonts w:ascii="Calibri" w:hAnsi="Calibri" w:cs="Calibri"/>
          <w:color w:val="000000" w:themeColor="text1"/>
          <w:sz w:val="24"/>
          <w:szCs w:val="24"/>
        </w:rPr>
      </w:pPr>
      <w:r w:rsidRPr="00664531">
        <w:rPr>
          <w:rFonts w:ascii="Calibri" w:hAnsi="Calibri" w:cs="Calibri"/>
          <w:color w:val="000000" w:themeColor="text1"/>
          <w:sz w:val="24"/>
          <w:szCs w:val="24"/>
        </w:rPr>
        <w:t>Predicted class indicating whether an individual meets the 150+ minutes/week guideline.</w:t>
      </w:r>
    </w:p>
    <w:p w14:paraId="3D8060D1" w14:textId="77777777" w:rsidR="00225705" w:rsidRPr="00664531" w:rsidRDefault="007B1A62" w:rsidP="00664531">
      <w:pPr>
        <w:pStyle w:val="ListBullet"/>
        <w:jc w:val="both"/>
        <w:rPr>
          <w:rFonts w:ascii="Calibri" w:hAnsi="Calibri" w:cs="Calibri"/>
          <w:color w:val="000000" w:themeColor="text1"/>
          <w:sz w:val="24"/>
          <w:szCs w:val="24"/>
        </w:rPr>
      </w:pPr>
      <w:r w:rsidRPr="00664531">
        <w:rPr>
          <w:rFonts w:ascii="Calibri" w:hAnsi="Calibri" w:cs="Calibri"/>
          <w:color w:val="000000" w:themeColor="text1"/>
          <w:sz w:val="24"/>
          <w:szCs w:val="24"/>
        </w:rPr>
        <w:t>Accuracy, precision, recall and Macro F1 for each candidate classifier.</w:t>
      </w:r>
    </w:p>
    <w:p w14:paraId="010EF5BD" w14:textId="77777777" w:rsidR="00225705" w:rsidRPr="00664531" w:rsidRDefault="007B1A62" w:rsidP="00664531">
      <w:pPr>
        <w:pStyle w:val="ListBullet"/>
        <w:jc w:val="both"/>
        <w:rPr>
          <w:rFonts w:ascii="Calibri" w:hAnsi="Calibri" w:cs="Calibri"/>
          <w:color w:val="000000" w:themeColor="text1"/>
          <w:sz w:val="24"/>
          <w:szCs w:val="24"/>
        </w:rPr>
      </w:pPr>
      <w:r w:rsidRPr="00664531">
        <w:rPr>
          <w:rFonts w:ascii="Calibri" w:hAnsi="Calibri" w:cs="Calibri"/>
          <w:color w:val="000000" w:themeColor="text1"/>
          <w:sz w:val="24"/>
          <w:szCs w:val="24"/>
        </w:rPr>
        <w:t>Comparative model-performance results.</w:t>
      </w:r>
    </w:p>
    <w:p w14:paraId="35F615E6" w14:textId="77777777" w:rsidR="00225705" w:rsidRPr="00664531" w:rsidRDefault="007B1A62" w:rsidP="00664531">
      <w:pPr>
        <w:pStyle w:val="ListBullet"/>
        <w:jc w:val="both"/>
        <w:rPr>
          <w:rFonts w:ascii="Calibri" w:hAnsi="Calibri" w:cs="Calibri"/>
          <w:color w:val="000000" w:themeColor="text1"/>
          <w:sz w:val="24"/>
          <w:szCs w:val="24"/>
        </w:rPr>
      </w:pPr>
      <w:r w:rsidRPr="00664531">
        <w:rPr>
          <w:rFonts w:ascii="Calibri" w:hAnsi="Calibri" w:cs="Calibri"/>
          <w:color w:val="000000" w:themeColor="text1"/>
          <w:sz w:val="24"/>
          <w:szCs w:val="24"/>
        </w:rPr>
        <w:t>Random Forest feature-importance information for interpretation of influential predictors.</w:t>
      </w:r>
    </w:p>
    <w:p w14:paraId="3CB2E1E9"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6. Interpretation and Discussion</w:t>
      </w:r>
    </w:p>
    <w:p w14:paraId="407361C9"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The experiment demonstrated the feasibility of combining unsupervised population segmentation with supervised classification. K-Modes provided a mechanism for identifying respondents with similar demographic profiles, while classification provided a direct prediction of current guideline attainment.</w:t>
      </w:r>
    </w:p>
    <w:p w14:paraId="257B3868"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 xml:space="preserve">The model comparison revealed an important distinction between overall accuracy and balanced classification performance. Gradient Boosting achieved the highest test accuracy (67.93%) and cross-validation accuracy (68.07%), substantially exceeding the other models. However, its Macro F1 score was only 0.363, compared with 0.428 for Random Forest and 0.431 for Logistic Regression. This </w:t>
      </w:r>
      <w:r w:rsidRPr="00664531">
        <w:rPr>
          <w:rFonts w:ascii="Calibri" w:hAnsi="Calibri" w:cs="Calibri"/>
          <w:color w:val="000000" w:themeColor="text1"/>
        </w:rPr>
        <w:lastRenderedPageBreak/>
        <w:t>indicates that Gradient Boosting's higher overall accuracy did not translate into equally strong performance across the two classes.</w:t>
      </w:r>
    </w:p>
    <w:p w14:paraId="032FC633"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Random Forest showed a more moderate level of overall accuracy, with test and cross-validation accuracies of 54.03% and 54.40%, respectively. However, its Test Macro F1 and CV Macro F1 were relatively consistent at 0.428 and 0.426. This consistency provided useful support for retaining Random Forest as an exploratory ensemble model when balanced classification performance was considered important.</w:t>
      </w:r>
    </w:p>
    <w:p w14:paraId="5AD352E4"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The train–cross-validation accuracy gaps provide additional context. Gradient Boosting had a gap of only 0.001, while Random Forest had a gap of 0.033. Thus, there is little evidence from this measure that Gradient Boosting's weaker Macro F1 was caused by overfitting. Instead, its results suggest that accuracy alone may provide an incomplete picture of classification performance when the objective is to distinguish between classes in a balanced manner.</w:t>
      </w:r>
    </w:p>
    <w:p w14:paraId="781FCFCA"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The main value of the approach was exploratory. It provided insight into population structure and established a predictive baseline against which more explicitly temporal approaches could be considered. The model comparison also showed that different algorithms can produce substantially different balances between accuracy and class-level performance.</w:t>
      </w:r>
    </w:p>
    <w:p w14:paraId="77737CDA"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However, classification performance should not be confused with forecasting ability. A model can classify respondents using current characteristics without being capable of estimating how participation will change in future survey waves. This distinction became central to the decision not to retain this framework as the project's main forecasting approach.</w:t>
      </w:r>
    </w:p>
    <w:p w14:paraId="6B75AFFF"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7. Strengths</w:t>
      </w:r>
    </w:p>
    <w:tbl>
      <w:tblPr>
        <w:tblStyle w:val="TableGrid"/>
        <w:tblW w:w="0" w:type="auto"/>
        <w:tblLook w:val="04A0" w:firstRow="1" w:lastRow="0" w:firstColumn="1" w:lastColumn="0" w:noHBand="0" w:noVBand="1"/>
      </w:tblPr>
      <w:tblGrid>
        <w:gridCol w:w="4968"/>
        <w:gridCol w:w="4968"/>
      </w:tblGrid>
      <w:tr w:rsidR="00225705" w:rsidRPr="00664531" w14:paraId="7ADC571C" w14:textId="77777777">
        <w:tc>
          <w:tcPr>
            <w:tcW w:w="4968" w:type="dxa"/>
          </w:tcPr>
          <w:p w14:paraId="1CEDC08D"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Strength</w:t>
            </w:r>
          </w:p>
        </w:tc>
        <w:tc>
          <w:tcPr>
            <w:tcW w:w="4968" w:type="dxa"/>
          </w:tcPr>
          <w:p w14:paraId="68009EE3"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Explanation</w:t>
            </w:r>
          </w:p>
        </w:tc>
      </w:tr>
      <w:tr w:rsidR="00225705" w:rsidRPr="00664531" w14:paraId="01F703F8" w14:textId="77777777">
        <w:tc>
          <w:tcPr>
            <w:tcW w:w="4968" w:type="dxa"/>
          </w:tcPr>
          <w:p w14:paraId="7206B58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Appropriate clustering method</w:t>
            </w:r>
          </w:p>
        </w:tc>
        <w:tc>
          <w:tcPr>
            <w:tcW w:w="4968" w:type="dxa"/>
          </w:tcPr>
          <w:p w14:paraId="066F96C0"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K-Modes accommodates categorical demographic variables.</w:t>
            </w:r>
          </w:p>
        </w:tc>
      </w:tr>
      <w:tr w:rsidR="00225705" w:rsidRPr="00664531" w14:paraId="7EA0B934" w14:textId="77777777">
        <w:tc>
          <w:tcPr>
            <w:tcW w:w="4968" w:type="dxa"/>
          </w:tcPr>
          <w:p w14:paraId="7C5FE7C1"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Population heterogeneity</w:t>
            </w:r>
          </w:p>
        </w:tc>
        <w:tc>
          <w:tcPr>
            <w:tcW w:w="4968" w:type="dxa"/>
          </w:tcPr>
          <w:p w14:paraId="064ACCD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Respondents can be analysed as different demographic segments.</w:t>
            </w:r>
          </w:p>
        </w:tc>
      </w:tr>
      <w:tr w:rsidR="00225705" w:rsidRPr="00664531" w14:paraId="5F3E157D" w14:textId="77777777">
        <w:tc>
          <w:tcPr>
            <w:tcW w:w="4968" w:type="dxa"/>
          </w:tcPr>
          <w:p w14:paraId="76EDF813"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Model comparison</w:t>
            </w:r>
          </w:p>
        </w:tc>
        <w:tc>
          <w:tcPr>
            <w:tcW w:w="4968" w:type="dxa"/>
          </w:tcPr>
          <w:p w14:paraId="2252D83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Several classification algorithms were evaluated.</w:t>
            </w:r>
          </w:p>
        </w:tc>
      </w:tr>
      <w:tr w:rsidR="00225705" w:rsidRPr="00664531" w14:paraId="28A20484" w14:textId="77777777">
        <w:tc>
          <w:tcPr>
            <w:tcW w:w="4968" w:type="dxa"/>
          </w:tcPr>
          <w:p w14:paraId="6BCB563E" w14:textId="08BEEE7D" w:rsidR="00225705" w:rsidRPr="00664531" w:rsidRDefault="00F0265C"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Ensemble classification candidate</w:t>
            </w:r>
          </w:p>
        </w:tc>
        <w:tc>
          <w:tcPr>
            <w:tcW w:w="4968" w:type="dxa"/>
          </w:tcPr>
          <w:p w14:paraId="72B86FB2" w14:textId="12D70611" w:rsidR="00225705" w:rsidRPr="00664531" w:rsidRDefault="00F0265C"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Random Forest provided comparatively consistent Macro F1 performance across test and cross-validation and offered interpretable feature-importance outputs.</w:t>
            </w:r>
          </w:p>
        </w:tc>
      </w:tr>
      <w:tr w:rsidR="00225705" w:rsidRPr="00664531" w14:paraId="37F88166" w14:textId="77777777">
        <w:tc>
          <w:tcPr>
            <w:tcW w:w="4968" w:type="dxa"/>
          </w:tcPr>
          <w:p w14:paraId="6A93F160"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Interpretability</w:t>
            </w:r>
          </w:p>
        </w:tc>
        <w:tc>
          <w:tcPr>
            <w:tcW w:w="4968" w:type="dxa"/>
          </w:tcPr>
          <w:p w14:paraId="489FDD4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profiles and feature importance provide accessible outputs.</w:t>
            </w:r>
          </w:p>
        </w:tc>
      </w:tr>
      <w:tr w:rsidR="00225705" w:rsidRPr="00664531" w14:paraId="314C3169" w14:textId="77777777">
        <w:tc>
          <w:tcPr>
            <w:tcW w:w="4968" w:type="dxa"/>
          </w:tcPr>
          <w:p w14:paraId="5388FE05"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Exploratory value</w:t>
            </w:r>
          </w:p>
        </w:tc>
        <w:tc>
          <w:tcPr>
            <w:tcW w:w="4968" w:type="dxa"/>
          </w:tcPr>
          <w:p w14:paraId="4985E91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approach established a useful baseline and generated population-level insights.</w:t>
            </w:r>
          </w:p>
        </w:tc>
      </w:tr>
    </w:tbl>
    <w:p w14:paraId="53104E01"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lastRenderedPageBreak/>
        <w:t>8. Limitations and Reasons for Dropping the Approach</w:t>
      </w:r>
    </w:p>
    <w:tbl>
      <w:tblPr>
        <w:tblStyle w:val="TableGrid"/>
        <w:tblW w:w="0" w:type="auto"/>
        <w:tblLook w:val="04A0" w:firstRow="1" w:lastRow="0" w:firstColumn="1" w:lastColumn="0" w:noHBand="0" w:noVBand="1"/>
      </w:tblPr>
      <w:tblGrid>
        <w:gridCol w:w="4968"/>
        <w:gridCol w:w="4968"/>
      </w:tblGrid>
      <w:tr w:rsidR="00225705" w:rsidRPr="00664531" w14:paraId="0D1051C0" w14:textId="77777777">
        <w:tc>
          <w:tcPr>
            <w:tcW w:w="4968" w:type="dxa"/>
          </w:tcPr>
          <w:p w14:paraId="338D536E"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Limitation</w:t>
            </w:r>
          </w:p>
        </w:tc>
        <w:tc>
          <w:tcPr>
            <w:tcW w:w="4968" w:type="dxa"/>
          </w:tcPr>
          <w:p w14:paraId="4FC67F5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Implication</w:t>
            </w:r>
          </w:p>
        </w:tc>
      </w:tr>
      <w:tr w:rsidR="00225705" w:rsidRPr="00664531" w14:paraId="3713479C" w14:textId="77777777">
        <w:tc>
          <w:tcPr>
            <w:tcW w:w="4968" w:type="dxa"/>
          </w:tcPr>
          <w:p w14:paraId="461CF31D"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No temporal information</w:t>
            </w:r>
          </w:p>
        </w:tc>
        <w:tc>
          <w:tcPr>
            <w:tcW w:w="4968" w:type="dxa"/>
          </w:tcPr>
          <w:p w14:paraId="5FA77A7F"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Survey Year was not included, so temporal changes were not learned.</w:t>
            </w:r>
          </w:p>
        </w:tc>
      </w:tr>
      <w:tr w:rsidR="00225705" w:rsidRPr="00664531" w14:paraId="5950A4AE" w14:textId="77777777">
        <w:tc>
          <w:tcPr>
            <w:tcW w:w="4968" w:type="dxa"/>
          </w:tcPr>
          <w:p w14:paraId="79AEED9B"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Classification rather than forecasting</w:t>
            </w:r>
          </w:p>
        </w:tc>
        <w:tc>
          <w:tcPr>
            <w:tcW w:w="4968" w:type="dxa"/>
          </w:tcPr>
          <w:p w14:paraId="46DE4D8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target was current guideline attainment, not future participation.</w:t>
            </w:r>
          </w:p>
        </w:tc>
      </w:tr>
      <w:tr w:rsidR="00225705" w:rsidRPr="00664531" w14:paraId="5A593454" w14:textId="77777777">
        <w:tc>
          <w:tcPr>
            <w:tcW w:w="4968" w:type="dxa"/>
          </w:tcPr>
          <w:p w14:paraId="05CA9E5A"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No future trend generation</w:t>
            </w:r>
          </w:p>
        </w:tc>
        <w:tc>
          <w:tcPr>
            <w:tcW w:w="4968" w:type="dxa"/>
          </w:tcPr>
          <w:p w14:paraId="49298ED4"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framework cannot directly produce time-indexed forecasts.</w:t>
            </w:r>
          </w:p>
        </w:tc>
      </w:tr>
      <w:tr w:rsidR="00225705" w:rsidRPr="00664531" w14:paraId="08A12A76" w14:textId="77777777">
        <w:tc>
          <w:tcPr>
            <w:tcW w:w="4968" w:type="dxa"/>
          </w:tcPr>
          <w:p w14:paraId="2B396823"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Changing population composition</w:t>
            </w:r>
          </w:p>
        </w:tc>
        <w:tc>
          <w:tcPr>
            <w:tcW w:w="4968" w:type="dxa"/>
          </w:tcPr>
          <w:p w14:paraId="545CD696"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Future demographic changes are not represented unless explicitly projected.</w:t>
            </w:r>
          </w:p>
        </w:tc>
      </w:tr>
      <w:tr w:rsidR="00225705" w:rsidRPr="00664531" w14:paraId="15B0E08E" w14:textId="77777777">
        <w:tc>
          <w:tcPr>
            <w:tcW w:w="4968" w:type="dxa"/>
          </w:tcPr>
          <w:p w14:paraId="29E6AEE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stability</w:t>
            </w:r>
          </w:p>
        </w:tc>
        <w:tc>
          <w:tcPr>
            <w:tcW w:w="4968" w:type="dxa"/>
          </w:tcPr>
          <w:p w14:paraId="11D0E36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Cluster membership can depend on selected variables and configuration.</w:t>
            </w:r>
          </w:p>
        </w:tc>
      </w:tr>
      <w:tr w:rsidR="00225705" w:rsidRPr="00664531" w14:paraId="74B59447" w14:textId="77777777">
        <w:tc>
          <w:tcPr>
            <w:tcW w:w="4968" w:type="dxa"/>
          </w:tcPr>
          <w:p w14:paraId="3DA35DE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Limited behavioural representation</w:t>
            </w:r>
          </w:p>
        </w:tc>
        <w:tc>
          <w:tcPr>
            <w:tcW w:w="4968" w:type="dxa"/>
          </w:tcPr>
          <w:p w14:paraId="3F568192"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Segmentation focused on demographic/socioeconomic variables rather than detailed activity behaviours.</w:t>
            </w:r>
          </w:p>
        </w:tc>
      </w:tr>
      <w:tr w:rsidR="00225705" w:rsidRPr="00664531" w14:paraId="1884F157" w14:textId="77777777">
        <w:tc>
          <w:tcPr>
            <w:tcW w:w="4968" w:type="dxa"/>
          </w:tcPr>
          <w:p w14:paraId="75066A9D"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Aggregate forecasting limitation</w:t>
            </w:r>
          </w:p>
        </w:tc>
        <w:tc>
          <w:tcPr>
            <w:tcW w:w="4968" w:type="dxa"/>
          </w:tcPr>
          <w:p w14:paraId="12350EC9"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Strong individual-level classification does not automatically imply accurate borough-level forecasts.</w:t>
            </w:r>
          </w:p>
        </w:tc>
      </w:tr>
    </w:tbl>
    <w:p w14:paraId="452C8296" w14:textId="77777777" w:rsidR="00F0265C" w:rsidRPr="00664531" w:rsidRDefault="00F0265C" w:rsidP="00664531">
      <w:pPr>
        <w:pStyle w:val="Heading3"/>
        <w:jc w:val="both"/>
        <w:rPr>
          <w:rFonts w:ascii="Calibri" w:hAnsi="Calibri" w:cs="Calibri"/>
          <w:color w:val="000000" w:themeColor="text1"/>
          <w:sz w:val="24"/>
          <w:szCs w:val="24"/>
        </w:rPr>
      </w:pPr>
      <w:r w:rsidRPr="00664531">
        <w:rPr>
          <w:rFonts w:ascii="Calibri" w:hAnsi="Calibri" w:cs="Calibri"/>
          <w:color w:val="000000" w:themeColor="text1"/>
          <w:sz w:val="24"/>
          <w:szCs w:val="24"/>
        </w:rPr>
        <w:t>Additional model-performance consideration</w:t>
      </w:r>
    </w:p>
    <w:p w14:paraId="579A8F14" w14:textId="77777777" w:rsidR="00F0265C" w:rsidRPr="00664531" w:rsidRDefault="00F0265C" w:rsidP="00664531">
      <w:pPr>
        <w:pStyle w:val="isselectedend"/>
        <w:jc w:val="both"/>
        <w:rPr>
          <w:rFonts w:ascii="Calibri" w:hAnsi="Calibri" w:cs="Calibri"/>
          <w:color w:val="000000" w:themeColor="text1"/>
        </w:rPr>
      </w:pPr>
      <w:r w:rsidRPr="00664531">
        <w:rPr>
          <w:rFonts w:ascii="Calibri" w:hAnsi="Calibri" w:cs="Calibri"/>
          <w:color w:val="000000" w:themeColor="text1"/>
        </w:rPr>
        <w:t>The train–cross-validation accuracy gap did not indicate substantial overfitting for Gradient Boosting. Its training accuracy was 0.682 compared with a cross-validation accuracy of 0.681, producing a gap of only 0.001. Random Forest showed a larger gap of 0.033, with training accuracy of 0.577 compared with cross-validation accuracy of 0.544. This suggests some degree of fitting to the training data for Random Forest, although the gap was not sufficiently large to be the primary reason for rejecting the model.</w:t>
      </w:r>
    </w:p>
    <w:p w14:paraId="4522F556" w14:textId="2C63F03F"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The weaker Macro F1 of Gradient Boosting therefore appears to reflect a difference between overall accuracy and balanced class performance rather than a simple overfitting problem. This reinforces the importance of selecting evaluation metrics according to the analytical objective.</w:t>
      </w:r>
    </w:p>
    <w:p w14:paraId="3F2B528C" w14:textId="16AEA5FF"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most important limitation was the mismatch between the experiment's output and the project's main objective. The framework estimates current guideline attainment, whereas the final project requires estimates of how participation will evolve over time. Simply adding Survey Year would not automatically solve this issue; the modelling strategy would need to explicitly represent temporal structure and population change.</w:t>
      </w:r>
    </w:p>
    <w:p w14:paraId="7C0AAAAF"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9. Implications for the Final Methodology</w:t>
      </w:r>
    </w:p>
    <w:p w14:paraId="4042F602"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t>The exploratory work provides several lessons for the next stage. Demographic characteristics can provide informative predictors; model comparison should be empirical; and interpretable outputs can support understanding of model behaviour.</w:t>
      </w:r>
    </w:p>
    <w:p w14:paraId="63E47CEC" w14:textId="77777777" w:rsidR="00225705" w:rsidRPr="00664531" w:rsidRDefault="007B1A62" w:rsidP="00664531">
      <w:pPr>
        <w:jc w:val="both"/>
        <w:rPr>
          <w:rFonts w:ascii="Calibri" w:hAnsi="Calibri" w:cs="Calibri"/>
          <w:color w:val="000000" w:themeColor="text1"/>
          <w:sz w:val="24"/>
          <w:szCs w:val="24"/>
        </w:rPr>
      </w:pPr>
      <w:r w:rsidRPr="00664531">
        <w:rPr>
          <w:rFonts w:ascii="Calibri" w:hAnsi="Calibri" w:cs="Calibri"/>
          <w:color w:val="000000" w:themeColor="text1"/>
          <w:sz w:val="24"/>
          <w:szCs w:val="24"/>
        </w:rPr>
        <w:lastRenderedPageBreak/>
        <w:t>For the final methodology, these insights need to be incorporated into a framework that explicitly represents temporal change. Survey waves and borough-level population composition can be incorporated into forecasting so that the output is future participation estimates rather than only current classifications. Explainability and perturbation analysis can subsequently be used to understand and test the resulting forecasts.</w:t>
      </w:r>
    </w:p>
    <w:p w14:paraId="4F994D8A" w14:textId="77777777" w:rsidR="00225705" w:rsidRPr="00664531" w:rsidRDefault="007B1A62" w:rsidP="00664531">
      <w:pPr>
        <w:pStyle w:val="Heading1"/>
        <w:jc w:val="both"/>
        <w:rPr>
          <w:rFonts w:ascii="Calibri" w:hAnsi="Calibri" w:cs="Calibri"/>
          <w:color w:val="000000" w:themeColor="text1"/>
          <w:sz w:val="24"/>
          <w:szCs w:val="24"/>
        </w:rPr>
      </w:pPr>
      <w:r w:rsidRPr="00664531">
        <w:rPr>
          <w:rFonts w:ascii="Calibri" w:hAnsi="Calibri" w:cs="Calibri"/>
          <w:color w:val="000000" w:themeColor="text1"/>
          <w:sz w:val="24"/>
          <w:szCs w:val="24"/>
        </w:rPr>
        <w:t>10. Conclusion</w:t>
      </w:r>
    </w:p>
    <w:p w14:paraId="6F1E7C92"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The Clustering + Prediction experiment provided a useful exploratory investigation of physical activity participation in the London Active Lives Survey. K-Modes was used to segment respondents using categorical demographic, socioeconomic, health and geographical characteristics, producing interpretable population segments.</w:t>
      </w:r>
    </w:p>
    <w:p w14:paraId="7F9DCEBE"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Logistic Regression, Decision Tree, Random Forest and Gradient Boosting were compared for classification of whether respondents achieved 150+ minutes of physical activity per week. The results demonstrated a clear trade-off between overall accuracy and balanced class performance. Gradient Boosting achieved the highest test accuracy (67.93%) and cross-validation accuracy (68.07%), but had the lowest Macro F1 (0.363). Random Forest achieved a lower test accuracy (54.03%) but produced a relatively strong and consistent Macro F1 of 0.428 on the test set and 0.426 under cross-validation. Logistic Regression achieved a slightly higher Test Macro F1 of 0.431.</w:t>
      </w:r>
    </w:p>
    <w:p w14:paraId="641149D4"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Consequently, Random Forest was retained as the preferred model for the exploratory ensemble-based classification analysis where balanced performance, consistency across validation and interpretability were prioritised. It should not, however, be considered universally superior to the other models, as Gradient Boosting was clearly superior in overall accuracy and Logistic Regression produced a slightly higher Test Macro F1.</w:t>
      </w:r>
    </w:p>
    <w:p w14:paraId="064A3F22"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The train–cross-validation results also indicated that Gradient Boosting was not substantially overfit according to the accuracy gap, with a difference of only 0.001. The lower Macro F1 of Gradient Boosting therefore reflects its weaker balanced class performance rather than clear evidence of overfitting.</w:t>
      </w:r>
    </w:p>
    <w:p w14:paraId="6964AB27" w14:textId="77777777" w:rsidR="00F0265C" w:rsidRPr="00664531" w:rsidRDefault="00F0265C" w:rsidP="00664531">
      <w:pPr>
        <w:pStyle w:val="NormalWeb"/>
        <w:jc w:val="both"/>
        <w:rPr>
          <w:rFonts w:ascii="Calibri" w:hAnsi="Calibri" w:cs="Calibri"/>
          <w:color w:val="000000" w:themeColor="text1"/>
        </w:rPr>
      </w:pPr>
      <w:r w:rsidRPr="00664531">
        <w:rPr>
          <w:rFonts w:ascii="Calibri" w:hAnsi="Calibri" w:cs="Calibri"/>
          <w:color w:val="000000" w:themeColor="text1"/>
        </w:rPr>
        <w:t>Despite the useful exploratory results, the framework was not adopted as the final methodology because it did not address the temporal forecasting requirement. Without an explicit temporal modelling component, the approach predicts current activity status rather than future participation trends. It was therefore retained as valuable exploratory work and a modelling baseline while the project progressed towards a forecasting-oriented framework.</w:t>
      </w:r>
    </w:p>
    <w:p w14:paraId="3C1482C9" w14:textId="664046C9" w:rsidR="00225705" w:rsidRPr="00664531" w:rsidRDefault="00225705" w:rsidP="00664531">
      <w:pPr>
        <w:jc w:val="both"/>
        <w:rPr>
          <w:rFonts w:ascii="Calibri" w:hAnsi="Calibri" w:cs="Calibri"/>
          <w:color w:val="000000" w:themeColor="text1"/>
          <w:sz w:val="24"/>
          <w:szCs w:val="24"/>
        </w:rPr>
      </w:pPr>
    </w:p>
    <w:sectPr w:rsidR="00225705" w:rsidRPr="0066453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69A11B" w14:textId="77777777" w:rsidR="00CB6B69" w:rsidRDefault="00CB6B69">
      <w:pPr>
        <w:spacing w:after="0" w:line="240" w:lineRule="auto"/>
      </w:pPr>
      <w:r>
        <w:separator/>
      </w:r>
    </w:p>
  </w:endnote>
  <w:endnote w:type="continuationSeparator" w:id="0">
    <w:p w14:paraId="548B2CFE" w14:textId="77777777" w:rsidR="00CB6B69" w:rsidRDefault="00CB6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40A1E8" w14:textId="77777777" w:rsidR="00225705" w:rsidRDefault="007B1A62">
    <w:pPr>
      <w:pStyle w:val="Footer"/>
      <w:jc w:val="center"/>
    </w:pPr>
    <w:r>
      <w:fldChar w:fldCharType="begin"/>
    </w:r>
    <w:r>
      <w:instrText>PAGE</w:instrText>
    </w:r>
    <w:r>
      <w:fldChar w:fldCharType="separate"/>
    </w:r>
    <w:r w:rsidR="00AB70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8A1788" w14:textId="77777777" w:rsidR="00CB6B69" w:rsidRDefault="00CB6B69">
      <w:pPr>
        <w:spacing w:after="0" w:line="240" w:lineRule="auto"/>
      </w:pPr>
      <w:r>
        <w:separator/>
      </w:r>
    </w:p>
  </w:footnote>
  <w:footnote w:type="continuationSeparator" w:id="0">
    <w:p w14:paraId="62C3B666" w14:textId="77777777" w:rsidR="00CB6B69" w:rsidRDefault="00CB6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A6EA1E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60E58C"/>
    <w:lvl w:ilvl="0">
      <w:start w:val="1"/>
      <w:numFmt w:val="bullet"/>
      <w:pStyle w:val="ListBullet"/>
      <w:lvlText w:val=""/>
      <w:lvlJc w:val="left"/>
      <w:pPr>
        <w:tabs>
          <w:tab w:val="num" w:pos="360"/>
        </w:tabs>
        <w:ind w:left="360" w:hanging="360"/>
      </w:pPr>
      <w:rPr>
        <w:rFonts w:ascii="Symbol" w:hAnsi="Symbol" w:hint="default"/>
      </w:rPr>
    </w:lvl>
  </w:abstractNum>
  <w:num w:numId="1" w16cid:durableId="1596019390">
    <w:abstractNumId w:val="8"/>
  </w:num>
  <w:num w:numId="2" w16cid:durableId="338697332">
    <w:abstractNumId w:val="6"/>
  </w:num>
  <w:num w:numId="3" w16cid:durableId="40716641">
    <w:abstractNumId w:val="5"/>
  </w:num>
  <w:num w:numId="4" w16cid:durableId="481701232">
    <w:abstractNumId w:val="4"/>
  </w:num>
  <w:num w:numId="5" w16cid:durableId="1822767334">
    <w:abstractNumId w:val="7"/>
  </w:num>
  <w:num w:numId="6" w16cid:durableId="1937325729">
    <w:abstractNumId w:val="3"/>
  </w:num>
  <w:num w:numId="7" w16cid:durableId="1270040730">
    <w:abstractNumId w:val="2"/>
  </w:num>
  <w:num w:numId="8" w16cid:durableId="1239942009">
    <w:abstractNumId w:val="1"/>
  </w:num>
  <w:num w:numId="9" w16cid:durableId="567880440">
    <w:abstractNumId w:val="0"/>
  </w:num>
  <w:num w:numId="10" w16cid:durableId="49691813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705"/>
    <w:rsid w:val="0029639D"/>
    <w:rsid w:val="00326F90"/>
    <w:rsid w:val="00601672"/>
    <w:rsid w:val="00664531"/>
    <w:rsid w:val="007B1A62"/>
    <w:rsid w:val="00A742B7"/>
    <w:rsid w:val="00AA1D8D"/>
    <w:rsid w:val="00AB7045"/>
    <w:rsid w:val="00B47730"/>
    <w:rsid w:val="00CB0664"/>
    <w:rsid w:val="00CB6B69"/>
    <w:rsid w:val="00CC7A69"/>
    <w:rsid w:val="00DB709D"/>
    <w:rsid w:val="00F02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AFF35"/>
  <w14:defaultImageDpi w14:val="300"/>
  <w15:docId w15:val="{170BBE18-75CE-1C40-83FF-70062483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742B7"/>
    <w:pPr>
      <w:spacing w:before="100" w:beforeAutospacing="1" w:afterAutospacing="1" w:line="240" w:lineRule="auto"/>
    </w:pPr>
    <w:rPr>
      <w:rFonts w:ascii="Times New Roman" w:eastAsia="Times New Roman" w:hAnsi="Times New Roman" w:cs="Times New Roman"/>
      <w:sz w:val="24"/>
      <w:szCs w:val="24"/>
      <w:lang w:val="en-IN" w:eastAsia="en-GB"/>
    </w:rPr>
  </w:style>
  <w:style w:type="paragraph" w:customStyle="1" w:styleId="isselectedend">
    <w:name w:val="isselectedend"/>
    <w:basedOn w:val="Normal"/>
    <w:rsid w:val="00F0265C"/>
    <w:pPr>
      <w:spacing w:before="100" w:beforeAutospacing="1"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Sanya Kapoor</cp:lastModifiedBy>
  <cp:revision>6</cp:revision>
  <dcterms:created xsi:type="dcterms:W3CDTF">2013-12-23T23:15:00Z</dcterms:created>
  <dcterms:modified xsi:type="dcterms:W3CDTF">2026-08-11T14:22:00Z</dcterms:modified>
  <cp:category/>
</cp:coreProperties>
</file>