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D132" w14:textId="77777777" w:rsidR="00BE1539" w:rsidRDefault="007C0E3E">
      <w:pPr>
        <w:pStyle w:val="Heading1"/>
        <w:pageBreakBefore/>
      </w:pPr>
      <w:r>
        <w:t>Chapter 3: Methodology</w:t>
      </w:r>
    </w:p>
    <w:p w14:paraId="605679C0" w14:textId="77777777" w:rsidR="00BE1539" w:rsidRDefault="007C0E3E">
      <w:pPr>
        <w:spacing w:after="180"/>
        <w:jc w:val="both"/>
      </w:pPr>
      <w:r>
        <w:t>This chapter documents the methodology developed for the London Sport 2 dissertation project: forecasting physical activity participation, demographic engagement and volunteering across London's 32 boroughs using eight waves of Sport England's Active Lives Survey (UKDA ref 9288, 2015–16 to 2022–23). The chapter proceeds from the overall project workflow (3.1), through the dataset and its preparation (3.2–3.4), to the machine learning framework and the four modelling approaches developed across the project (</w:t>
      </w:r>
      <w:r>
        <w:t>3.5–3.9), concluding with the evaluation metrics used to assess them (3.10).</w:t>
      </w:r>
    </w:p>
    <w:p w14:paraId="7089AE10" w14:textId="77777777" w:rsidR="00BE1539" w:rsidRDefault="007C0E3E">
      <w:pPr>
        <w:pStyle w:val="Heading2"/>
      </w:pPr>
      <w:r>
        <w:t>3.1 Overall Project Workflow</w:t>
      </w:r>
    </w:p>
    <w:p w14:paraId="6CE78A8E" w14:textId="77777777" w:rsidR="00BE1539" w:rsidRDefault="007C0E3E">
      <w:pPr>
        <w:spacing w:after="180"/>
        <w:jc w:val="both"/>
      </w:pPr>
      <w:r>
        <w:t>The project followed a five-stage pipeline, moving from raw survey files to borough-level forecasts across the four analytical pillars specified in the London Sport brief: P1 (overall participation), P2 (demographic-specific insights), P3 (indoor versus outdoor activity) and P4 (volunteering in sport).</w:t>
      </w:r>
    </w:p>
    <w:p w14:paraId="09BB5569" w14:textId="77777777" w:rsidR="00BE1539" w:rsidRDefault="007C0E3E">
      <w:pPr>
        <w:pStyle w:val="ListParagraph"/>
        <w:numPr>
          <w:ilvl w:val="0"/>
          <w:numId w:val="1"/>
        </w:numPr>
        <w:spacing w:after="100"/>
      </w:pPr>
      <w:r>
        <w:t>Stage 1 — Data preparation and harmonisation: eight structurally inconsistent annual survey files were merged into a single individual-level dataset, with borough geography resolved against permanent ONS GSS codes and sentinel/missing values handled explicitly (Section 3.3).</w:t>
      </w:r>
    </w:p>
    <w:p w14:paraId="72C85F4E" w14:textId="77777777" w:rsidR="00BE1539" w:rsidRDefault="007C0E3E">
      <w:pPr>
        <w:pStyle w:val="ListParagraph"/>
        <w:numPr>
          <w:ilvl w:val="0"/>
          <w:numId w:val="1"/>
        </w:numPr>
        <w:spacing w:after="100"/>
      </w:pPr>
      <w:r>
        <w:t>Stage 2 — Exploratory data analysis: a quality-gate EDA was conducted prior to feature engineering, targeting six specific risks associated with a multi-wave government survey — merge integrity, sentinel contamination, missingness, borough coverage, cross-year consistency and distributional plausibility (Section 3.4).</w:t>
      </w:r>
    </w:p>
    <w:p w14:paraId="0BFD1C17" w14:textId="77777777" w:rsidR="00BE1539" w:rsidRDefault="007C0E3E">
      <w:pPr>
        <w:pStyle w:val="ListParagraph"/>
        <w:numPr>
          <w:ilvl w:val="0"/>
          <w:numId w:val="1"/>
        </w:numPr>
        <w:spacing w:after="100"/>
      </w:pPr>
      <w:r>
        <w:t xml:space="preserve">Stage 3 — Feature engineering: the cleaned 610-column master dataset was reduced to lean, model-ready datasets, with the ordinal </w:t>
      </w:r>
      <w:proofErr w:type="spellStart"/>
      <w:r>
        <w:t>Activity_Level</w:t>
      </w:r>
      <w:proofErr w:type="spellEnd"/>
      <w:r>
        <w:t xml:space="preserve"> target derived and demographic predictors consolidated (Section 3.3).</w:t>
      </w:r>
    </w:p>
    <w:p w14:paraId="082B4F70" w14:textId="77777777" w:rsidR="00BE1539" w:rsidRDefault="007C0E3E">
      <w:pPr>
        <w:pStyle w:val="ListParagraph"/>
        <w:numPr>
          <w:ilvl w:val="0"/>
          <w:numId w:val="1"/>
        </w:numPr>
        <w:spacing w:after="100"/>
      </w:pPr>
      <w:r>
        <w:t>Stage 4 — Modelling: four complementary modelling strands were developed in parallel across the team, addressing different facets of the brief — an individual-level driver model (</w:t>
      </w:r>
      <w:proofErr w:type="spellStart"/>
      <w:r>
        <w:t>CatBoost</w:t>
      </w:r>
      <w:proofErr w:type="spellEnd"/>
      <w:r>
        <w:t xml:space="preserve"> + SHAP), a borough-forecasting propensity model (ordinal logistic regression benchmarked against </w:t>
      </w:r>
      <w:proofErr w:type="spellStart"/>
      <w:r>
        <w:t>LightGBM</w:t>
      </w:r>
      <w:proofErr w:type="spellEnd"/>
      <w:r>
        <w:t>), a demographic segmentation and prediction pipeline (K-Modes clustering with supervised classifiers), and a fully probabilistic borough random-effects model (Bayesian Hierarchical Ordinal Logistic Regression). Sections 3.5–3.9 detail each.</w:t>
      </w:r>
    </w:p>
    <w:p w14:paraId="00932E32" w14:textId="77777777" w:rsidR="00BE1539" w:rsidRDefault="007C0E3E">
      <w:pPr>
        <w:pStyle w:val="ListParagraph"/>
        <w:numPr>
          <w:ilvl w:val="0"/>
          <w:numId w:val="1"/>
        </w:numPr>
        <w:spacing w:after="100"/>
      </w:pPr>
      <w:r>
        <w:t>Stage 5 — Forecasting and decomposition: borough and London-level forecasts are produced by combining the propensity model with a projected demographic composition and an estimated behavioural trend, decomposed into composition and behaviour effects; a perturbation-based reweighting step (using ONS 2035 population projections) extends this to demographic scenario forecasting for P2 and is in progress at the time of writing.</w:t>
      </w:r>
    </w:p>
    <w:p w14:paraId="295FD19D" w14:textId="77777777" w:rsidR="00BE1539" w:rsidRDefault="007C0E3E">
      <w:pPr>
        <w:spacing w:before="120" w:after="240"/>
        <w:jc w:val="center"/>
      </w:pPr>
      <w:r>
        <w:rPr>
          <w:b/>
          <w:bCs/>
          <w:i/>
          <w:iCs/>
          <w:color w:val="990000"/>
          <w:shd w:val="clear" w:color="auto" w:fill="FFFF00"/>
        </w:rPr>
        <w:t>[Figure 3.1: overall pipeline diagram, showing data flow from raw SPSS files through harmonisation, EDA, feature engineering, the four modelling strands, and the forecasting engine to the P1–P4 outputs — insert from notebook]</w:t>
      </w:r>
    </w:p>
    <w:p w14:paraId="5BF93646" w14:textId="77777777" w:rsidR="00BE1539" w:rsidRDefault="007C0E3E">
      <w:pPr>
        <w:spacing w:after="180"/>
        <w:jc w:val="both"/>
      </w:pPr>
      <w:r>
        <w:t>A consistent validation principle was applied across all four modelling strands: splits are temporal rather than random. Each model is trained on early survey waves, tuned on an intermediate wave, and tested on the final, entirely untouched 2022–23 wave. This walk-forward design mirrors the real forecasting task — using only historical data to anticipate the future — and prevents the information leakage that a random split would introduce.</w:t>
      </w:r>
    </w:p>
    <w:p w14:paraId="02A3F04A" w14:textId="77777777" w:rsidR="00BE1539" w:rsidRDefault="007C0E3E">
      <w:pPr>
        <w:pStyle w:val="Heading2"/>
      </w:pPr>
      <w:r>
        <w:lastRenderedPageBreak/>
        <w:t>3.2 Dataset Description</w:t>
      </w:r>
    </w:p>
    <w:p w14:paraId="66460260" w14:textId="77777777" w:rsidR="00BE1539" w:rsidRDefault="007C0E3E">
      <w:pPr>
        <w:spacing w:after="180"/>
        <w:jc w:val="both"/>
      </w:pPr>
      <w:r>
        <w:t>The analysis uses the London subset of Sport England's Active Lives Adult Survey, a continuous national survey of adults aged 16 and over that records the type, frequency, duration, intensity and setting of physical activity undertaken in the preceding 28 days. The survey is a repeated cross-section rather than a panel: no individual is followed over time, which shapes both the modelling design (Section 3.5) and the limitations discussed in Section 4.5.</w:t>
      </w:r>
    </w:p>
    <w:p w14:paraId="26D5FF43" w14:textId="77777777" w:rsidR="00BE1539" w:rsidRDefault="007C0E3E">
      <w:pPr>
        <w:spacing w:after="180"/>
        <w:jc w:val="both"/>
      </w:pPr>
      <w:r>
        <w:t>Eight consecutive annual waves were used, spanning 2015–16 to 2022–23. After excluding the City of London (E09000001, not sampled at usable scale), the dataset covers all 32 London boroughs and 135,497 respondents in total. The number of columns in the raw survey grew from 292 in the earliest wave to 601 in the most recent, reflecting substantial changes to the survey instrument over the period — the central challenge addressed in data preprocessing (Section 3.3).</w:t>
      </w:r>
    </w:p>
    <w:p w14:paraId="7AAE6469" w14:textId="77777777" w:rsidR="00BE1539" w:rsidRDefault="007C0E3E">
      <w:pPr>
        <w:spacing w:after="240"/>
        <w:jc w:val="center"/>
      </w:pPr>
      <w:r>
        <w:rPr>
          <w:i/>
          <w:iCs/>
          <w:color w:val="808080"/>
          <w:sz w:val="20"/>
          <w:szCs w:val="20"/>
        </w:rPr>
        <w:t>Table 3.1. Rows and columns per survey wave, London subset only.</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2200"/>
        <w:gridCol w:w="1600"/>
      </w:tblGrid>
      <w:tr w:rsidR="00BE1539" w14:paraId="78B83E68"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0F4EFD65" w14:textId="77777777" w:rsidR="00BE1539" w:rsidRDefault="007C0E3E">
            <w:r>
              <w:rPr>
                <w:b/>
                <w:bCs/>
                <w:color w:val="FFFFFF"/>
                <w:sz w:val="20"/>
                <w:szCs w:val="20"/>
              </w:rPr>
              <w:t>Survey Year</w:t>
            </w:r>
          </w:p>
        </w:tc>
        <w:tc>
          <w:tcPr>
            <w:tcW w:w="1000" w:type="dxa"/>
            <w:shd w:val="clear" w:color="auto" w:fill="1F3864"/>
            <w:tcMar>
              <w:top w:w="80" w:type="dxa"/>
              <w:left w:w="100" w:type="dxa"/>
              <w:bottom w:w="80" w:type="dxa"/>
              <w:right w:w="100" w:type="dxa"/>
            </w:tcMar>
          </w:tcPr>
          <w:p w14:paraId="645BB8DF" w14:textId="77777777" w:rsidR="00BE1539" w:rsidRDefault="007C0E3E">
            <w:r>
              <w:rPr>
                <w:b/>
                <w:bCs/>
                <w:color w:val="FFFFFF"/>
                <w:sz w:val="20"/>
                <w:szCs w:val="20"/>
              </w:rPr>
              <w:t>Wave</w:t>
            </w:r>
          </w:p>
        </w:tc>
        <w:tc>
          <w:tcPr>
            <w:tcW w:w="2200" w:type="dxa"/>
            <w:shd w:val="clear" w:color="auto" w:fill="1F3864"/>
            <w:tcMar>
              <w:top w:w="80" w:type="dxa"/>
              <w:left w:w="100" w:type="dxa"/>
              <w:bottom w:w="80" w:type="dxa"/>
              <w:right w:w="100" w:type="dxa"/>
            </w:tcMar>
          </w:tcPr>
          <w:p w14:paraId="2DD03128" w14:textId="77777777" w:rsidR="00BE1539" w:rsidRDefault="007C0E3E">
            <w:r>
              <w:rPr>
                <w:b/>
                <w:bCs/>
                <w:color w:val="FFFFFF"/>
                <w:sz w:val="20"/>
                <w:szCs w:val="20"/>
              </w:rPr>
              <w:t>Rows (London)</w:t>
            </w:r>
          </w:p>
        </w:tc>
        <w:tc>
          <w:tcPr>
            <w:tcW w:w="1600" w:type="dxa"/>
            <w:shd w:val="clear" w:color="auto" w:fill="1F3864"/>
            <w:tcMar>
              <w:top w:w="80" w:type="dxa"/>
              <w:left w:w="100" w:type="dxa"/>
              <w:bottom w:w="80" w:type="dxa"/>
              <w:right w:w="100" w:type="dxa"/>
            </w:tcMar>
          </w:tcPr>
          <w:p w14:paraId="26FAA5D2" w14:textId="77777777" w:rsidR="00BE1539" w:rsidRDefault="007C0E3E">
            <w:r>
              <w:rPr>
                <w:b/>
                <w:bCs/>
                <w:color w:val="FFFFFF"/>
                <w:sz w:val="20"/>
                <w:szCs w:val="20"/>
              </w:rPr>
              <w:t>Columns</w:t>
            </w:r>
          </w:p>
        </w:tc>
      </w:tr>
      <w:tr w:rsidR="00BE1539" w14:paraId="24CE2FA8" w14:textId="77777777">
        <w:tblPrEx>
          <w:tblCellMar>
            <w:top w:w="0" w:type="dxa"/>
            <w:bottom w:w="0" w:type="dxa"/>
          </w:tblCellMar>
        </w:tblPrEx>
        <w:tc>
          <w:tcPr>
            <w:tcW w:w="1600" w:type="dxa"/>
            <w:tcMar>
              <w:top w:w="80" w:type="dxa"/>
              <w:left w:w="100" w:type="dxa"/>
              <w:bottom w:w="80" w:type="dxa"/>
              <w:right w:w="100" w:type="dxa"/>
            </w:tcMar>
          </w:tcPr>
          <w:p w14:paraId="4F3F02CF" w14:textId="77777777" w:rsidR="00BE1539" w:rsidRDefault="007C0E3E">
            <w:r>
              <w:rPr>
                <w:color w:val="000000"/>
                <w:sz w:val="20"/>
                <w:szCs w:val="20"/>
              </w:rPr>
              <w:t>2015–16</w:t>
            </w:r>
          </w:p>
        </w:tc>
        <w:tc>
          <w:tcPr>
            <w:tcW w:w="1000" w:type="dxa"/>
            <w:tcMar>
              <w:top w:w="80" w:type="dxa"/>
              <w:left w:w="100" w:type="dxa"/>
              <w:bottom w:w="80" w:type="dxa"/>
              <w:right w:w="100" w:type="dxa"/>
            </w:tcMar>
          </w:tcPr>
          <w:p w14:paraId="3F5B8FBF" w14:textId="77777777" w:rsidR="00BE1539" w:rsidRDefault="007C0E3E">
            <w:r>
              <w:rPr>
                <w:color w:val="000000"/>
                <w:sz w:val="20"/>
                <w:szCs w:val="20"/>
              </w:rPr>
              <w:t>Y1</w:t>
            </w:r>
          </w:p>
        </w:tc>
        <w:tc>
          <w:tcPr>
            <w:tcW w:w="2200" w:type="dxa"/>
            <w:tcMar>
              <w:top w:w="80" w:type="dxa"/>
              <w:left w:w="100" w:type="dxa"/>
              <w:bottom w:w="80" w:type="dxa"/>
              <w:right w:w="100" w:type="dxa"/>
            </w:tcMar>
          </w:tcPr>
          <w:p w14:paraId="36A67658" w14:textId="77777777" w:rsidR="00BE1539" w:rsidRDefault="007C0E3E">
            <w:r>
              <w:rPr>
                <w:color w:val="000000"/>
                <w:sz w:val="20"/>
                <w:szCs w:val="20"/>
              </w:rPr>
              <w:t>19,620</w:t>
            </w:r>
          </w:p>
        </w:tc>
        <w:tc>
          <w:tcPr>
            <w:tcW w:w="1600" w:type="dxa"/>
            <w:tcMar>
              <w:top w:w="80" w:type="dxa"/>
              <w:left w:w="100" w:type="dxa"/>
              <w:bottom w:w="80" w:type="dxa"/>
              <w:right w:w="100" w:type="dxa"/>
            </w:tcMar>
          </w:tcPr>
          <w:p w14:paraId="2B16CD49" w14:textId="77777777" w:rsidR="00BE1539" w:rsidRDefault="007C0E3E">
            <w:r>
              <w:rPr>
                <w:color w:val="000000"/>
                <w:sz w:val="20"/>
                <w:szCs w:val="20"/>
              </w:rPr>
              <w:t>292</w:t>
            </w:r>
          </w:p>
        </w:tc>
      </w:tr>
      <w:tr w:rsidR="00BE1539" w14:paraId="2D4124C9"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1506F41C" w14:textId="77777777" w:rsidR="00BE1539" w:rsidRDefault="007C0E3E">
            <w:r>
              <w:rPr>
                <w:color w:val="000000"/>
                <w:sz w:val="20"/>
                <w:szCs w:val="20"/>
              </w:rPr>
              <w:t>2016–17</w:t>
            </w:r>
          </w:p>
        </w:tc>
        <w:tc>
          <w:tcPr>
            <w:tcW w:w="1000" w:type="dxa"/>
            <w:shd w:val="clear" w:color="auto" w:fill="F2F2F2"/>
            <w:tcMar>
              <w:top w:w="80" w:type="dxa"/>
              <w:left w:w="100" w:type="dxa"/>
              <w:bottom w:w="80" w:type="dxa"/>
              <w:right w:w="100" w:type="dxa"/>
            </w:tcMar>
          </w:tcPr>
          <w:p w14:paraId="46CF92DD" w14:textId="77777777" w:rsidR="00BE1539" w:rsidRDefault="007C0E3E">
            <w:r>
              <w:rPr>
                <w:color w:val="000000"/>
                <w:sz w:val="20"/>
                <w:szCs w:val="20"/>
              </w:rPr>
              <w:t>Y2</w:t>
            </w:r>
          </w:p>
        </w:tc>
        <w:tc>
          <w:tcPr>
            <w:tcW w:w="2200" w:type="dxa"/>
            <w:shd w:val="clear" w:color="auto" w:fill="F2F2F2"/>
            <w:tcMar>
              <w:top w:w="80" w:type="dxa"/>
              <w:left w:w="100" w:type="dxa"/>
              <w:bottom w:w="80" w:type="dxa"/>
              <w:right w:w="100" w:type="dxa"/>
            </w:tcMar>
          </w:tcPr>
          <w:p w14:paraId="24420712" w14:textId="77777777" w:rsidR="00BE1539" w:rsidRDefault="007C0E3E">
            <w:r>
              <w:rPr>
                <w:color w:val="000000"/>
                <w:sz w:val="20"/>
                <w:szCs w:val="20"/>
              </w:rPr>
              <w:t>19,248</w:t>
            </w:r>
          </w:p>
        </w:tc>
        <w:tc>
          <w:tcPr>
            <w:tcW w:w="1600" w:type="dxa"/>
            <w:shd w:val="clear" w:color="auto" w:fill="F2F2F2"/>
            <w:tcMar>
              <w:top w:w="80" w:type="dxa"/>
              <w:left w:w="100" w:type="dxa"/>
              <w:bottom w:w="80" w:type="dxa"/>
              <w:right w:w="100" w:type="dxa"/>
            </w:tcMar>
          </w:tcPr>
          <w:p w14:paraId="14160EC4" w14:textId="77777777" w:rsidR="00BE1539" w:rsidRDefault="007C0E3E">
            <w:r>
              <w:rPr>
                <w:color w:val="000000"/>
                <w:sz w:val="20"/>
                <w:szCs w:val="20"/>
              </w:rPr>
              <w:t>498</w:t>
            </w:r>
          </w:p>
        </w:tc>
      </w:tr>
      <w:tr w:rsidR="00BE1539" w14:paraId="3C0CCEF5" w14:textId="77777777">
        <w:tblPrEx>
          <w:tblCellMar>
            <w:top w:w="0" w:type="dxa"/>
            <w:bottom w:w="0" w:type="dxa"/>
          </w:tblCellMar>
        </w:tblPrEx>
        <w:tc>
          <w:tcPr>
            <w:tcW w:w="1600" w:type="dxa"/>
            <w:tcMar>
              <w:top w:w="80" w:type="dxa"/>
              <w:left w:w="100" w:type="dxa"/>
              <w:bottom w:w="80" w:type="dxa"/>
              <w:right w:w="100" w:type="dxa"/>
            </w:tcMar>
          </w:tcPr>
          <w:p w14:paraId="372CF39C" w14:textId="77777777" w:rsidR="00BE1539" w:rsidRDefault="007C0E3E">
            <w:r>
              <w:rPr>
                <w:color w:val="000000"/>
                <w:sz w:val="20"/>
                <w:szCs w:val="20"/>
              </w:rPr>
              <w:t>2017–18</w:t>
            </w:r>
          </w:p>
        </w:tc>
        <w:tc>
          <w:tcPr>
            <w:tcW w:w="1000" w:type="dxa"/>
            <w:tcMar>
              <w:top w:w="80" w:type="dxa"/>
              <w:left w:w="100" w:type="dxa"/>
              <w:bottom w:w="80" w:type="dxa"/>
              <w:right w:w="100" w:type="dxa"/>
            </w:tcMar>
          </w:tcPr>
          <w:p w14:paraId="528A712D" w14:textId="77777777" w:rsidR="00BE1539" w:rsidRDefault="007C0E3E">
            <w:r>
              <w:rPr>
                <w:color w:val="000000"/>
                <w:sz w:val="20"/>
                <w:szCs w:val="20"/>
              </w:rPr>
              <w:t>Y3</w:t>
            </w:r>
          </w:p>
        </w:tc>
        <w:tc>
          <w:tcPr>
            <w:tcW w:w="2200" w:type="dxa"/>
            <w:tcMar>
              <w:top w:w="80" w:type="dxa"/>
              <w:left w:w="100" w:type="dxa"/>
              <w:bottom w:w="80" w:type="dxa"/>
              <w:right w:w="100" w:type="dxa"/>
            </w:tcMar>
          </w:tcPr>
          <w:p w14:paraId="2424AC75" w14:textId="77777777" w:rsidR="00BE1539" w:rsidRDefault="007C0E3E">
            <w:r>
              <w:rPr>
                <w:color w:val="000000"/>
                <w:sz w:val="20"/>
                <w:szCs w:val="20"/>
              </w:rPr>
              <w:t>15,967</w:t>
            </w:r>
          </w:p>
        </w:tc>
        <w:tc>
          <w:tcPr>
            <w:tcW w:w="1600" w:type="dxa"/>
            <w:tcMar>
              <w:top w:w="80" w:type="dxa"/>
              <w:left w:w="100" w:type="dxa"/>
              <w:bottom w:w="80" w:type="dxa"/>
              <w:right w:w="100" w:type="dxa"/>
            </w:tcMar>
          </w:tcPr>
          <w:p w14:paraId="2DF8C791" w14:textId="77777777" w:rsidR="00BE1539" w:rsidRDefault="007C0E3E">
            <w:r>
              <w:rPr>
                <w:color w:val="000000"/>
                <w:sz w:val="20"/>
                <w:szCs w:val="20"/>
              </w:rPr>
              <w:t>527</w:t>
            </w:r>
          </w:p>
        </w:tc>
      </w:tr>
      <w:tr w:rsidR="00BE1539" w14:paraId="58DC0FE2"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526C5935" w14:textId="77777777" w:rsidR="00BE1539" w:rsidRDefault="007C0E3E">
            <w:r>
              <w:rPr>
                <w:color w:val="000000"/>
                <w:sz w:val="20"/>
                <w:szCs w:val="20"/>
              </w:rPr>
              <w:t>2018–19</w:t>
            </w:r>
          </w:p>
        </w:tc>
        <w:tc>
          <w:tcPr>
            <w:tcW w:w="1000" w:type="dxa"/>
            <w:shd w:val="clear" w:color="auto" w:fill="F2F2F2"/>
            <w:tcMar>
              <w:top w:w="80" w:type="dxa"/>
              <w:left w:w="100" w:type="dxa"/>
              <w:bottom w:w="80" w:type="dxa"/>
              <w:right w:w="100" w:type="dxa"/>
            </w:tcMar>
          </w:tcPr>
          <w:p w14:paraId="21A715AE" w14:textId="77777777" w:rsidR="00BE1539" w:rsidRDefault="007C0E3E">
            <w:r>
              <w:rPr>
                <w:color w:val="000000"/>
                <w:sz w:val="20"/>
                <w:szCs w:val="20"/>
              </w:rPr>
              <w:t>Y4</w:t>
            </w:r>
          </w:p>
        </w:tc>
        <w:tc>
          <w:tcPr>
            <w:tcW w:w="2200" w:type="dxa"/>
            <w:shd w:val="clear" w:color="auto" w:fill="F2F2F2"/>
            <w:tcMar>
              <w:top w:w="80" w:type="dxa"/>
              <w:left w:w="100" w:type="dxa"/>
              <w:bottom w:w="80" w:type="dxa"/>
              <w:right w:w="100" w:type="dxa"/>
            </w:tcMar>
          </w:tcPr>
          <w:p w14:paraId="21F77C5E" w14:textId="77777777" w:rsidR="00BE1539" w:rsidRDefault="007C0E3E">
            <w:r>
              <w:rPr>
                <w:color w:val="000000"/>
                <w:sz w:val="20"/>
                <w:szCs w:val="20"/>
              </w:rPr>
              <w:t>15,889</w:t>
            </w:r>
          </w:p>
        </w:tc>
        <w:tc>
          <w:tcPr>
            <w:tcW w:w="1600" w:type="dxa"/>
            <w:shd w:val="clear" w:color="auto" w:fill="F2F2F2"/>
            <w:tcMar>
              <w:top w:w="80" w:type="dxa"/>
              <w:left w:w="100" w:type="dxa"/>
              <w:bottom w:w="80" w:type="dxa"/>
              <w:right w:w="100" w:type="dxa"/>
            </w:tcMar>
          </w:tcPr>
          <w:p w14:paraId="2E6AF8EB" w14:textId="77777777" w:rsidR="00BE1539" w:rsidRDefault="007C0E3E">
            <w:r>
              <w:rPr>
                <w:color w:val="000000"/>
                <w:sz w:val="20"/>
                <w:szCs w:val="20"/>
              </w:rPr>
              <w:t>545</w:t>
            </w:r>
          </w:p>
        </w:tc>
      </w:tr>
      <w:tr w:rsidR="00BE1539" w14:paraId="71216D9E" w14:textId="77777777">
        <w:tblPrEx>
          <w:tblCellMar>
            <w:top w:w="0" w:type="dxa"/>
            <w:bottom w:w="0" w:type="dxa"/>
          </w:tblCellMar>
        </w:tblPrEx>
        <w:tc>
          <w:tcPr>
            <w:tcW w:w="1600" w:type="dxa"/>
            <w:tcMar>
              <w:top w:w="80" w:type="dxa"/>
              <w:left w:w="100" w:type="dxa"/>
              <w:bottom w:w="80" w:type="dxa"/>
              <w:right w:w="100" w:type="dxa"/>
            </w:tcMar>
          </w:tcPr>
          <w:p w14:paraId="0D5A3A01" w14:textId="77777777" w:rsidR="00BE1539" w:rsidRDefault="007C0E3E">
            <w:r>
              <w:rPr>
                <w:color w:val="000000"/>
                <w:sz w:val="20"/>
                <w:szCs w:val="20"/>
              </w:rPr>
              <w:t>2019–20</w:t>
            </w:r>
          </w:p>
        </w:tc>
        <w:tc>
          <w:tcPr>
            <w:tcW w:w="1000" w:type="dxa"/>
            <w:tcMar>
              <w:top w:w="80" w:type="dxa"/>
              <w:left w:w="100" w:type="dxa"/>
              <w:bottom w:w="80" w:type="dxa"/>
              <w:right w:w="100" w:type="dxa"/>
            </w:tcMar>
          </w:tcPr>
          <w:p w14:paraId="596FF73A" w14:textId="77777777" w:rsidR="00BE1539" w:rsidRDefault="007C0E3E">
            <w:r>
              <w:rPr>
                <w:color w:val="000000"/>
                <w:sz w:val="20"/>
                <w:szCs w:val="20"/>
              </w:rPr>
              <w:t>Y5</w:t>
            </w:r>
          </w:p>
        </w:tc>
        <w:tc>
          <w:tcPr>
            <w:tcW w:w="2200" w:type="dxa"/>
            <w:tcMar>
              <w:top w:w="80" w:type="dxa"/>
              <w:left w:w="100" w:type="dxa"/>
              <w:bottom w:w="80" w:type="dxa"/>
              <w:right w:w="100" w:type="dxa"/>
            </w:tcMar>
          </w:tcPr>
          <w:p w14:paraId="376C551F" w14:textId="77777777" w:rsidR="00BE1539" w:rsidRDefault="007C0E3E">
            <w:r>
              <w:rPr>
                <w:color w:val="000000"/>
                <w:sz w:val="20"/>
                <w:szCs w:val="20"/>
              </w:rPr>
              <w:t>16,091</w:t>
            </w:r>
          </w:p>
        </w:tc>
        <w:tc>
          <w:tcPr>
            <w:tcW w:w="1600" w:type="dxa"/>
            <w:tcMar>
              <w:top w:w="80" w:type="dxa"/>
              <w:left w:w="100" w:type="dxa"/>
              <w:bottom w:w="80" w:type="dxa"/>
              <w:right w:w="100" w:type="dxa"/>
            </w:tcMar>
          </w:tcPr>
          <w:p w14:paraId="520A5310" w14:textId="77777777" w:rsidR="00BE1539" w:rsidRDefault="007C0E3E">
            <w:r>
              <w:rPr>
                <w:color w:val="000000"/>
                <w:sz w:val="20"/>
                <w:szCs w:val="20"/>
              </w:rPr>
              <w:t>589</w:t>
            </w:r>
          </w:p>
        </w:tc>
      </w:tr>
      <w:tr w:rsidR="00BE1539" w14:paraId="1D9F401D"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2A773A50" w14:textId="77777777" w:rsidR="00BE1539" w:rsidRDefault="007C0E3E">
            <w:r>
              <w:rPr>
                <w:color w:val="000000"/>
                <w:sz w:val="20"/>
                <w:szCs w:val="20"/>
              </w:rPr>
              <w:t>2020–21</w:t>
            </w:r>
          </w:p>
        </w:tc>
        <w:tc>
          <w:tcPr>
            <w:tcW w:w="1000" w:type="dxa"/>
            <w:shd w:val="clear" w:color="auto" w:fill="F2F2F2"/>
            <w:tcMar>
              <w:top w:w="80" w:type="dxa"/>
              <w:left w:w="100" w:type="dxa"/>
              <w:bottom w:w="80" w:type="dxa"/>
              <w:right w:w="100" w:type="dxa"/>
            </w:tcMar>
          </w:tcPr>
          <w:p w14:paraId="3B04E8E7" w14:textId="77777777" w:rsidR="00BE1539" w:rsidRDefault="007C0E3E">
            <w:r>
              <w:rPr>
                <w:color w:val="000000"/>
                <w:sz w:val="20"/>
                <w:szCs w:val="20"/>
              </w:rPr>
              <w:t>Y6</w:t>
            </w:r>
          </w:p>
        </w:tc>
        <w:tc>
          <w:tcPr>
            <w:tcW w:w="2200" w:type="dxa"/>
            <w:shd w:val="clear" w:color="auto" w:fill="F2F2F2"/>
            <w:tcMar>
              <w:top w:w="80" w:type="dxa"/>
              <w:left w:w="100" w:type="dxa"/>
              <w:bottom w:w="80" w:type="dxa"/>
              <w:right w:w="100" w:type="dxa"/>
            </w:tcMar>
          </w:tcPr>
          <w:p w14:paraId="4667B797" w14:textId="77777777" w:rsidR="00BE1539" w:rsidRDefault="007C0E3E">
            <w:r>
              <w:rPr>
                <w:color w:val="000000"/>
                <w:sz w:val="20"/>
                <w:szCs w:val="20"/>
              </w:rPr>
              <w:t>16,028</w:t>
            </w:r>
          </w:p>
        </w:tc>
        <w:tc>
          <w:tcPr>
            <w:tcW w:w="1600" w:type="dxa"/>
            <w:shd w:val="clear" w:color="auto" w:fill="F2F2F2"/>
            <w:tcMar>
              <w:top w:w="80" w:type="dxa"/>
              <w:left w:w="100" w:type="dxa"/>
              <w:bottom w:w="80" w:type="dxa"/>
              <w:right w:w="100" w:type="dxa"/>
            </w:tcMar>
          </w:tcPr>
          <w:p w14:paraId="13FAF53F" w14:textId="77777777" w:rsidR="00BE1539" w:rsidRDefault="007C0E3E">
            <w:r>
              <w:rPr>
                <w:color w:val="000000"/>
                <w:sz w:val="20"/>
                <w:szCs w:val="20"/>
              </w:rPr>
              <w:t>589</w:t>
            </w:r>
          </w:p>
        </w:tc>
      </w:tr>
      <w:tr w:rsidR="00BE1539" w14:paraId="23AC61DA" w14:textId="77777777">
        <w:tblPrEx>
          <w:tblCellMar>
            <w:top w:w="0" w:type="dxa"/>
            <w:bottom w:w="0" w:type="dxa"/>
          </w:tblCellMar>
        </w:tblPrEx>
        <w:tc>
          <w:tcPr>
            <w:tcW w:w="1600" w:type="dxa"/>
            <w:tcMar>
              <w:top w:w="80" w:type="dxa"/>
              <w:left w:w="100" w:type="dxa"/>
              <w:bottom w:w="80" w:type="dxa"/>
              <w:right w:w="100" w:type="dxa"/>
            </w:tcMar>
          </w:tcPr>
          <w:p w14:paraId="016B644B" w14:textId="77777777" w:rsidR="00BE1539" w:rsidRDefault="007C0E3E">
            <w:r>
              <w:rPr>
                <w:color w:val="000000"/>
                <w:sz w:val="20"/>
                <w:szCs w:val="20"/>
              </w:rPr>
              <w:t>2021–22</w:t>
            </w:r>
          </w:p>
        </w:tc>
        <w:tc>
          <w:tcPr>
            <w:tcW w:w="1000" w:type="dxa"/>
            <w:tcMar>
              <w:top w:w="80" w:type="dxa"/>
              <w:left w:w="100" w:type="dxa"/>
              <w:bottom w:w="80" w:type="dxa"/>
              <w:right w:w="100" w:type="dxa"/>
            </w:tcMar>
          </w:tcPr>
          <w:p w14:paraId="0FF336DD" w14:textId="77777777" w:rsidR="00BE1539" w:rsidRDefault="007C0E3E">
            <w:r>
              <w:rPr>
                <w:color w:val="000000"/>
                <w:sz w:val="20"/>
                <w:szCs w:val="20"/>
              </w:rPr>
              <w:t>Y7</w:t>
            </w:r>
          </w:p>
        </w:tc>
        <w:tc>
          <w:tcPr>
            <w:tcW w:w="2200" w:type="dxa"/>
            <w:tcMar>
              <w:top w:w="80" w:type="dxa"/>
              <w:left w:w="100" w:type="dxa"/>
              <w:bottom w:w="80" w:type="dxa"/>
              <w:right w:w="100" w:type="dxa"/>
            </w:tcMar>
          </w:tcPr>
          <w:p w14:paraId="008C76CF" w14:textId="77777777" w:rsidR="00BE1539" w:rsidRDefault="007C0E3E">
            <w:r>
              <w:rPr>
                <w:color w:val="000000"/>
                <w:sz w:val="20"/>
                <w:szCs w:val="20"/>
              </w:rPr>
              <w:t>16,139</w:t>
            </w:r>
          </w:p>
        </w:tc>
        <w:tc>
          <w:tcPr>
            <w:tcW w:w="1600" w:type="dxa"/>
            <w:tcMar>
              <w:top w:w="80" w:type="dxa"/>
              <w:left w:w="100" w:type="dxa"/>
              <w:bottom w:w="80" w:type="dxa"/>
              <w:right w:w="100" w:type="dxa"/>
            </w:tcMar>
          </w:tcPr>
          <w:p w14:paraId="27B69CDC" w14:textId="77777777" w:rsidR="00BE1539" w:rsidRDefault="007C0E3E">
            <w:r>
              <w:rPr>
                <w:color w:val="000000"/>
                <w:sz w:val="20"/>
                <w:szCs w:val="20"/>
              </w:rPr>
              <w:t>590</w:t>
            </w:r>
          </w:p>
        </w:tc>
      </w:tr>
      <w:tr w:rsidR="00BE1539" w14:paraId="2E965F06"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2732BF30" w14:textId="77777777" w:rsidR="00BE1539" w:rsidRDefault="007C0E3E">
            <w:r>
              <w:rPr>
                <w:color w:val="000000"/>
                <w:sz w:val="20"/>
                <w:szCs w:val="20"/>
              </w:rPr>
              <w:t>2022–23</w:t>
            </w:r>
          </w:p>
        </w:tc>
        <w:tc>
          <w:tcPr>
            <w:tcW w:w="1000" w:type="dxa"/>
            <w:shd w:val="clear" w:color="auto" w:fill="F2F2F2"/>
            <w:tcMar>
              <w:top w:w="80" w:type="dxa"/>
              <w:left w:w="100" w:type="dxa"/>
              <w:bottom w:w="80" w:type="dxa"/>
              <w:right w:w="100" w:type="dxa"/>
            </w:tcMar>
          </w:tcPr>
          <w:p w14:paraId="60DD69DB" w14:textId="77777777" w:rsidR="00BE1539" w:rsidRDefault="007C0E3E">
            <w:r>
              <w:rPr>
                <w:color w:val="000000"/>
                <w:sz w:val="20"/>
                <w:szCs w:val="20"/>
              </w:rPr>
              <w:t>Y8</w:t>
            </w:r>
          </w:p>
        </w:tc>
        <w:tc>
          <w:tcPr>
            <w:tcW w:w="2200" w:type="dxa"/>
            <w:shd w:val="clear" w:color="auto" w:fill="F2F2F2"/>
            <w:tcMar>
              <w:top w:w="80" w:type="dxa"/>
              <w:left w:w="100" w:type="dxa"/>
              <w:bottom w:w="80" w:type="dxa"/>
              <w:right w:w="100" w:type="dxa"/>
            </w:tcMar>
          </w:tcPr>
          <w:p w14:paraId="2932D319" w14:textId="77777777" w:rsidR="00BE1539" w:rsidRDefault="007C0E3E">
            <w:r>
              <w:rPr>
                <w:color w:val="000000"/>
                <w:sz w:val="20"/>
                <w:szCs w:val="20"/>
              </w:rPr>
              <w:t>16,515</w:t>
            </w:r>
          </w:p>
        </w:tc>
        <w:tc>
          <w:tcPr>
            <w:tcW w:w="1600" w:type="dxa"/>
            <w:shd w:val="clear" w:color="auto" w:fill="F2F2F2"/>
            <w:tcMar>
              <w:top w:w="80" w:type="dxa"/>
              <w:left w:w="100" w:type="dxa"/>
              <w:bottom w:w="80" w:type="dxa"/>
              <w:right w:w="100" w:type="dxa"/>
            </w:tcMar>
          </w:tcPr>
          <w:p w14:paraId="1DD92613" w14:textId="77777777" w:rsidR="00BE1539" w:rsidRDefault="007C0E3E">
            <w:r>
              <w:rPr>
                <w:color w:val="000000"/>
                <w:sz w:val="20"/>
                <w:szCs w:val="20"/>
              </w:rPr>
              <w:t>601</w:t>
            </w:r>
          </w:p>
        </w:tc>
      </w:tr>
    </w:tbl>
    <w:p w14:paraId="59C844E4" w14:textId="77777777" w:rsidR="00BE1539" w:rsidRDefault="00BE1539">
      <w:pPr>
        <w:spacing w:after="240"/>
      </w:pPr>
    </w:p>
    <w:p w14:paraId="7307C541" w14:textId="77777777" w:rsidR="00BE1539" w:rsidRDefault="007C0E3E">
      <w:pPr>
        <w:spacing w:after="180"/>
        <w:jc w:val="both"/>
      </w:pPr>
      <w:r>
        <w:t xml:space="preserve">Two derivative artefacts are used downstream. An individual-level file (135,497 rows) underlies every model discussed in this chapter, since the statistical power for demographic modelling lies at this grain. A borough-level aggregation is additionally used for panel-based and forecasting work: a coarse borough × wave panel (32 boroughs × 8 waves) supports trend-based forecasting, while a more granular cell panel of 9,181 borough × wave × age × gender × ethnicity cells </w:t>
      </w:r>
      <w:proofErr w:type="gramStart"/>
      <w:r>
        <w:t>supports</w:t>
      </w:r>
      <w:proofErr w:type="gramEnd"/>
      <w:r>
        <w:t xml:space="preserve"> the demographic composition projection described in Section 3.5. All figures reported for the London </w:t>
      </w:r>
      <w:proofErr w:type="gramStart"/>
      <w:r>
        <w:t>population as a whole</w:t>
      </w:r>
      <w:proofErr w:type="gramEnd"/>
      <w:r>
        <w:t xml:space="preserve"> (Table 3.2 and Section 3.4) are weighted using the survey's final calibrated weight, </w:t>
      </w:r>
      <w:proofErr w:type="spellStart"/>
      <w:r>
        <w:t>wt_final</w:t>
      </w:r>
      <w:proofErr w:type="spellEnd"/>
      <w:r>
        <w:t>, which is raked to ONS borough population estimates.</w:t>
      </w:r>
    </w:p>
    <w:p w14:paraId="0C273412" w14:textId="77777777" w:rsidR="00BE1539" w:rsidRDefault="007C0E3E">
      <w:pPr>
        <w:spacing w:after="240"/>
        <w:jc w:val="center"/>
      </w:pPr>
      <w:r>
        <w:rPr>
          <w:i/>
          <w:iCs/>
          <w:color w:val="808080"/>
          <w:sz w:val="20"/>
          <w:szCs w:val="20"/>
        </w:rPr>
        <w:t>Table 3.2. Weighted overall activity distribution, all eight waves combined.</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400"/>
      </w:tblGrid>
      <w:tr w:rsidR="00BE1539" w14:paraId="000E0802" w14:textId="77777777">
        <w:tblPrEx>
          <w:tblCellMar>
            <w:top w:w="0" w:type="dxa"/>
            <w:bottom w:w="0" w:type="dxa"/>
          </w:tblCellMar>
        </w:tblPrEx>
        <w:tc>
          <w:tcPr>
            <w:tcW w:w="3000" w:type="dxa"/>
            <w:shd w:val="clear" w:color="auto" w:fill="1F3864"/>
            <w:tcMar>
              <w:top w:w="80" w:type="dxa"/>
              <w:left w:w="100" w:type="dxa"/>
              <w:bottom w:w="80" w:type="dxa"/>
              <w:right w:w="100" w:type="dxa"/>
            </w:tcMar>
          </w:tcPr>
          <w:p w14:paraId="570547EA" w14:textId="77777777" w:rsidR="00BE1539" w:rsidRDefault="007C0E3E">
            <w:r>
              <w:rPr>
                <w:b/>
                <w:bCs/>
                <w:color w:val="FFFFFF"/>
                <w:sz w:val="20"/>
                <w:szCs w:val="20"/>
              </w:rPr>
              <w:t>Activity Level</w:t>
            </w:r>
          </w:p>
        </w:tc>
        <w:tc>
          <w:tcPr>
            <w:tcW w:w="2000" w:type="dxa"/>
            <w:shd w:val="clear" w:color="auto" w:fill="1F3864"/>
            <w:tcMar>
              <w:top w:w="80" w:type="dxa"/>
              <w:left w:w="100" w:type="dxa"/>
              <w:bottom w:w="80" w:type="dxa"/>
              <w:right w:w="100" w:type="dxa"/>
            </w:tcMar>
          </w:tcPr>
          <w:p w14:paraId="00A4D0C0" w14:textId="77777777" w:rsidR="00BE1539" w:rsidRDefault="007C0E3E">
            <w:r>
              <w:rPr>
                <w:b/>
                <w:bCs/>
                <w:color w:val="FFFFFF"/>
                <w:sz w:val="20"/>
                <w:szCs w:val="20"/>
              </w:rPr>
              <w:t>Weighted Count</w:t>
            </w:r>
          </w:p>
        </w:tc>
        <w:tc>
          <w:tcPr>
            <w:tcW w:w="1400" w:type="dxa"/>
            <w:shd w:val="clear" w:color="auto" w:fill="1F3864"/>
            <w:tcMar>
              <w:top w:w="80" w:type="dxa"/>
              <w:left w:w="100" w:type="dxa"/>
              <w:bottom w:w="80" w:type="dxa"/>
              <w:right w:w="100" w:type="dxa"/>
            </w:tcMar>
          </w:tcPr>
          <w:p w14:paraId="4DE90913" w14:textId="77777777" w:rsidR="00BE1539" w:rsidRDefault="007C0E3E">
            <w:r>
              <w:rPr>
                <w:b/>
                <w:bCs/>
                <w:color w:val="FFFFFF"/>
                <w:sz w:val="20"/>
                <w:szCs w:val="20"/>
              </w:rPr>
              <w:t>Weighted %</w:t>
            </w:r>
          </w:p>
        </w:tc>
      </w:tr>
      <w:tr w:rsidR="00BE1539" w14:paraId="0A26A960" w14:textId="77777777">
        <w:tblPrEx>
          <w:tblCellMar>
            <w:top w:w="0" w:type="dxa"/>
            <w:bottom w:w="0" w:type="dxa"/>
          </w:tblCellMar>
        </w:tblPrEx>
        <w:tc>
          <w:tcPr>
            <w:tcW w:w="3000" w:type="dxa"/>
            <w:tcMar>
              <w:top w:w="80" w:type="dxa"/>
              <w:left w:w="100" w:type="dxa"/>
              <w:bottom w:w="80" w:type="dxa"/>
              <w:right w:w="100" w:type="dxa"/>
            </w:tcMar>
          </w:tcPr>
          <w:p w14:paraId="3555D519" w14:textId="77777777" w:rsidR="00BE1539" w:rsidRDefault="007C0E3E">
            <w:r>
              <w:rPr>
                <w:color w:val="000000"/>
                <w:sz w:val="20"/>
                <w:szCs w:val="20"/>
              </w:rPr>
              <w:t>Active (150+ min/week)</w:t>
            </w:r>
          </w:p>
        </w:tc>
        <w:tc>
          <w:tcPr>
            <w:tcW w:w="2000" w:type="dxa"/>
            <w:tcMar>
              <w:top w:w="80" w:type="dxa"/>
              <w:left w:w="100" w:type="dxa"/>
              <w:bottom w:w="80" w:type="dxa"/>
              <w:right w:w="100" w:type="dxa"/>
            </w:tcMar>
          </w:tcPr>
          <w:p w14:paraId="38DCE58B" w14:textId="77777777" w:rsidR="00BE1539" w:rsidRDefault="007C0E3E">
            <w:r>
              <w:rPr>
                <w:color w:val="000000"/>
                <w:sz w:val="20"/>
                <w:szCs w:val="20"/>
              </w:rPr>
              <w:t>148,813</w:t>
            </w:r>
          </w:p>
        </w:tc>
        <w:tc>
          <w:tcPr>
            <w:tcW w:w="1400" w:type="dxa"/>
            <w:tcMar>
              <w:top w:w="80" w:type="dxa"/>
              <w:left w:w="100" w:type="dxa"/>
              <w:bottom w:w="80" w:type="dxa"/>
              <w:right w:w="100" w:type="dxa"/>
            </w:tcMar>
          </w:tcPr>
          <w:p w14:paraId="0D5ED539" w14:textId="77777777" w:rsidR="00BE1539" w:rsidRDefault="007C0E3E">
            <w:r>
              <w:rPr>
                <w:color w:val="000000"/>
                <w:sz w:val="20"/>
                <w:szCs w:val="20"/>
              </w:rPr>
              <w:t>65.53%</w:t>
            </w:r>
          </w:p>
        </w:tc>
      </w:tr>
      <w:tr w:rsidR="00BE1539" w14:paraId="5EBA9740"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83C8E29" w14:textId="77777777" w:rsidR="00BE1539" w:rsidRDefault="007C0E3E">
            <w:r>
              <w:rPr>
                <w:color w:val="000000"/>
                <w:sz w:val="20"/>
                <w:szCs w:val="20"/>
              </w:rPr>
              <w:t>Fairly Active (30–149 min/week)</w:t>
            </w:r>
          </w:p>
        </w:tc>
        <w:tc>
          <w:tcPr>
            <w:tcW w:w="2000" w:type="dxa"/>
            <w:shd w:val="clear" w:color="auto" w:fill="F2F2F2"/>
            <w:tcMar>
              <w:top w:w="80" w:type="dxa"/>
              <w:left w:w="100" w:type="dxa"/>
              <w:bottom w:w="80" w:type="dxa"/>
              <w:right w:w="100" w:type="dxa"/>
            </w:tcMar>
          </w:tcPr>
          <w:p w14:paraId="16267CE9" w14:textId="77777777" w:rsidR="00BE1539" w:rsidRDefault="007C0E3E">
            <w:r>
              <w:rPr>
                <w:color w:val="000000"/>
                <w:sz w:val="20"/>
                <w:szCs w:val="20"/>
              </w:rPr>
              <w:t>26,029</w:t>
            </w:r>
          </w:p>
        </w:tc>
        <w:tc>
          <w:tcPr>
            <w:tcW w:w="1400" w:type="dxa"/>
            <w:shd w:val="clear" w:color="auto" w:fill="F2F2F2"/>
            <w:tcMar>
              <w:top w:w="80" w:type="dxa"/>
              <w:left w:w="100" w:type="dxa"/>
              <w:bottom w:w="80" w:type="dxa"/>
              <w:right w:w="100" w:type="dxa"/>
            </w:tcMar>
          </w:tcPr>
          <w:p w14:paraId="5D92AB18" w14:textId="77777777" w:rsidR="00BE1539" w:rsidRDefault="007C0E3E">
            <w:r>
              <w:rPr>
                <w:color w:val="000000"/>
                <w:sz w:val="20"/>
                <w:szCs w:val="20"/>
              </w:rPr>
              <w:t>11.46%</w:t>
            </w:r>
          </w:p>
        </w:tc>
      </w:tr>
      <w:tr w:rsidR="00BE1539" w14:paraId="60559D7C" w14:textId="77777777">
        <w:tblPrEx>
          <w:tblCellMar>
            <w:top w:w="0" w:type="dxa"/>
            <w:bottom w:w="0" w:type="dxa"/>
          </w:tblCellMar>
        </w:tblPrEx>
        <w:tc>
          <w:tcPr>
            <w:tcW w:w="3000" w:type="dxa"/>
            <w:tcMar>
              <w:top w:w="80" w:type="dxa"/>
              <w:left w:w="100" w:type="dxa"/>
              <w:bottom w:w="80" w:type="dxa"/>
              <w:right w:w="100" w:type="dxa"/>
            </w:tcMar>
          </w:tcPr>
          <w:p w14:paraId="374962CB" w14:textId="77777777" w:rsidR="00BE1539" w:rsidRDefault="007C0E3E">
            <w:r>
              <w:rPr>
                <w:color w:val="000000"/>
                <w:sz w:val="20"/>
                <w:szCs w:val="20"/>
              </w:rPr>
              <w:t>Inactive (0–29 min/week)</w:t>
            </w:r>
          </w:p>
        </w:tc>
        <w:tc>
          <w:tcPr>
            <w:tcW w:w="2000" w:type="dxa"/>
            <w:tcMar>
              <w:top w:w="80" w:type="dxa"/>
              <w:left w:w="100" w:type="dxa"/>
              <w:bottom w:w="80" w:type="dxa"/>
              <w:right w:w="100" w:type="dxa"/>
            </w:tcMar>
          </w:tcPr>
          <w:p w14:paraId="155FD8D8" w14:textId="77777777" w:rsidR="00BE1539" w:rsidRDefault="007C0E3E">
            <w:r>
              <w:rPr>
                <w:color w:val="000000"/>
                <w:sz w:val="20"/>
                <w:szCs w:val="20"/>
              </w:rPr>
              <w:t>52,265</w:t>
            </w:r>
          </w:p>
        </w:tc>
        <w:tc>
          <w:tcPr>
            <w:tcW w:w="1400" w:type="dxa"/>
            <w:tcMar>
              <w:top w:w="80" w:type="dxa"/>
              <w:left w:w="100" w:type="dxa"/>
              <w:bottom w:w="80" w:type="dxa"/>
              <w:right w:w="100" w:type="dxa"/>
            </w:tcMar>
          </w:tcPr>
          <w:p w14:paraId="190E9ACE" w14:textId="77777777" w:rsidR="00BE1539" w:rsidRDefault="007C0E3E">
            <w:r>
              <w:rPr>
                <w:color w:val="000000"/>
                <w:sz w:val="20"/>
                <w:szCs w:val="20"/>
              </w:rPr>
              <w:t>23.01%</w:t>
            </w:r>
          </w:p>
        </w:tc>
      </w:tr>
    </w:tbl>
    <w:p w14:paraId="4F879748" w14:textId="77777777" w:rsidR="00BE1539" w:rsidRDefault="00BE1539">
      <w:pPr>
        <w:spacing w:after="240"/>
      </w:pPr>
    </w:p>
    <w:p w14:paraId="1FC37AF4" w14:textId="77777777" w:rsidR="00BE1539" w:rsidRDefault="007C0E3E">
      <w:pPr>
        <w:pStyle w:val="Heading2"/>
      </w:pPr>
      <w:r>
        <w:t>3.3 Data Preprocessing</w:t>
      </w:r>
    </w:p>
    <w:p w14:paraId="2950954B" w14:textId="77777777" w:rsidR="00BE1539" w:rsidRDefault="007C0E3E">
      <w:pPr>
        <w:pStyle w:val="Heading3"/>
      </w:pPr>
      <w:r>
        <w:lastRenderedPageBreak/>
        <w:t>3.3.1 Geographic Harmonisation</w:t>
      </w:r>
    </w:p>
    <w:p w14:paraId="137C2FFF" w14:textId="77777777" w:rsidR="00BE1539" w:rsidRDefault="007C0E3E">
      <w:pPr>
        <w:spacing w:after="180"/>
        <w:jc w:val="both"/>
      </w:pPr>
      <w:r>
        <w:t>Local-authority codes in the Active Lives Survey are assigned alphabetically across all English local authorities. Because authorities elsewhere in England were merged or newly created at various points between 2015 and 2023, the same integer code does not identify the same borough in every wave, even though London's own borough boundaries have been fixed since 1965. Two distinct numeric coding schemes were identified across the eight waves (Scheme A: Y1, Y2, Y6–Y8; Scheme B: Y3–Y5). Borough identity was th</w:t>
      </w:r>
      <w:r>
        <w:t xml:space="preserve">erefore anchored on the permanent ONS Government Statistical Service code (form E09xxxxxx), derived independently for each wave from that wave's own SPSS value labels via </w:t>
      </w:r>
      <w:proofErr w:type="spellStart"/>
      <w:r>
        <w:t>pyreadstat</w:t>
      </w:r>
      <w:proofErr w:type="spellEnd"/>
      <w:r>
        <w:t>, rather than from a single shared lookup table.</w:t>
      </w:r>
    </w:p>
    <w:p w14:paraId="1E4A03A2" w14:textId="77777777" w:rsidR="00BE1539" w:rsidRDefault="007C0E3E">
      <w:pPr>
        <w:spacing w:after="180"/>
        <w:jc w:val="both"/>
      </w:pPr>
      <w:r>
        <w:t>This wave-by-wave verification was not a formality: it identified and corrected two waves — 2016–17 and 2022–23 — in which four boroughs had been transposed (Barnet with Barking and Dagenham, and Kensington and Chelsea with Islington). The error was invisible to conventional coverage checks, since every borough code was present and fully populated; only a check against each wave's own labels revealed it. Before correction, Barking and Dagenham — consistently London's least active borough — appeared as one o</w:t>
      </w:r>
      <w:r>
        <w:t>f the most active boroughs in 2022–23 (0.710 against a corrected 0.488), because it had been assigned Barnet's respondents. Any borough-level result computed on the uncorrected data would have been materially wrong for these four boroughs, underlining why geography could not be assumed constant across waves.</w:t>
      </w:r>
    </w:p>
    <w:p w14:paraId="187A27F5" w14:textId="77777777" w:rsidR="00BE1539" w:rsidRDefault="007C0E3E">
      <w:pPr>
        <w:pStyle w:val="Heading3"/>
      </w:pPr>
      <w:r>
        <w:t>3.3.2 Sentinel Values and Data Quality</w:t>
      </w:r>
    </w:p>
    <w:p w14:paraId="215BAE22" w14:textId="77777777" w:rsidR="00BE1539" w:rsidRDefault="007C0E3E">
      <w:pPr>
        <w:spacing w:after="180"/>
        <w:jc w:val="both"/>
      </w:pPr>
      <w:r>
        <w:t xml:space="preserve">The Active Lives Survey encodes non-response using negative sentinel codes (–99 to –94, covering missing, not-applicable, multi-coded, out-of-range, don't-know and prefer-not-to-say responses) rather than blank cells. Left untreated, these codes are read by Python as valid numeric values and would badly skew borough-level averages. </w:t>
      </w:r>
      <w:proofErr w:type="spellStart"/>
      <w:r>
        <w:t>pyreadstat's</w:t>
      </w:r>
      <w:proofErr w:type="spellEnd"/>
      <w:r>
        <w:t xml:space="preserve"> automatic application of SPSS user-missing ranges converted all sentinel values to </w:t>
      </w:r>
      <w:proofErr w:type="spellStart"/>
      <w:r>
        <w:t>NaN</w:t>
      </w:r>
      <w:proofErr w:type="spellEnd"/>
      <w:r>
        <w:t xml:space="preserve"> across 608 numeric columns with no manual intervention required. One residual encoding anomaly was found and corrected: DURATION1PL_TEAMSPORT_C05 carried an invalid –1.0 code in 17,920 rows of the 2016–17 wave, which was replaced with </w:t>
      </w:r>
      <w:proofErr w:type="spellStart"/>
      <w:r>
        <w:t>NaN</w:t>
      </w:r>
      <w:proofErr w:type="spellEnd"/>
      <w:r>
        <w:t>.</w:t>
      </w:r>
    </w:p>
    <w:p w14:paraId="553416CE" w14:textId="77777777" w:rsidR="00BE1539" w:rsidRDefault="007C0E3E">
      <w:pPr>
        <w:spacing w:after="180"/>
        <w:jc w:val="both"/>
      </w:pPr>
      <w:r>
        <w:t xml:space="preserve">An </w:t>
      </w:r>
      <w:proofErr w:type="spellStart"/>
      <w:r>
        <w:t>is_categorical</w:t>
      </w:r>
      <w:proofErr w:type="spellEnd"/>
      <w:r>
        <w:t xml:space="preserve">() function was written to distinguish genuinely continuous variables (such as the survey weight, </w:t>
      </w:r>
      <w:proofErr w:type="spellStart"/>
      <w:r>
        <w:t>wt_final</w:t>
      </w:r>
      <w:proofErr w:type="spellEnd"/>
      <w:r>
        <w:t xml:space="preserve">) from categorical ones during SPSS label decoding, preventing </w:t>
      </w:r>
      <w:proofErr w:type="spellStart"/>
      <w:r>
        <w:t>pyreadstat</w:t>
      </w:r>
      <w:proofErr w:type="spellEnd"/>
      <w:r>
        <w:t xml:space="preserve"> from incorrectly converting continuous variables to </w:t>
      </w:r>
      <w:proofErr w:type="spellStart"/>
      <w:r>
        <w:t>NaN</w:t>
      </w:r>
      <w:proofErr w:type="spellEnd"/>
      <w:r>
        <w:t xml:space="preserve"> when applying value labels.</w:t>
      </w:r>
    </w:p>
    <w:p w14:paraId="4A5BCF7A" w14:textId="77777777" w:rsidR="00BE1539" w:rsidRDefault="007C0E3E">
      <w:pPr>
        <w:pStyle w:val="Heading3"/>
      </w:pPr>
      <w:r>
        <w:t>3.3.3 Missing Data Strategy</w:t>
      </w:r>
    </w:p>
    <w:p w14:paraId="3F3351B7" w14:textId="77777777" w:rsidR="00BE1539" w:rsidRDefault="007C0E3E">
      <w:pPr>
        <w:spacing w:after="180"/>
        <w:jc w:val="both"/>
      </w:pPr>
      <w:r>
        <w:t>Missingness in the merged dataset was, without exception, explained by either a variable's absence in earlier survey waves or by survey routing (a respondent legitimately not being asked a question because of an earlier answer), rather than by data corruption. Two specific strategies were applied to preserve the maximum amount of usable information:</w:t>
      </w:r>
    </w:p>
    <w:p w14:paraId="2ED29D84" w14:textId="77777777" w:rsidR="00BE1539" w:rsidRDefault="007C0E3E">
      <w:pPr>
        <w:pStyle w:val="ListParagraph"/>
        <w:numPr>
          <w:ilvl w:val="0"/>
          <w:numId w:val="1"/>
        </w:numPr>
        <w:spacing w:after="100"/>
      </w:pPr>
      <w:r>
        <w:t>Self-reported health is absent from Years 1–3 (2015–16 to 2017–18). Rather than discard these three waves for models using health, disability-type variables (</w:t>
      </w:r>
      <w:proofErr w:type="spellStart"/>
      <w:r>
        <w:t>disty</w:t>
      </w:r>
      <w:proofErr w:type="spellEnd"/>
      <w:r>
        <w:t>*_POP) are substituted as a proxy for the missing years.</w:t>
      </w:r>
    </w:p>
    <w:p w14:paraId="60F1A818" w14:textId="77777777" w:rsidR="00BE1539" w:rsidRDefault="007C0E3E">
      <w:pPr>
        <w:pStyle w:val="ListParagraph"/>
        <w:numPr>
          <w:ilvl w:val="0"/>
          <w:numId w:val="1"/>
        </w:numPr>
        <w:spacing w:after="100"/>
      </w:pPr>
      <w:r>
        <w:t>The extra NS-SEC5 category present in Years 1–4 (‘Aged &lt;16 or 75+’) was recoded into the standard category from Year 5 onwards, affecting 1,314 rows, to ensure a consistent five-category scheme across all eight waves.</w:t>
      </w:r>
    </w:p>
    <w:p w14:paraId="31CA8413" w14:textId="77777777" w:rsidR="00BE1539" w:rsidRDefault="007C0E3E">
      <w:pPr>
        <w:pStyle w:val="ListParagraph"/>
        <w:numPr>
          <w:ilvl w:val="0"/>
          <w:numId w:val="1"/>
        </w:numPr>
        <w:spacing w:after="100"/>
      </w:pPr>
      <w:r>
        <w:t>Optional demographic non-response (age, gender, ethnicity, NS-SEC, education) is retained as an explicit category rather than imputed or dropped, since non-disclosure itself is strongly informative: respondents withholding two or more optional items were 37 percentage points less likely to meet the activity guideline than those who disclosed everything — a wider gradient than age, ethnicity or socio-economic group.</w:t>
      </w:r>
    </w:p>
    <w:p w14:paraId="4139A132" w14:textId="77777777" w:rsidR="00BE1539" w:rsidRDefault="007C0E3E">
      <w:pPr>
        <w:spacing w:after="180"/>
        <w:jc w:val="both"/>
      </w:pPr>
      <w:r>
        <w:lastRenderedPageBreak/>
        <w:t>Two further variable-rename issues were identified and documented rather than corrected, since they reflect label changes only and not changes to the underlying data: the ethnicity category 'South Asian' was relabelled 'Asian (excl. Chinese)' from Year 6 onwards, and MEMS7GR_ALL's middle activity band was relabelled from 'Insufficiently Active' to 'Fairly Active' from Year 5 onwards, using identical minute thresholds throughout.</w:t>
      </w:r>
    </w:p>
    <w:p w14:paraId="5AE9E244" w14:textId="77777777" w:rsidR="00BE1539" w:rsidRDefault="007C0E3E">
      <w:pPr>
        <w:pStyle w:val="Heading3"/>
      </w:pPr>
      <w:r>
        <w:t>3.3.4 Column Selection and Modelling Datasets</w:t>
      </w:r>
    </w:p>
    <w:p w14:paraId="599A2225" w14:textId="77777777" w:rsidR="00BE1539" w:rsidRDefault="007C0E3E">
      <w:pPr>
        <w:spacing w:after="180"/>
        <w:jc w:val="both"/>
      </w:pPr>
      <w:r>
        <w:t>Column selection proceeded in two stages. At the harmonisation stage, individual sport-level variables (for example, football-specific questions) were replaced with composite category-level variables (identifiable by the suffix patterns _C0x, _B0x and _D0x), reducing the raw variable count from approximately 10,737 to around 600 while retaining full coverage of the four pillars. From this common master file, the team then produced two purpose-specific modelling datasets: a lean 20-variable dataset, used for</w:t>
      </w:r>
      <w:r>
        <w:t xml:space="preserve"> the </w:t>
      </w:r>
      <w:proofErr w:type="spellStart"/>
      <w:r>
        <w:t>CatBoost</w:t>
      </w:r>
      <w:proofErr w:type="spellEnd"/>
      <w:r>
        <w:t>, clustering and Bayesian hierarchical models described in Sections 3.6, 3.8 and 3.9; and a broader ~75-variable dataset, retained for the propensity/forecasting-engine model of Section 3.7, which required finer-grained activity-type and setting variables to support the activity-specific and indoor/outdoor forecasts.</w:t>
      </w:r>
    </w:p>
    <w:p w14:paraId="091CBE4F" w14:textId="77777777" w:rsidR="00BE1539" w:rsidRDefault="007C0E3E">
      <w:pPr>
        <w:spacing w:after="180"/>
        <w:jc w:val="both"/>
      </w:pPr>
      <w:r>
        <w:t xml:space="preserve">The 20-variable modelling dataset was derived from the 610-column decoded master dataset (135,497 rows) and retains all rows. It includes core identifiers and weights, the demographic predictors for P2 (age group, gender, ethnicity, disability, education, self-reported health), the derived activity target, and nine composite activity-type indicators for P1. It was saved in both CSV (18.49 MB) and Parquet (1.92 MB) formats, with Parquet recommended for subsequent modelling work as it preserves categorical </w:t>
      </w:r>
      <w:proofErr w:type="spellStart"/>
      <w:r>
        <w:t>dtypes</w:t>
      </w:r>
      <w:proofErr w:type="spellEnd"/>
      <w:r>
        <w:t xml:space="preserve"> and loads 5–10× faster.</w:t>
      </w:r>
    </w:p>
    <w:p w14:paraId="2EBDA083" w14:textId="77777777" w:rsidR="00BE1539" w:rsidRDefault="007C0E3E">
      <w:pPr>
        <w:spacing w:after="240"/>
        <w:jc w:val="center"/>
      </w:pPr>
      <w:r>
        <w:rPr>
          <w:i/>
          <w:iCs/>
          <w:color w:val="808080"/>
          <w:sz w:val="20"/>
          <w:szCs w:val="20"/>
        </w:rPr>
        <w:t>Table 3.3. Missing-value profile of the 20-variable modelling dataset.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300"/>
        <w:gridCol w:w="3300"/>
      </w:tblGrid>
      <w:tr w:rsidR="00BE1539" w14:paraId="6B667444"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3BC383D4" w14:textId="77777777" w:rsidR="00BE1539" w:rsidRDefault="007C0E3E">
            <w:r>
              <w:rPr>
                <w:b/>
                <w:bCs/>
                <w:color w:val="FFFFFF"/>
                <w:sz w:val="20"/>
                <w:szCs w:val="20"/>
              </w:rPr>
              <w:t>Variable</w:t>
            </w:r>
          </w:p>
        </w:tc>
        <w:tc>
          <w:tcPr>
            <w:tcW w:w="1600" w:type="dxa"/>
            <w:shd w:val="clear" w:color="auto" w:fill="1F3864"/>
            <w:tcMar>
              <w:top w:w="80" w:type="dxa"/>
              <w:left w:w="100" w:type="dxa"/>
              <w:bottom w:w="80" w:type="dxa"/>
              <w:right w:w="100" w:type="dxa"/>
            </w:tcMar>
          </w:tcPr>
          <w:p w14:paraId="56A5255F" w14:textId="77777777" w:rsidR="00BE1539" w:rsidRDefault="007C0E3E">
            <w:r>
              <w:rPr>
                <w:b/>
                <w:bCs/>
                <w:color w:val="FFFFFF"/>
                <w:sz w:val="20"/>
                <w:szCs w:val="20"/>
              </w:rPr>
              <w:t>Missing Count</w:t>
            </w:r>
          </w:p>
        </w:tc>
        <w:tc>
          <w:tcPr>
            <w:tcW w:w="1300" w:type="dxa"/>
            <w:shd w:val="clear" w:color="auto" w:fill="1F3864"/>
            <w:tcMar>
              <w:top w:w="80" w:type="dxa"/>
              <w:left w:w="100" w:type="dxa"/>
              <w:bottom w:w="80" w:type="dxa"/>
              <w:right w:w="100" w:type="dxa"/>
            </w:tcMar>
          </w:tcPr>
          <w:p w14:paraId="189780AF" w14:textId="77777777" w:rsidR="00BE1539" w:rsidRDefault="007C0E3E">
            <w:r>
              <w:rPr>
                <w:b/>
                <w:bCs/>
                <w:color w:val="FFFFFF"/>
                <w:sz w:val="20"/>
                <w:szCs w:val="20"/>
              </w:rPr>
              <w:t>Missing %</w:t>
            </w:r>
          </w:p>
        </w:tc>
        <w:tc>
          <w:tcPr>
            <w:tcW w:w="3300" w:type="dxa"/>
            <w:shd w:val="clear" w:color="auto" w:fill="1F3864"/>
            <w:tcMar>
              <w:top w:w="80" w:type="dxa"/>
              <w:left w:w="100" w:type="dxa"/>
              <w:bottom w:w="80" w:type="dxa"/>
              <w:right w:w="100" w:type="dxa"/>
            </w:tcMar>
          </w:tcPr>
          <w:p w14:paraId="073084E2" w14:textId="77777777" w:rsidR="00BE1539" w:rsidRDefault="007C0E3E">
            <w:r>
              <w:rPr>
                <w:b/>
                <w:bCs/>
                <w:color w:val="FFFFFF"/>
                <w:sz w:val="20"/>
                <w:szCs w:val="20"/>
              </w:rPr>
              <w:t>Reason</w:t>
            </w:r>
          </w:p>
        </w:tc>
      </w:tr>
      <w:tr w:rsidR="00BE1539" w14:paraId="22FC3FD6" w14:textId="77777777">
        <w:tblPrEx>
          <w:tblCellMar>
            <w:top w:w="0" w:type="dxa"/>
            <w:bottom w:w="0" w:type="dxa"/>
          </w:tblCellMar>
        </w:tblPrEx>
        <w:tc>
          <w:tcPr>
            <w:tcW w:w="2400" w:type="dxa"/>
            <w:tcMar>
              <w:top w:w="80" w:type="dxa"/>
              <w:left w:w="100" w:type="dxa"/>
              <w:bottom w:w="80" w:type="dxa"/>
              <w:right w:w="100" w:type="dxa"/>
            </w:tcMar>
          </w:tcPr>
          <w:p w14:paraId="54874E50" w14:textId="77777777" w:rsidR="00BE1539" w:rsidRDefault="007C0E3E">
            <w:r>
              <w:rPr>
                <w:color w:val="000000"/>
                <w:sz w:val="20"/>
                <w:szCs w:val="20"/>
              </w:rPr>
              <w:t>health</w:t>
            </w:r>
          </w:p>
        </w:tc>
        <w:tc>
          <w:tcPr>
            <w:tcW w:w="1600" w:type="dxa"/>
            <w:tcMar>
              <w:top w:w="80" w:type="dxa"/>
              <w:left w:w="100" w:type="dxa"/>
              <w:bottom w:w="80" w:type="dxa"/>
              <w:right w:w="100" w:type="dxa"/>
            </w:tcMar>
          </w:tcPr>
          <w:p w14:paraId="65D42568" w14:textId="77777777" w:rsidR="00BE1539" w:rsidRDefault="007C0E3E">
            <w:r>
              <w:rPr>
                <w:color w:val="000000"/>
                <w:sz w:val="20"/>
                <w:szCs w:val="20"/>
              </w:rPr>
              <w:t>56,519</w:t>
            </w:r>
          </w:p>
        </w:tc>
        <w:tc>
          <w:tcPr>
            <w:tcW w:w="1300" w:type="dxa"/>
            <w:tcMar>
              <w:top w:w="80" w:type="dxa"/>
              <w:left w:w="100" w:type="dxa"/>
              <w:bottom w:w="80" w:type="dxa"/>
              <w:right w:w="100" w:type="dxa"/>
            </w:tcMar>
          </w:tcPr>
          <w:p w14:paraId="16ABF886" w14:textId="77777777" w:rsidR="00BE1539" w:rsidRDefault="007C0E3E">
            <w:r>
              <w:rPr>
                <w:color w:val="000000"/>
                <w:sz w:val="20"/>
                <w:szCs w:val="20"/>
              </w:rPr>
              <w:t>41.71%</w:t>
            </w:r>
          </w:p>
        </w:tc>
        <w:tc>
          <w:tcPr>
            <w:tcW w:w="3300" w:type="dxa"/>
            <w:tcMar>
              <w:top w:w="80" w:type="dxa"/>
              <w:left w:w="100" w:type="dxa"/>
              <w:bottom w:w="80" w:type="dxa"/>
              <w:right w:w="100" w:type="dxa"/>
            </w:tcMar>
          </w:tcPr>
          <w:p w14:paraId="5E69FC2D" w14:textId="77777777" w:rsidR="00BE1539" w:rsidRDefault="007C0E3E">
            <w:r>
              <w:rPr>
                <w:color w:val="000000"/>
                <w:sz w:val="20"/>
                <w:szCs w:val="20"/>
              </w:rPr>
              <w:t>Absent in Y1–Y3</w:t>
            </w:r>
          </w:p>
        </w:tc>
      </w:tr>
      <w:tr w:rsidR="00BE1539" w14:paraId="0F6325E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229C763" w14:textId="77777777" w:rsidR="00BE1539" w:rsidRDefault="007C0E3E">
            <w:r>
              <w:rPr>
                <w:color w:val="000000"/>
                <w:sz w:val="20"/>
                <w:szCs w:val="20"/>
              </w:rPr>
              <w:t>MONTHS_12_CYCALL_C02</w:t>
            </w:r>
          </w:p>
        </w:tc>
        <w:tc>
          <w:tcPr>
            <w:tcW w:w="1600" w:type="dxa"/>
            <w:shd w:val="clear" w:color="auto" w:fill="F2F2F2"/>
            <w:tcMar>
              <w:top w:w="80" w:type="dxa"/>
              <w:left w:w="100" w:type="dxa"/>
              <w:bottom w:w="80" w:type="dxa"/>
              <w:right w:w="100" w:type="dxa"/>
            </w:tcMar>
          </w:tcPr>
          <w:p w14:paraId="57D30837" w14:textId="77777777" w:rsidR="00BE1539" w:rsidRDefault="007C0E3E">
            <w:r>
              <w:rPr>
                <w:color w:val="000000"/>
                <w:sz w:val="20"/>
                <w:szCs w:val="20"/>
              </w:rPr>
              <w:t>19,620</w:t>
            </w:r>
          </w:p>
        </w:tc>
        <w:tc>
          <w:tcPr>
            <w:tcW w:w="1300" w:type="dxa"/>
            <w:shd w:val="clear" w:color="auto" w:fill="F2F2F2"/>
            <w:tcMar>
              <w:top w:w="80" w:type="dxa"/>
              <w:left w:w="100" w:type="dxa"/>
              <w:bottom w:w="80" w:type="dxa"/>
              <w:right w:w="100" w:type="dxa"/>
            </w:tcMar>
          </w:tcPr>
          <w:p w14:paraId="55EF0B5C" w14:textId="77777777" w:rsidR="00BE1539" w:rsidRDefault="007C0E3E">
            <w:r>
              <w:rPr>
                <w:color w:val="000000"/>
                <w:sz w:val="20"/>
                <w:szCs w:val="20"/>
              </w:rPr>
              <w:t>14.48%</w:t>
            </w:r>
          </w:p>
        </w:tc>
        <w:tc>
          <w:tcPr>
            <w:tcW w:w="3300" w:type="dxa"/>
            <w:shd w:val="clear" w:color="auto" w:fill="F2F2F2"/>
            <w:tcMar>
              <w:top w:w="80" w:type="dxa"/>
              <w:left w:w="100" w:type="dxa"/>
              <w:bottom w:w="80" w:type="dxa"/>
              <w:right w:w="100" w:type="dxa"/>
            </w:tcMar>
          </w:tcPr>
          <w:p w14:paraId="4E93990B" w14:textId="77777777" w:rsidR="00BE1539" w:rsidRDefault="007C0E3E">
            <w:r>
              <w:rPr>
                <w:color w:val="000000"/>
                <w:sz w:val="20"/>
                <w:szCs w:val="20"/>
              </w:rPr>
              <w:t>Absent in Y1</w:t>
            </w:r>
          </w:p>
        </w:tc>
      </w:tr>
      <w:tr w:rsidR="00BE1539" w14:paraId="59EB094A" w14:textId="77777777">
        <w:tblPrEx>
          <w:tblCellMar>
            <w:top w:w="0" w:type="dxa"/>
            <w:bottom w:w="0" w:type="dxa"/>
          </w:tblCellMar>
        </w:tblPrEx>
        <w:tc>
          <w:tcPr>
            <w:tcW w:w="2400" w:type="dxa"/>
            <w:tcMar>
              <w:top w:w="80" w:type="dxa"/>
              <w:left w:w="100" w:type="dxa"/>
              <w:bottom w:w="80" w:type="dxa"/>
              <w:right w:w="100" w:type="dxa"/>
            </w:tcMar>
          </w:tcPr>
          <w:p w14:paraId="69B289ED" w14:textId="77777777" w:rsidR="00BE1539" w:rsidRDefault="007C0E3E">
            <w:r>
              <w:rPr>
                <w:color w:val="000000"/>
                <w:sz w:val="20"/>
                <w:szCs w:val="20"/>
              </w:rPr>
              <w:t>Eth7</w:t>
            </w:r>
          </w:p>
        </w:tc>
        <w:tc>
          <w:tcPr>
            <w:tcW w:w="1600" w:type="dxa"/>
            <w:tcMar>
              <w:top w:w="80" w:type="dxa"/>
              <w:left w:w="100" w:type="dxa"/>
              <w:bottom w:w="80" w:type="dxa"/>
              <w:right w:w="100" w:type="dxa"/>
            </w:tcMar>
          </w:tcPr>
          <w:p w14:paraId="016235F9" w14:textId="77777777" w:rsidR="00BE1539" w:rsidRDefault="007C0E3E">
            <w:r>
              <w:rPr>
                <w:color w:val="000000"/>
                <w:sz w:val="20"/>
                <w:szCs w:val="20"/>
              </w:rPr>
              <w:t>9,181</w:t>
            </w:r>
          </w:p>
        </w:tc>
        <w:tc>
          <w:tcPr>
            <w:tcW w:w="1300" w:type="dxa"/>
            <w:tcMar>
              <w:top w:w="80" w:type="dxa"/>
              <w:left w:w="100" w:type="dxa"/>
              <w:bottom w:w="80" w:type="dxa"/>
              <w:right w:w="100" w:type="dxa"/>
            </w:tcMar>
          </w:tcPr>
          <w:p w14:paraId="2FBD4203" w14:textId="77777777" w:rsidR="00BE1539" w:rsidRDefault="007C0E3E">
            <w:r>
              <w:rPr>
                <w:color w:val="000000"/>
                <w:sz w:val="20"/>
                <w:szCs w:val="20"/>
              </w:rPr>
              <w:t>6.78%</w:t>
            </w:r>
          </w:p>
        </w:tc>
        <w:tc>
          <w:tcPr>
            <w:tcW w:w="3300" w:type="dxa"/>
            <w:tcMar>
              <w:top w:w="80" w:type="dxa"/>
              <w:left w:w="100" w:type="dxa"/>
              <w:bottom w:w="80" w:type="dxa"/>
              <w:right w:w="100" w:type="dxa"/>
            </w:tcMar>
          </w:tcPr>
          <w:p w14:paraId="0A9A3B8B" w14:textId="77777777" w:rsidR="00BE1539" w:rsidRDefault="007C0E3E">
            <w:r>
              <w:rPr>
                <w:color w:val="000000"/>
                <w:sz w:val="20"/>
                <w:szCs w:val="20"/>
              </w:rPr>
              <w:t>Routing / prefer not to say</w:t>
            </w:r>
          </w:p>
        </w:tc>
      </w:tr>
      <w:tr w:rsidR="00BE1539" w14:paraId="26D0844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8D05083" w14:textId="77777777" w:rsidR="00BE1539" w:rsidRDefault="007C0E3E">
            <w:r>
              <w:rPr>
                <w:color w:val="000000"/>
                <w:sz w:val="20"/>
                <w:szCs w:val="20"/>
              </w:rPr>
              <w:t>Disab3</w:t>
            </w:r>
          </w:p>
        </w:tc>
        <w:tc>
          <w:tcPr>
            <w:tcW w:w="1600" w:type="dxa"/>
            <w:shd w:val="clear" w:color="auto" w:fill="F2F2F2"/>
            <w:tcMar>
              <w:top w:w="80" w:type="dxa"/>
              <w:left w:w="100" w:type="dxa"/>
              <w:bottom w:w="80" w:type="dxa"/>
              <w:right w:w="100" w:type="dxa"/>
            </w:tcMar>
          </w:tcPr>
          <w:p w14:paraId="5AAD6DAE" w14:textId="77777777" w:rsidR="00BE1539" w:rsidRDefault="007C0E3E">
            <w:r>
              <w:rPr>
                <w:color w:val="000000"/>
                <w:sz w:val="20"/>
                <w:szCs w:val="20"/>
              </w:rPr>
              <w:t>9,137</w:t>
            </w:r>
          </w:p>
        </w:tc>
        <w:tc>
          <w:tcPr>
            <w:tcW w:w="1300" w:type="dxa"/>
            <w:shd w:val="clear" w:color="auto" w:fill="F2F2F2"/>
            <w:tcMar>
              <w:top w:w="80" w:type="dxa"/>
              <w:left w:w="100" w:type="dxa"/>
              <w:bottom w:w="80" w:type="dxa"/>
              <w:right w:w="100" w:type="dxa"/>
            </w:tcMar>
          </w:tcPr>
          <w:p w14:paraId="4A559FFA" w14:textId="77777777" w:rsidR="00BE1539" w:rsidRDefault="007C0E3E">
            <w:r>
              <w:rPr>
                <w:color w:val="000000"/>
                <w:sz w:val="20"/>
                <w:szCs w:val="20"/>
              </w:rPr>
              <w:t>6.74%</w:t>
            </w:r>
          </w:p>
        </w:tc>
        <w:tc>
          <w:tcPr>
            <w:tcW w:w="3300" w:type="dxa"/>
            <w:shd w:val="clear" w:color="auto" w:fill="F2F2F2"/>
            <w:tcMar>
              <w:top w:w="80" w:type="dxa"/>
              <w:left w:w="100" w:type="dxa"/>
              <w:bottom w:w="80" w:type="dxa"/>
              <w:right w:w="100" w:type="dxa"/>
            </w:tcMar>
          </w:tcPr>
          <w:p w14:paraId="51E705A6" w14:textId="77777777" w:rsidR="00BE1539" w:rsidRDefault="007C0E3E">
            <w:r>
              <w:rPr>
                <w:color w:val="000000"/>
                <w:sz w:val="20"/>
                <w:szCs w:val="20"/>
              </w:rPr>
              <w:t>Routing / prefer not to say</w:t>
            </w:r>
          </w:p>
        </w:tc>
      </w:tr>
      <w:tr w:rsidR="00BE1539" w14:paraId="6601E6DD" w14:textId="77777777">
        <w:tblPrEx>
          <w:tblCellMar>
            <w:top w:w="0" w:type="dxa"/>
            <w:bottom w:w="0" w:type="dxa"/>
          </w:tblCellMar>
        </w:tblPrEx>
        <w:tc>
          <w:tcPr>
            <w:tcW w:w="2400" w:type="dxa"/>
            <w:tcMar>
              <w:top w:w="80" w:type="dxa"/>
              <w:left w:w="100" w:type="dxa"/>
              <w:bottom w:w="80" w:type="dxa"/>
              <w:right w:w="100" w:type="dxa"/>
            </w:tcMar>
          </w:tcPr>
          <w:p w14:paraId="286E6803" w14:textId="77777777" w:rsidR="00BE1539" w:rsidRDefault="007C0E3E">
            <w:r>
              <w:rPr>
                <w:color w:val="000000"/>
                <w:sz w:val="20"/>
                <w:szCs w:val="20"/>
              </w:rPr>
              <w:t>Educ6</w:t>
            </w:r>
          </w:p>
        </w:tc>
        <w:tc>
          <w:tcPr>
            <w:tcW w:w="1600" w:type="dxa"/>
            <w:tcMar>
              <w:top w:w="80" w:type="dxa"/>
              <w:left w:w="100" w:type="dxa"/>
              <w:bottom w:w="80" w:type="dxa"/>
              <w:right w:w="100" w:type="dxa"/>
            </w:tcMar>
          </w:tcPr>
          <w:p w14:paraId="2E990FFC" w14:textId="77777777" w:rsidR="00BE1539" w:rsidRDefault="007C0E3E">
            <w:r>
              <w:rPr>
                <w:color w:val="000000"/>
                <w:sz w:val="20"/>
                <w:szCs w:val="20"/>
              </w:rPr>
              <w:t>8,766</w:t>
            </w:r>
          </w:p>
        </w:tc>
        <w:tc>
          <w:tcPr>
            <w:tcW w:w="1300" w:type="dxa"/>
            <w:tcMar>
              <w:top w:w="80" w:type="dxa"/>
              <w:left w:w="100" w:type="dxa"/>
              <w:bottom w:w="80" w:type="dxa"/>
              <w:right w:w="100" w:type="dxa"/>
            </w:tcMar>
          </w:tcPr>
          <w:p w14:paraId="410708AB" w14:textId="77777777" w:rsidR="00BE1539" w:rsidRDefault="007C0E3E">
            <w:r>
              <w:rPr>
                <w:color w:val="000000"/>
                <w:sz w:val="20"/>
                <w:szCs w:val="20"/>
              </w:rPr>
              <w:t>6.47%</w:t>
            </w:r>
          </w:p>
        </w:tc>
        <w:tc>
          <w:tcPr>
            <w:tcW w:w="3300" w:type="dxa"/>
            <w:tcMar>
              <w:top w:w="80" w:type="dxa"/>
              <w:left w:w="100" w:type="dxa"/>
              <w:bottom w:w="80" w:type="dxa"/>
              <w:right w:w="100" w:type="dxa"/>
            </w:tcMar>
          </w:tcPr>
          <w:p w14:paraId="45E464F5" w14:textId="77777777" w:rsidR="00BE1539" w:rsidRDefault="007C0E3E">
            <w:r>
              <w:rPr>
                <w:color w:val="000000"/>
                <w:sz w:val="20"/>
                <w:szCs w:val="20"/>
              </w:rPr>
              <w:t>Routing + Y5 COVID modification</w:t>
            </w:r>
          </w:p>
        </w:tc>
      </w:tr>
      <w:tr w:rsidR="00BE1539" w14:paraId="36C47F7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202A0A5" w14:textId="77777777" w:rsidR="00BE1539" w:rsidRDefault="007C0E3E">
            <w:proofErr w:type="spellStart"/>
            <w:r>
              <w:rPr>
                <w:color w:val="000000"/>
                <w:sz w:val="20"/>
                <w:szCs w:val="20"/>
              </w:rPr>
              <w:t>Age_Group</w:t>
            </w:r>
            <w:proofErr w:type="spellEnd"/>
          </w:p>
        </w:tc>
        <w:tc>
          <w:tcPr>
            <w:tcW w:w="1600" w:type="dxa"/>
            <w:shd w:val="clear" w:color="auto" w:fill="F2F2F2"/>
            <w:tcMar>
              <w:top w:w="80" w:type="dxa"/>
              <w:left w:w="100" w:type="dxa"/>
              <w:bottom w:w="80" w:type="dxa"/>
              <w:right w:w="100" w:type="dxa"/>
            </w:tcMar>
          </w:tcPr>
          <w:p w14:paraId="69D9DD83" w14:textId="77777777" w:rsidR="00BE1539" w:rsidRDefault="007C0E3E">
            <w:r>
              <w:rPr>
                <w:color w:val="000000"/>
                <w:sz w:val="20"/>
                <w:szCs w:val="20"/>
              </w:rPr>
              <w:t>1,327</w:t>
            </w:r>
          </w:p>
        </w:tc>
        <w:tc>
          <w:tcPr>
            <w:tcW w:w="1300" w:type="dxa"/>
            <w:shd w:val="clear" w:color="auto" w:fill="F2F2F2"/>
            <w:tcMar>
              <w:top w:w="80" w:type="dxa"/>
              <w:left w:w="100" w:type="dxa"/>
              <w:bottom w:w="80" w:type="dxa"/>
              <w:right w:w="100" w:type="dxa"/>
            </w:tcMar>
          </w:tcPr>
          <w:p w14:paraId="6613E94B" w14:textId="77777777" w:rsidR="00BE1539" w:rsidRDefault="007C0E3E">
            <w:r>
              <w:rPr>
                <w:color w:val="000000"/>
                <w:sz w:val="20"/>
                <w:szCs w:val="20"/>
              </w:rPr>
              <w:t>0.98%</w:t>
            </w:r>
          </w:p>
        </w:tc>
        <w:tc>
          <w:tcPr>
            <w:tcW w:w="3300" w:type="dxa"/>
            <w:shd w:val="clear" w:color="auto" w:fill="F2F2F2"/>
            <w:tcMar>
              <w:top w:w="80" w:type="dxa"/>
              <w:left w:w="100" w:type="dxa"/>
              <w:bottom w:w="80" w:type="dxa"/>
              <w:right w:w="100" w:type="dxa"/>
            </w:tcMar>
          </w:tcPr>
          <w:p w14:paraId="24E9C202" w14:textId="77777777" w:rsidR="00BE1539" w:rsidRDefault="007C0E3E">
            <w:r>
              <w:rPr>
                <w:color w:val="000000"/>
                <w:sz w:val="20"/>
                <w:szCs w:val="20"/>
              </w:rPr>
              <w:t>14–15 band excluded</w:t>
            </w:r>
          </w:p>
        </w:tc>
      </w:tr>
      <w:tr w:rsidR="00BE1539" w14:paraId="6A4D92AB" w14:textId="77777777">
        <w:tblPrEx>
          <w:tblCellMar>
            <w:top w:w="0" w:type="dxa"/>
            <w:bottom w:w="0" w:type="dxa"/>
          </w:tblCellMar>
        </w:tblPrEx>
        <w:tc>
          <w:tcPr>
            <w:tcW w:w="2400" w:type="dxa"/>
            <w:tcMar>
              <w:top w:w="80" w:type="dxa"/>
              <w:left w:w="100" w:type="dxa"/>
              <w:bottom w:w="80" w:type="dxa"/>
              <w:right w:w="100" w:type="dxa"/>
            </w:tcMar>
          </w:tcPr>
          <w:p w14:paraId="2B5A2583" w14:textId="77777777" w:rsidR="00BE1539" w:rsidRDefault="007C0E3E">
            <w:r>
              <w:rPr>
                <w:color w:val="000000"/>
                <w:sz w:val="20"/>
                <w:szCs w:val="20"/>
              </w:rPr>
              <w:t>Gend3</w:t>
            </w:r>
          </w:p>
        </w:tc>
        <w:tc>
          <w:tcPr>
            <w:tcW w:w="1600" w:type="dxa"/>
            <w:tcMar>
              <w:top w:w="80" w:type="dxa"/>
              <w:left w:w="100" w:type="dxa"/>
              <w:bottom w:w="80" w:type="dxa"/>
              <w:right w:w="100" w:type="dxa"/>
            </w:tcMar>
          </w:tcPr>
          <w:p w14:paraId="3C5DD80D" w14:textId="77777777" w:rsidR="00BE1539" w:rsidRDefault="007C0E3E">
            <w:r>
              <w:rPr>
                <w:color w:val="000000"/>
                <w:sz w:val="20"/>
                <w:szCs w:val="20"/>
              </w:rPr>
              <w:t>303</w:t>
            </w:r>
          </w:p>
        </w:tc>
        <w:tc>
          <w:tcPr>
            <w:tcW w:w="1300" w:type="dxa"/>
            <w:tcMar>
              <w:top w:w="80" w:type="dxa"/>
              <w:left w:w="100" w:type="dxa"/>
              <w:bottom w:w="80" w:type="dxa"/>
              <w:right w:w="100" w:type="dxa"/>
            </w:tcMar>
          </w:tcPr>
          <w:p w14:paraId="77362CCE" w14:textId="77777777" w:rsidR="00BE1539" w:rsidRDefault="007C0E3E">
            <w:r>
              <w:rPr>
                <w:color w:val="000000"/>
                <w:sz w:val="20"/>
                <w:szCs w:val="20"/>
              </w:rPr>
              <w:t>0.22%</w:t>
            </w:r>
          </w:p>
        </w:tc>
        <w:tc>
          <w:tcPr>
            <w:tcW w:w="3300" w:type="dxa"/>
            <w:tcMar>
              <w:top w:w="80" w:type="dxa"/>
              <w:left w:w="100" w:type="dxa"/>
              <w:bottom w:w="80" w:type="dxa"/>
              <w:right w:w="100" w:type="dxa"/>
            </w:tcMar>
          </w:tcPr>
          <w:p w14:paraId="7461E2FA" w14:textId="77777777" w:rsidR="00BE1539" w:rsidRDefault="007C0E3E">
            <w:r>
              <w:rPr>
                <w:color w:val="000000"/>
                <w:sz w:val="20"/>
                <w:szCs w:val="20"/>
              </w:rPr>
              <w:t>Prefer not to say</w:t>
            </w:r>
          </w:p>
        </w:tc>
      </w:tr>
    </w:tbl>
    <w:p w14:paraId="3D00A215" w14:textId="77777777" w:rsidR="00BE1539" w:rsidRDefault="00BE1539">
      <w:pPr>
        <w:spacing w:after="240"/>
      </w:pPr>
    </w:p>
    <w:p w14:paraId="5C56D20C" w14:textId="77777777" w:rsidR="00BE1539" w:rsidRDefault="007C0E3E">
      <w:pPr>
        <w:pStyle w:val="Heading3"/>
      </w:pPr>
      <w:r>
        <w:t>3.3.5 Target Variable Derivation</w:t>
      </w:r>
    </w:p>
    <w:p w14:paraId="09C50F13" w14:textId="77777777" w:rsidR="00BE1539" w:rsidRDefault="007C0E3E">
      <w:pPr>
        <w:spacing w:after="180"/>
        <w:jc w:val="both"/>
      </w:pPr>
      <w:r>
        <w:t xml:space="preserve">The primary outcome, </w:t>
      </w:r>
      <w:proofErr w:type="spellStart"/>
      <w:r>
        <w:t>Activity_Level</w:t>
      </w:r>
      <w:proofErr w:type="spellEnd"/>
      <w:r>
        <w:t xml:space="preserve">, was derived from MEMS7_ALL (total moderate-equivalent minutes of activity per week) using Sport England's standard </w:t>
      </w:r>
      <w:proofErr w:type="gramStart"/>
      <w:r>
        <w:t>thresholds, and</w:t>
      </w:r>
      <w:proofErr w:type="gramEnd"/>
      <w:r>
        <w:t xml:space="preserve"> stored as an ordered categorical variable (Inactive &lt; </w:t>
      </w:r>
      <w:proofErr w:type="gramStart"/>
      <w:r>
        <w:t>Fairly Active</w:t>
      </w:r>
      <w:proofErr w:type="gramEnd"/>
      <w:r>
        <w:t xml:space="preserve"> &lt; Active) to preserve its ordinal structure for modelling. This directly implements the brief's requirement to track the proportion of individuals undertaking 150 or more minutes of physical activity per week, while retaining the intermediate band for the polarisation analysis discussed in Sectio</w:t>
      </w:r>
      <w:r>
        <w:t>n 3.4.</w:t>
      </w:r>
    </w:p>
    <w:p w14:paraId="67DFF0EA" w14:textId="77777777" w:rsidR="00BE1539" w:rsidRDefault="007C0E3E">
      <w:pPr>
        <w:spacing w:after="240"/>
        <w:jc w:val="center"/>
      </w:pPr>
      <w:r>
        <w:rPr>
          <w:i/>
          <w:iCs/>
          <w:color w:val="808080"/>
          <w:sz w:val="20"/>
          <w:szCs w:val="20"/>
        </w:rPr>
        <w:t xml:space="preserve">Table 3.4. </w:t>
      </w:r>
      <w:proofErr w:type="spellStart"/>
      <w:r>
        <w:rPr>
          <w:i/>
          <w:iCs/>
          <w:color w:val="808080"/>
          <w:sz w:val="20"/>
          <w:szCs w:val="20"/>
        </w:rPr>
        <w:t>Activity_Level</w:t>
      </w:r>
      <w:proofErr w:type="spellEnd"/>
      <w:r>
        <w:rPr>
          <w:i/>
          <w:iCs/>
          <w:color w:val="808080"/>
          <w:sz w:val="20"/>
          <w:szCs w:val="20"/>
        </w:rPr>
        <w:t xml:space="preserve"> derivation (unweighted respondent counts, feature engineering dataset).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400"/>
        <w:gridCol w:w="1800"/>
      </w:tblGrid>
      <w:tr w:rsidR="00BE1539" w14:paraId="271C2CDD" w14:textId="77777777">
        <w:tblPrEx>
          <w:tblCellMar>
            <w:top w:w="0" w:type="dxa"/>
            <w:bottom w:w="0" w:type="dxa"/>
          </w:tblCellMar>
        </w:tblPrEx>
        <w:tc>
          <w:tcPr>
            <w:tcW w:w="2000" w:type="dxa"/>
            <w:shd w:val="clear" w:color="auto" w:fill="1F3864"/>
            <w:tcMar>
              <w:top w:w="80" w:type="dxa"/>
              <w:left w:w="100" w:type="dxa"/>
              <w:bottom w:w="80" w:type="dxa"/>
              <w:right w:w="100" w:type="dxa"/>
            </w:tcMar>
          </w:tcPr>
          <w:p w14:paraId="152A36DF" w14:textId="77777777" w:rsidR="00BE1539" w:rsidRDefault="007C0E3E">
            <w:r>
              <w:rPr>
                <w:b/>
                <w:bCs/>
                <w:color w:val="FFFFFF"/>
                <w:sz w:val="20"/>
                <w:szCs w:val="20"/>
              </w:rPr>
              <w:t>Activity Level</w:t>
            </w:r>
          </w:p>
        </w:tc>
        <w:tc>
          <w:tcPr>
            <w:tcW w:w="2400" w:type="dxa"/>
            <w:shd w:val="clear" w:color="auto" w:fill="1F3864"/>
            <w:tcMar>
              <w:top w:w="80" w:type="dxa"/>
              <w:left w:w="100" w:type="dxa"/>
              <w:bottom w:w="80" w:type="dxa"/>
              <w:right w:w="100" w:type="dxa"/>
            </w:tcMar>
          </w:tcPr>
          <w:p w14:paraId="0F87D824" w14:textId="77777777" w:rsidR="00BE1539" w:rsidRDefault="007C0E3E">
            <w:r>
              <w:rPr>
                <w:b/>
                <w:bCs/>
                <w:color w:val="FFFFFF"/>
                <w:sz w:val="20"/>
                <w:szCs w:val="20"/>
              </w:rPr>
              <w:t>MEMS7_ALL Threshold</w:t>
            </w:r>
          </w:p>
        </w:tc>
        <w:tc>
          <w:tcPr>
            <w:tcW w:w="1400" w:type="dxa"/>
            <w:shd w:val="clear" w:color="auto" w:fill="1F3864"/>
            <w:tcMar>
              <w:top w:w="80" w:type="dxa"/>
              <w:left w:w="100" w:type="dxa"/>
              <w:bottom w:w="80" w:type="dxa"/>
              <w:right w:w="100" w:type="dxa"/>
            </w:tcMar>
          </w:tcPr>
          <w:p w14:paraId="697B895C" w14:textId="77777777" w:rsidR="00BE1539" w:rsidRDefault="007C0E3E">
            <w:r>
              <w:rPr>
                <w:b/>
                <w:bCs/>
                <w:color w:val="FFFFFF"/>
                <w:sz w:val="20"/>
                <w:szCs w:val="20"/>
              </w:rPr>
              <w:t>Count</w:t>
            </w:r>
          </w:p>
        </w:tc>
        <w:tc>
          <w:tcPr>
            <w:tcW w:w="1800" w:type="dxa"/>
            <w:shd w:val="clear" w:color="auto" w:fill="1F3864"/>
            <w:tcMar>
              <w:top w:w="80" w:type="dxa"/>
              <w:left w:w="100" w:type="dxa"/>
              <w:bottom w:w="80" w:type="dxa"/>
              <w:right w:w="100" w:type="dxa"/>
            </w:tcMar>
          </w:tcPr>
          <w:p w14:paraId="435175AC" w14:textId="77777777" w:rsidR="00BE1539" w:rsidRDefault="007C0E3E">
            <w:r>
              <w:rPr>
                <w:b/>
                <w:bCs/>
                <w:color w:val="FFFFFF"/>
                <w:sz w:val="20"/>
                <w:szCs w:val="20"/>
              </w:rPr>
              <w:t>% of Dataset</w:t>
            </w:r>
          </w:p>
        </w:tc>
      </w:tr>
      <w:tr w:rsidR="00BE1539" w14:paraId="70146C79" w14:textId="77777777">
        <w:tblPrEx>
          <w:tblCellMar>
            <w:top w:w="0" w:type="dxa"/>
            <w:bottom w:w="0" w:type="dxa"/>
          </w:tblCellMar>
        </w:tblPrEx>
        <w:tc>
          <w:tcPr>
            <w:tcW w:w="2000" w:type="dxa"/>
            <w:tcMar>
              <w:top w:w="80" w:type="dxa"/>
              <w:left w:w="100" w:type="dxa"/>
              <w:bottom w:w="80" w:type="dxa"/>
              <w:right w:w="100" w:type="dxa"/>
            </w:tcMar>
          </w:tcPr>
          <w:p w14:paraId="7EF1EAE8" w14:textId="77777777" w:rsidR="00BE1539" w:rsidRDefault="007C0E3E">
            <w:r>
              <w:rPr>
                <w:color w:val="000000"/>
                <w:sz w:val="20"/>
                <w:szCs w:val="20"/>
              </w:rPr>
              <w:lastRenderedPageBreak/>
              <w:t>Active</w:t>
            </w:r>
          </w:p>
        </w:tc>
        <w:tc>
          <w:tcPr>
            <w:tcW w:w="2400" w:type="dxa"/>
            <w:tcMar>
              <w:top w:w="80" w:type="dxa"/>
              <w:left w:w="100" w:type="dxa"/>
              <w:bottom w:w="80" w:type="dxa"/>
              <w:right w:w="100" w:type="dxa"/>
            </w:tcMar>
          </w:tcPr>
          <w:p w14:paraId="21CDB135" w14:textId="77777777" w:rsidR="00BE1539" w:rsidRDefault="007C0E3E">
            <w:r>
              <w:rPr>
                <w:color w:val="000000"/>
                <w:sz w:val="20"/>
                <w:szCs w:val="20"/>
              </w:rPr>
              <w:t>150+ minutes/week</w:t>
            </w:r>
          </w:p>
        </w:tc>
        <w:tc>
          <w:tcPr>
            <w:tcW w:w="1400" w:type="dxa"/>
            <w:tcMar>
              <w:top w:w="80" w:type="dxa"/>
              <w:left w:w="100" w:type="dxa"/>
              <w:bottom w:w="80" w:type="dxa"/>
              <w:right w:w="100" w:type="dxa"/>
            </w:tcMar>
          </w:tcPr>
          <w:p w14:paraId="6B13F985" w14:textId="77777777" w:rsidR="00BE1539" w:rsidRDefault="007C0E3E">
            <w:r>
              <w:rPr>
                <w:color w:val="000000"/>
                <w:sz w:val="20"/>
                <w:szCs w:val="20"/>
              </w:rPr>
              <w:t>90,124</w:t>
            </w:r>
          </w:p>
        </w:tc>
        <w:tc>
          <w:tcPr>
            <w:tcW w:w="1800" w:type="dxa"/>
            <w:tcMar>
              <w:top w:w="80" w:type="dxa"/>
              <w:left w:w="100" w:type="dxa"/>
              <w:bottom w:w="80" w:type="dxa"/>
              <w:right w:w="100" w:type="dxa"/>
            </w:tcMar>
          </w:tcPr>
          <w:p w14:paraId="78585727" w14:textId="77777777" w:rsidR="00BE1539" w:rsidRDefault="007C0E3E">
            <w:r>
              <w:rPr>
                <w:color w:val="000000"/>
                <w:sz w:val="20"/>
                <w:szCs w:val="20"/>
              </w:rPr>
              <w:t>66.5%</w:t>
            </w:r>
          </w:p>
        </w:tc>
      </w:tr>
      <w:tr w:rsidR="00BE1539" w14:paraId="33C3A42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5A926128" w14:textId="77777777" w:rsidR="00BE1539" w:rsidRDefault="007C0E3E">
            <w:r>
              <w:rPr>
                <w:color w:val="000000"/>
                <w:sz w:val="20"/>
                <w:szCs w:val="20"/>
              </w:rPr>
              <w:t>Fairly Active</w:t>
            </w:r>
          </w:p>
        </w:tc>
        <w:tc>
          <w:tcPr>
            <w:tcW w:w="2400" w:type="dxa"/>
            <w:shd w:val="clear" w:color="auto" w:fill="F2F2F2"/>
            <w:tcMar>
              <w:top w:w="80" w:type="dxa"/>
              <w:left w:w="100" w:type="dxa"/>
              <w:bottom w:w="80" w:type="dxa"/>
              <w:right w:w="100" w:type="dxa"/>
            </w:tcMar>
          </w:tcPr>
          <w:p w14:paraId="3CA61778" w14:textId="77777777" w:rsidR="00BE1539" w:rsidRDefault="007C0E3E">
            <w:r>
              <w:rPr>
                <w:color w:val="000000"/>
                <w:sz w:val="20"/>
                <w:szCs w:val="20"/>
              </w:rPr>
              <w:t>30–149 minutes/week</w:t>
            </w:r>
          </w:p>
        </w:tc>
        <w:tc>
          <w:tcPr>
            <w:tcW w:w="1400" w:type="dxa"/>
            <w:shd w:val="clear" w:color="auto" w:fill="F2F2F2"/>
            <w:tcMar>
              <w:top w:w="80" w:type="dxa"/>
              <w:left w:w="100" w:type="dxa"/>
              <w:bottom w:w="80" w:type="dxa"/>
              <w:right w:w="100" w:type="dxa"/>
            </w:tcMar>
          </w:tcPr>
          <w:p w14:paraId="4ADF2B90" w14:textId="77777777" w:rsidR="00BE1539" w:rsidRDefault="007C0E3E">
            <w:r>
              <w:rPr>
                <w:color w:val="000000"/>
                <w:sz w:val="20"/>
                <w:szCs w:val="20"/>
              </w:rPr>
              <w:t>15,033</w:t>
            </w:r>
          </w:p>
        </w:tc>
        <w:tc>
          <w:tcPr>
            <w:tcW w:w="1800" w:type="dxa"/>
            <w:shd w:val="clear" w:color="auto" w:fill="F2F2F2"/>
            <w:tcMar>
              <w:top w:w="80" w:type="dxa"/>
              <w:left w:w="100" w:type="dxa"/>
              <w:bottom w:w="80" w:type="dxa"/>
              <w:right w:w="100" w:type="dxa"/>
            </w:tcMar>
          </w:tcPr>
          <w:p w14:paraId="6E970C66" w14:textId="77777777" w:rsidR="00BE1539" w:rsidRDefault="007C0E3E">
            <w:r>
              <w:rPr>
                <w:color w:val="000000"/>
                <w:sz w:val="20"/>
                <w:szCs w:val="20"/>
              </w:rPr>
              <w:t>11.1%</w:t>
            </w:r>
          </w:p>
        </w:tc>
      </w:tr>
      <w:tr w:rsidR="00BE1539" w14:paraId="2A43534B" w14:textId="77777777">
        <w:tblPrEx>
          <w:tblCellMar>
            <w:top w:w="0" w:type="dxa"/>
            <w:bottom w:w="0" w:type="dxa"/>
          </w:tblCellMar>
        </w:tblPrEx>
        <w:tc>
          <w:tcPr>
            <w:tcW w:w="2000" w:type="dxa"/>
            <w:tcMar>
              <w:top w:w="80" w:type="dxa"/>
              <w:left w:w="100" w:type="dxa"/>
              <w:bottom w:w="80" w:type="dxa"/>
              <w:right w:w="100" w:type="dxa"/>
            </w:tcMar>
          </w:tcPr>
          <w:p w14:paraId="737C8896" w14:textId="77777777" w:rsidR="00BE1539" w:rsidRDefault="007C0E3E">
            <w:r>
              <w:rPr>
                <w:color w:val="000000"/>
                <w:sz w:val="20"/>
                <w:szCs w:val="20"/>
              </w:rPr>
              <w:t>Inactive</w:t>
            </w:r>
          </w:p>
        </w:tc>
        <w:tc>
          <w:tcPr>
            <w:tcW w:w="2400" w:type="dxa"/>
            <w:tcMar>
              <w:top w:w="80" w:type="dxa"/>
              <w:left w:w="100" w:type="dxa"/>
              <w:bottom w:w="80" w:type="dxa"/>
              <w:right w:w="100" w:type="dxa"/>
            </w:tcMar>
          </w:tcPr>
          <w:p w14:paraId="0B90D356" w14:textId="77777777" w:rsidR="00BE1539" w:rsidRDefault="007C0E3E">
            <w:r>
              <w:rPr>
                <w:color w:val="000000"/>
                <w:sz w:val="20"/>
                <w:szCs w:val="20"/>
              </w:rPr>
              <w:t>0–29 minutes/week</w:t>
            </w:r>
          </w:p>
        </w:tc>
        <w:tc>
          <w:tcPr>
            <w:tcW w:w="1400" w:type="dxa"/>
            <w:tcMar>
              <w:top w:w="80" w:type="dxa"/>
              <w:left w:w="100" w:type="dxa"/>
              <w:bottom w:w="80" w:type="dxa"/>
              <w:right w:w="100" w:type="dxa"/>
            </w:tcMar>
          </w:tcPr>
          <w:p w14:paraId="4E0852FF" w14:textId="77777777" w:rsidR="00BE1539" w:rsidRDefault="007C0E3E">
            <w:r>
              <w:rPr>
                <w:color w:val="000000"/>
                <w:sz w:val="20"/>
                <w:szCs w:val="20"/>
              </w:rPr>
              <w:t>30,340</w:t>
            </w:r>
          </w:p>
        </w:tc>
        <w:tc>
          <w:tcPr>
            <w:tcW w:w="1800" w:type="dxa"/>
            <w:tcMar>
              <w:top w:w="80" w:type="dxa"/>
              <w:left w:w="100" w:type="dxa"/>
              <w:bottom w:w="80" w:type="dxa"/>
              <w:right w:w="100" w:type="dxa"/>
            </w:tcMar>
          </w:tcPr>
          <w:p w14:paraId="3064E8CA" w14:textId="77777777" w:rsidR="00BE1539" w:rsidRDefault="007C0E3E">
            <w:r>
              <w:rPr>
                <w:color w:val="000000"/>
                <w:sz w:val="20"/>
                <w:szCs w:val="20"/>
              </w:rPr>
              <w:t>22.4%</w:t>
            </w:r>
          </w:p>
        </w:tc>
      </w:tr>
    </w:tbl>
    <w:p w14:paraId="73DF29C7" w14:textId="77777777" w:rsidR="00BE1539" w:rsidRDefault="00BE1539">
      <w:pPr>
        <w:spacing w:after="240"/>
      </w:pPr>
    </w:p>
    <w:p w14:paraId="5352A6B6" w14:textId="77777777" w:rsidR="00BE1539" w:rsidRDefault="007C0E3E">
      <w:pPr>
        <w:spacing w:after="180"/>
        <w:jc w:val="both"/>
      </w:pPr>
      <w:r>
        <w:t>Note that unweighted counts (Table 3.4, used for model training) differ slightly from the weighted, population-representative figures reported in Table 3.2 and Section 3.4; both are correct for their respective purposes.</w:t>
      </w:r>
    </w:p>
    <w:p w14:paraId="24D271DB" w14:textId="77777777" w:rsidR="00BE1539" w:rsidRDefault="007C0E3E">
      <w:pPr>
        <w:spacing w:after="180"/>
        <w:jc w:val="both"/>
      </w:pPr>
      <w:r>
        <w:t>The nine-band Age9 variable was consolidated into four life-stage groups aligned with the brief's specification of ten-year age ranges from 16+, retaining adequate sample sizes for the oldest groups:</w:t>
      </w:r>
    </w:p>
    <w:p w14:paraId="38669AF4" w14:textId="77777777" w:rsidR="00BE1539" w:rsidRDefault="007C0E3E">
      <w:pPr>
        <w:spacing w:after="240"/>
        <w:jc w:val="center"/>
      </w:pPr>
      <w:r>
        <w:rPr>
          <w:i/>
          <w:iCs/>
          <w:color w:val="808080"/>
          <w:sz w:val="20"/>
          <w:szCs w:val="20"/>
        </w:rPr>
        <w:t>Table 3.5. Age group consolidation.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1600"/>
      </w:tblGrid>
      <w:tr w:rsidR="00BE1539" w14:paraId="233743F5"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5353458D" w14:textId="77777777" w:rsidR="00BE1539" w:rsidRDefault="007C0E3E">
            <w:proofErr w:type="spellStart"/>
            <w:r>
              <w:rPr>
                <w:b/>
                <w:bCs/>
                <w:color w:val="FFFFFF"/>
                <w:sz w:val="20"/>
                <w:szCs w:val="20"/>
              </w:rPr>
              <w:t>Age_Group</w:t>
            </w:r>
            <w:proofErr w:type="spellEnd"/>
          </w:p>
        </w:tc>
        <w:tc>
          <w:tcPr>
            <w:tcW w:w="3600" w:type="dxa"/>
            <w:shd w:val="clear" w:color="auto" w:fill="1F3864"/>
            <w:tcMar>
              <w:top w:w="80" w:type="dxa"/>
              <w:left w:w="100" w:type="dxa"/>
              <w:bottom w:w="80" w:type="dxa"/>
              <w:right w:w="100" w:type="dxa"/>
            </w:tcMar>
          </w:tcPr>
          <w:p w14:paraId="3CA013EE" w14:textId="77777777" w:rsidR="00BE1539" w:rsidRDefault="007C0E3E">
            <w:r>
              <w:rPr>
                <w:b/>
                <w:bCs/>
                <w:color w:val="FFFFFF"/>
                <w:sz w:val="20"/>
                <w:szCs w:val="20"/>
              </w:rPr>
              <w:t>Age9 Bands Included</w:t>
            </w:r>
          </w:p>
        </w:tc>
        <w:tc>
          <w:tcPr>
            <w:tcW w:w="1600" w:type="dxa"/>
            <w:shd w:val="clear" w:color="auto" w:fill="1F3864"/>
            <w:tcMar>
              <w:top w:w="80" w:type="dxa"/>
              <w:left w:w="100" w:type="dxa"/>
              <w:bottom w:w="80" w:type="dxa"/>
              <w:right w:w="100" w:type="dxa"/>
            </w:tcMar>
          </w:tcPr>
          <w:p w14:paraId="642965E7" w14:textId="77777777" w:rsidR="00BE1539" w:rsidRDefault="007C0E3E">
            <w:r>
              <w:rPr>
                <w:b/>
                <w:bCs/>
                <w:color w:val="FFFFFF"/>
                <w:sz w:val="20"/>
                <w:szCs w:val="20"/>
              </w:rPr>
              <w:t>Count</w:t>
            </w:r>
          </w:p>
        </w:tc>
      </w:tr>
      <w:tr w:rsidR="00BE1539" w14:paraId="21140607" w14:textId="77777777">
        <w:tblPrEx>
          <w:tblCellMar>
            <w:top w:w="0" w:type="dxa"/>
            <w:bottom w:w="0" w:type="dxa"/>
          </w:tblCellMar>
        </w:tblPrEx>
        <w:tc>
          <w:tcPr>
            <w:tcW w:w="1600" w:type="dxa"/>
            <w:tcMar>
              <w:top w:w="80" w:type="dxa"/>
              <w:left w:w="100" w:type="dxa"/>
              <w:bottom w:w="80" w:type="dxa"/>
              <w:right w:w="100" w:type="dxa"/>
            </w:tcMar>
          </w:tcPr>
          <w:p w14:paraId="1A36DD35" w14:textId="77777777" w:rsidR="00BE1539" w:rsidRDefault="007C0E3E">
            <w:r>
              <w:rPr>
                <w:color w:val="000000"/>
                <w:sz w:val="20"/>
                <w:szCs w:val="20"/>
              </w:rPr>
              <w:t>16–24</w:t>
            </w:r>
          </w:p>
        </w:tc>
        <w:tc>
          <w:tcPr>
            <w:tcW w:w="3600" w:type="dxa"/>
            <w:tcMar>
              <w:top w:w="80" w:type="dxa"/>
              <w:left w:w="100" w:type="dxa"/>
              <w:bottom w:w="80" w:type="dxa"/>
              <w:right w:w="100" w:type="dxa"/>
            </w:tcMar>
          </w:tcPr>
          <w:p w14:paraId="45D0ED81" w14:textId="77777777" w:rsidR="00BE1539" w:rsidRDefault="007C0E3E">
            <w:r>
              <w:rPr>
                <w:color w:val="000000"/>
                <w:sz w:val="20"/>
                <w:szCs w:val="20"/>
              </w:rPr>
              <w:t>16–24</w:t>
            </w:r>
          </w:p>
        </w:tc>
        <w:tc>
          <w:tcPr>
            <w:tcW w:w="1600" w:type="dxa"/>
            <w:tcMar>
              <w:top w:w="80" w:type="dxa"/>
              <w:left w:w="100" w:type="dxa"/>
              <w:bottom w:w="80" w:type="dxa"/>
              <w:right w:w="100" w:type="dxa"/>
            </w:tcMar>
          </w:tcPr>
          <w:p w14:paraId="7B3450FD" w14:textId="77777777" w:rsidR="00BE1539" w:rsidRDefault="007C0E3E">
            <w:r>
              <w:rPr>
                <w:color w:val="000000"/>
                <w:sz w:val="20"/>
                <w:szCs w:val="20"/>
              </w:rPr>
              <w:t>11,110</w:t>
            </w:r>
          </w:p>
        </w:tc>
      </w:tr>
      <w:tr w:rsidR="00BE1539" w14:paraId="59E38F73"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183807CC" w14:textId="77777777" w:rsidR="00BE1539" w:rsidRDefault="007C0E3E">
            <w:r>
              <w:rPr>
                <w:color w:val="000000"/>
                <w:sz w:val="20"/>
                <w:szCs w:val="20"/>
              </w:rPr>
              <w:t>25–44</w:t>
            </w:r>
          </w:p>
        </w:tc>
        <w:tc>
          <w:tcPr>
            <w:tcW w:w="3600" w:type="dxa"/>
            <w:shd w:val="clear" w:color="auto" w:fill="F2F2F2"/>
            <w:tcMar>
              <w:top w:w="80" w:type="dxa"/>
              <w:left w:w="100" w:type="dxa"/>
              <w:bottom w:w="80" w:type="dxa"/>
              <w:right w:w="100" w:type="dxa"/>
            </w:tcMar>
          </w:tcPr>
          <w:p w14:paraId="388FDB00" w14:textId="77777777" w:rsidR="00BE1539" w:rsidRDefault="007C0E3E">
            <w:r>
              <w:rPr>
                <w:color w:val="000000"/>
                <w:sz w:val="20"/>
                <w:szCs w:val="20"/>
              </w:rPr>
              <w:t>25–34, 35–44</w:t>
            </w:r>
          </w:p>
        </w:tc>
        <w:tc>
          <w:tcPr>
            <w:tcW w:w="1600" w:type="dxa"/>
            <w:shd w:val="clear" w:color="auto" w:fill="F2F2F2"/>
            <w:tcMar>
              <w:top w:w="80" w:type="dxa"/>
              <w:left w:w="100" w:type="dxa"/>
              <w:bottom w:w="80" w:type="dxa"/>
              <w:right w:w="100" w:type="dxa"/>
            </w:tcMar>
          </w:tcPr>
          <w:p w14:paraId="01D16A31" w14:textId="77777777" w:rsidR="00BE1539" w:rsidRDefault="007C0E3E">
            <w:r>
              <w:rPr>
                <w:color w:val="000000"/>
                <w:sz w:val="20"/>
                <w:szCs w:val="20"/>
              </w:rPr>
              <w:t>53,216</w:t>
            </w:r>
          </w:p>
        </w:tc>
      </w:tr>
      <w:tr w:rsidR="00BE1539" w14:paraId="03FB98CD" w14:textId="77777777">
        <w:tblPrEx>
          <w:tblCellMar>
            <w:top w:w="0" w:type="dxa"/>
            <w:bottom w:w="0" w:type="dxa"/>
          </w:tblCellMar>
        </w:tblPrEx>
        <w:tc>
          <w:tcPr>
            <w:tcW w:w="1600" w:type="dxa"/>
            <w:tcMar>
              <w:top w:w="80" w:type="dxa"/>
              <w:left w:w="100" w:type="dxa"/>
              <w:bottom w:w="80" w:type="dxa"/>
              <w:right w:w="100" w:type="dxa"/>
            </w:tcMar>
          </w:tcPr>
          <w:p w14:paraId="0A030AB8" w14:textId="77777777" w:rsidR="00BE1539" w:rsidRDefault="007C0E3E">
            <w:r>
              <w:rPr>
                <w:color w:val="000000"/>
                <w:sz w:val="20"/>
                <w:szCs w:val="20"/>
              </w:rPr>
              <w:t>45–64</w:t>
            </w:r>
          </w:p>
        </w:tc>
        <w:tc>
          <w:tcPr>
            <w:tcW w:w="3600" w:type="dxa"/>
            <w:tcMar>
              <w:top w:w="80" w:type="dxa"/>
              <w:left w:w="100" w:type="dxa"/>
              <w:bottom w:w="80" w:type="dxa"/>
              <w:right w:w="100" w:type="dxa"/>
            </w:tcMar>
          </w:tcPr>
          <w:p w14:paraId="31BEFA74" w14:textId="77777777" w:rsidR="00BE1539" w:rsidRDefault="007C0E3E">
            <w:r>
              <w:rPr>
                <w:color w:val="000000"/>
                <w:sz w:val="20"/>
                <w:szCs w:val="20"/>
              </w:rPr>
              <w:t>45–54, 55–64</w:t>
            </w:r>
          </w:p>
        </w:tc>
        <w:tc>
          <w:tcPr>
            <w:tcW w:w="1600" w:type="dxa"/>
            <w:tcMar>
              <w:top w:w="80" w:type="dxa"/>
              <w:left w:w="100" w:type="dxa"/>
              <w:bottom w:w="80" w:type="dxa"/>
              <w:right w:w="100" w:type="dxa"/>
            </w:tcMar>
          </w:tcPr>
          <w:p w14:paraId="069B042B" w14:textId="77777777" w:rsidR="00BE1539" w:rsidRDefault="007C0E3E">
            <w:r>
              <w:rPr>
                <w:color w:val="000000"/>
                <w:sz w:val="20"/>
                <w:szCs w:val="20"/>
              </w:rPr>
              <w:t>43,555</w:t>
            </w:r>
          </w:p>
        </w:tc>
      </w:tr>
      <w:tr w:rsidR="00BE1539" w14:paraId="0871FDA3"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6621A645" w14:textId="77777777" w:rsidR="00BE1539" w:rsidRDefault="007C0E3E">
            <w:r>
              <w:rPr>
                <w:color w:val="000000"/>
                <w:sz w:val="20"/>
                <w:szCs w:val="20"/>
              </w:rPr>
              <w:t>65+</w:t>
            </w:r>
          </w:p>
        </w:tc>
        <w:tc>
          <w:tcPr>
            <w:tcW w:w="3600" w:type="dxa"/>
            <w:shd w:val="clear" w:color="auto" w:fill="F2F2F2"/>
            <w:tcMar>
              <w:top w:w="80" w:type="dxa"/>
              <w:left w:w="100" w:type="dxa"/>
              <w:bottom w:w="80" w:type="dxa"/>
              <w:right w:w="100" w:type="dxa"/>
            </w:tcMar>
          </w:tcPr>
          <w:p w14:paraId="33F48EF1" w14:textId="77777777" w:rsidR="00BE1539" w:rsidRDefault="007C0E3E">
            <w:r>
              <w:rPr>
                <w:color w:val="000000"/>
                <w:sz w:val="20"/>
                <w:szCs w:val="20"/>
              </w:rPr>
              <w:t>65–74, 75–84, 85+</w:t>
            </w:r>
          </w:p>
        </w:tc>
        <w:tc>
          <w:tcPr>
            <w:tcW w:w="1600" w:type="dxa"/>
            <w:shd w:val="clear" w:color="auto" w:fill="F2F2F2"/>
            <w:tcMar>
              <w:top w:w="80" w:type="dxa"/>
              <w:left w:w="100" w:type="dxa"/>
              <w:bottom w:w="80" w:type="dxa"/>
              <w:right w:w="100" w:type="dxa"/>
            </w:tcMar>
          </w:tcPr>
          <w:p w14:paraId="481C8047" w14:textId="77777777" w:rsidR="00BE1539" w:rsidRDefault="007C0E3E">
            <w:r>
              <w:rPr>
                <w:color w:val="000000"/>
                <w:sz w:val="20"/>
                <w:szCs w:val="20"/>
              </w:rPr>
              <w:t>26,289</w:t>
            </w:r>
          </w:p>
        </w:tc>
      </w:tr>
    </w:tbl>
    <w:p w14:paraId="181C0187" w14:textId="77777777" w:rsidR="00BE1539" w:rsidRDefault="00BE1539">
      <w:pPr>
        <w:spacing w:after="240"/>
      </w:pPr>
    </w:p>
    <w:p w14:paraId="05734B13" w14:textId="77777777" w:rsidR="00BE1539" w:rsidRDefault="007C0E3E">
      <w:pPr>
        <w:spacing w:after="180"/>
        <w:jc w:val="both"/>
      </w:pPr>
      <w:r>
        <w:t xml:space="preserve">All categorical variables were explicitly converted from object to pandas Categorical </w:t>
      </w:r>
      <w:proofErr w:type="spellStart"/>
      <w:r>
        <w:t>dtype</w:t>
      </w:r>
      <w:proofErr w:type="spellEnd"/>
      <w:r>
        <w:t xml:space="preserve">, improving memory efficiency, ensuring compatibility with the ML libraries used in Sections 3.6–3.9, and preserving the ordinal structure of </w:t>
      </w:r>
      <w:proofErr w:type="spellStart"/>
      <w:r>
        <w:t>Activity_Level</w:t>
      </w:r>
      <w:proofErr w:type="spellEnd"/>
      <w:r>
        <w:t xml:space="preserve"> for the models in Sections 3.7 and 3.9 that use it directly.</w:t>
      </w:r>
    </w:p>
    <w:p w14:paraId="3313BFC4" w14:textId="77777777" w:rsidR="00BE1539" w:rsidRDefault="007C0E3E">
      <w:pPr>
        <w:pStyle w:val="Heading2"/>
      </w:pPr>
      <w:r>
        <w:t>3.4 Exploratory Data Analysis</w:t>
      </w:r>
    </w:p>
    <w:p w14:paraId="17B08DF5" w14:textId="77777777" w:rsidR="00BE1539" w:rsidRDefault="007C0E3E">
      <w:pPr>
        <w:spacing w:after="180"/>
        <w:jc w:val="both"/>
      </w:pPr>
      <w:r>
        <w:t>EDA was conducted as a quality gate ahead of aggregation and modelling, targeting six specific risks associated with an eight-year government survey: variables missing across years, encoded categorical values, sentinel contamination, and known harmonisation issues arising from survey methodology changes.</w:t>
      </w:r>
    </w:p>
    <w:p w14:paraId="6B42BBFB" w14:textId="77777777" w:rsidR="00BE1539" w:rsidRDefault="007C0E3E">
      <w:pPr>
        <w:spacing w:after="240"/>
        <w:jc w:val="center"/>
      </w:pPr>
      <w:r>
        <w:rPr>
          <w:i/>
          <w:iCs/>
          <w:color w:val="808080"/>
          <w:sz w:val="20"/>
          <w:szCs w:val="20"/>
        </w:rPr>
        <w:t>Table 3.6. Targeted EDA checks.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BE1539" w14:paraId="3710D741"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7A326D10" w14:textId="77777777" w:rsidR="00BE1539" w:rsidRDefault="007C0E3E">
            <w:r>
              <w:rPr>
                <w:b/>
                <w:bCs/>
                <w:color w:val="FFFFFF"/>
                <w:sz w:val="20"/>
                <w:szCs w:val="20"/>
              </w:rPr>
              <w:t>Check</w:t>
            </w:r>
          </w:p>
        </w:tc>
        <w:tc>
          <w:tcPr>
            <w:tcW w:w="5600" w:type="dxa"/>
            <w:shd w:val="clear" w:color="auto" w:fill="1F3864"/>
            <w:tcMar>
              <w:top w:w="80" w:type="dxa"/>
              <w:left w:w="100" w:type="dxa"/>
              <w:bottom w:w="80" w:type="dxa"/>
              <w:right w:w="100" w:type="dxa"/>
            </w:tcMar>
          </w:tcPr>
          <w:p w14:paraId="7B8EF9C4" w14:textId="77777777" w:rsidR="00BE1539" w:rsidRDefault="007C0E3E">
            <w:r>
              <w:rPr>
                <w:b/>
                <w:bCs/>
                <w:color w:val="FFFFFF"/>
                <w:sz w:val="20"/>
                <w:szCs w:val="20"/>
              </w:rPr>
              <w:t>Purpose</w:t>
            </w:r>
          </w:p>
        </w:tc>
      </w:tr>
      <w:tr w:rsidR="00BE1539" w14:paraId="6CC4F33A" w14:textId="77777777">
        <w:tblPrEx>
          <w:tblCellMar>
            <w:top w:w="0" w:type="dxa"/>
            <w:bottom w:w="0" w:type="dxa"/>
          </w:tblCellMar>
        </w:tblPrEx>
        <w:tc>
          <w:tcPr>
            <w:tcW w:w="3200" w:type="dxa"/>
            <w:tcMar>
              <w:top w:w="80" w:type="dxa"/>
              <w:left w:w="100" w:type="dxa"/>
              <w:bottom w:w="80" w:type="dxa"/>
              <w:right w:w="100" w:type="dxa"/>
            </w:tcMar>
          </w:tcPr>
          <w:p w14:paraId="1C1EA69E" w14:textId="77777777" w:rsidR="00BE1539" w:rsidRDefault="007C0E3E">
            <w:r>
              <w:rPr>
                <w:color w:val="000000"/>
                <w:sz w:val="20"/>
                <w:szCs w:val="20"/>
              </w:rPr>
              <w:t>1. Merge and borough mapping</w:t>
            </w:r>
          </w:p>
        </w:tc>
        <w:tc>
          <w:tcPr>
            <w:tcW w:w="5600" w:type="dxa"/>
            <w:tcMar>
              <w:top w:w="80" w:type="dxa"/>
              <w:left w:w="100" w:type="dxa"/>
              <w:bottom w:w="80" w:type="dxa"/>
              <w:right w:w="100" w:type="dxa"/>
            </w:tcMar>
          </w:tcPr>
          <w:p w14:paraId="5EEAB23F" w14:textId="77777777" w:rsidR="00BE1539" w:rsidRDefault="007C0E3E">
            <w:r>
              <w:rPr>
                <w:color w:val="000000"/>
                <w:sz w:val="20"/>
                <w:szCs w:val="20"/>
              </w:rPr>
              <w:t>Stack all 8 years with consistent borough identity</w:t>
            </w:r>
          </w:p>
        </w:tc>
      </w:tr>
      <w:tr w:rsidR="00BE1539" w14:paraId="0094CEE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AB3D7D4" w14:textId="77777777" w:rsidR="00BE1539" w:rsidRDefault="007C0E3E">
            <w:r>
              <w:rPr>
                <w:color w:val="000000"/>
                <w:sz w:val="20"/>
                <w:szCs w:val="20"/>
              </w:rPr>
              <w:t>2. Sentinel value audit</w:t>
            </w:r>
          </w:p>
        </w:tc>
        <w:tc>
          <w:tcPr>
            <w:tcW w:w="5600" w:type="dxa"/>
            <w:shd w:val="clear" w:color="auto" w:fill="F2F2F2"/>
            <w:tcMar>
              <w:top w:w="80" w:type="dxa"/>
              <w:left w:w="100" w:type="dxa"/>
              <w:bottom w:w="80" w:type="dxa"/>
              <w:right w:w="100" w:type="dxa"/>
            </w:tcMar>
          </w:tcPr>
          <w:p w14:paraId="406BBF40" w14:textId="77777777" w:rsidR="00BE1539" w:rsidRDefault="007C0E3E">
            <w:r>
              <w:rPr>
                <w:color w:val="000000"/>
                <w:sz w:val="20"/>
                <w:szCs w:val="20"/>
              </w:rPr>
              <w:t>Confirm –99 to –94 codes are not treated as real values</w:t>
            </w:r>
          </w:p>
        </w:tc>
      </w:tr>
      <w:tr w:rsidR="00BE1539" w14:paraId="1E2AC586" w14:textId="77777777">
        <w:tblPrEx>
          <w:tblCellMar>
            <w:top w:w="0" w:type="dxa"/>
            <w:bottom w:w="0" w:type="dxa"/>
          </w:tblCellMar>
        </w:tblPrEx>
        <w:tc>
          <w:tcPr>
            <w:tcW w:w="3200" w:type="dxa"/>
            <w:tcMar>
              <w:top w:w="80" w:type="dxa"/>
              <w:left w:w="100" w:type="dxa"/>
              <w:bottom w:w="80" w:type="dxa"/>
              <w:right w:w="100" w:type="dxa"/>
            </w:tcMar>
          </w:tcPr>
          <w:p w14:paraId="67D2F0F3" w14:textId="77777777" w:rsidR="00BE1539" w:rsidRDefault="007C0E3E">
            <w:r>
              <w:rPr>
                <w:color w:val="000000"/>
                <w:sz w:val="20"/>
                <w:szCs w:val="20"/>
              </w:rPr>
              <w:t>3. Missing value audit</w:t>
            </w:r>
          </w:p>
        </w:tc>
        <w:tc>
          <w:tcPr>
            <w:tcW w:w="5600" w:type="dxa"/>
            <w:tcMar>
              <w:top w:w="80" w:type="dxa"/>
              <w:left w:w="100" w:type="dxa"/>
              <w:bottom w:w="80" w:type="dxa"/>
              <w:right w:w="100" w:type="dxa"/>
            </w:tcMar>
          </w:tcPr>
          <w:p w14:paraId="2272837B" w14:textId="77777777" w:rsidR="00BE1539" w:rsidRDefault="007C0E3E">
            <w:r>
              <w:rPr>
                <w:color w:val="000000"/>
                <w:sz w:val="20"/>
                <w:szCs w:val="20"/>
              </w:rPr>
              <w:t>Understand missingness by pillar, year and borough</w:t>
            </w:r>
          </w:p>
        </w:tc>
      </w:tr>
      <w:tr w:rsidR="00BE1539" w14:paraId="76A592DB"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9E8763A" w14:textId="77777777" w:rsidR="00BE1539" w:rsidRDefault="007C0E3E">
            <w:r>
              <w:rPr>
                <w:color w:val="000000"/>
                <w:sz w:val="20"/>
                <w:szCs w:val="20"/>
              </w:rPr>
              <w:t>4. Borough coverage check</w:t>
            </w:r>
          </w:p>
        </w:tc>
        <w:tc>
          <w:tcPr>
            <w:tcW w:w="5600" w:type="dxa"/>
            <w:shd w:val="clear" w:color="auto" w:fill="F2F2F2"/>
            <w:tcMar>
              <w:top w:w="80" w:type="dxa"/>
              <w:left w:w="100" w:type="dxa"/>
              <w:bottom w:w="80" w:type="dxa"/>
              <w:right w:w="100" w:type="dxa"/>
            </w:tcMar>
          </w:tcPr>
          <w:p w14:paraId="160C7307" w14:textId="77777777" w:rsidR="00BE1539" w:rsidRDefault="007C0E3E">
            <w:r>
              <w:rPr>
                <w:color w:val="000000"/>
                <w:sz w:val="20"/>
                <w:szCs w:val="20"/>
              </w:rPr>
              <w:t>Confirm sufficient respondents per borough per year</w:t>
            </w:r>
          </w:p>
        </w:tc>
      </w:tr>
      <w:tr w:rsidR="00BE1539" w14:paraId="071D46BD" w14:textId="77777777">
        <w:tblPrEx>
          <w:tblCellMar>
            <w:top w:w="0" w:type="dxa"/>
            <w:bottom w:w="0" w:type="dxa"/>
          </w:tblCellMar>
        </w:tblPrEx>
        <w:tc>
          <w:tcPr>
            <w:tcW w:w="3200" w:type="dxa"/>
            <w:tcMar>
              <w:top w:w="80" w:type="dxa"/>
              <w:left w:w="100" w:type="dxa"/>
              <w:bottom w:w="80" w:type="dxa"/>
              <w:right w:w="100" w:type="dxa"/>
            </w:tcMar>
          </w:tcPr>
          <w:p w14:paraId="48FFC80E" w14:textId="77777777" w:rsidR="00BE1539" w:rsidRDefault="007C0E3E">
            <w:r>
              <w:rPr>
                <w:color w:val="000000"/>
                <w:sz w:val="20"/>
                <w:szCs w:val="20"/>
              </w:rPr>
              <w:t>5. Cross-year consistency</w:t>
            </w:r>
          </w:p>
        </w:tc>
        <w:tc>
          <w:tcPr>
            <w:tcW w:w="5600" w:type="dxa"/>
            <w:tcMar>
              <w:top w:w="80" w:type="dxa"/>
              <w:left w:w="100" w:type="dxa"/>
              <w:bottom w:w="80" w:type="dxa"/>
              <w:right w:w="100" w:type="dxa"/>
            </w:tcMar>
          </w:tcPr>
          <w:p w14:paraId="17AA9B87" w14:textId="77777777" w:rsidR="00BE1539" w:rsidRDefault="007C0E3E">
            <w:r>
              <w:rPr>
                <w:color w:val="000000"/>
                <w:sz w:val="20"/>
                <w:szCs w:val="20"/>
              </w:rPr>
              <w:t>Verify category codes mean the same thing across years</w:t>
            </w:r>
          </w:p>
        </w:tc>
      </w:tr>
      <w:tr w:rsidR="00BE1539" w14:paraId="5818E02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92F7916" w14:textId="77777777" w:rsidR="00BE1539" w:rsidRDefault="007C0E3E">
            <w:r>
              <w:rPr>
                <w:color w:val="000000"/>
                <w:sz w:val="20"/>
                <w:szCs w:val="20"/>
              </w:rPr>
              <w:t>6. Distribution checks</w:t>
            </w:r>
          </w:p>
        </w:tc>
        <w:tc>
          <w:tcPr>
            <w:tcW w:w="5600" w:type="dxa"/>
            <w:shd w:val="clear" w:color="auto" w:fill="F2F2F2"/>
            <w:tcMar>
              <w:top w:w="80" w:type="dxa"/>
              <w:left w:w="100" w:type="dxa"/>
              <w:bottom w:w="80" w:type="dxa"/>
              <w:right w:w="100" w:type="dxa"/>
            </w:tcMar>
          </w:tcPr>
          <w:p w14:paraId="7D44EBD9" w14:textId="77777777" w:rsidR="00BE1539" w:rsidRDefault="007C0E3E">
            <w:r>
              <w:rPr>
                <w:color w:val="000000"/>
                <w:sz w:val="20"/>
                <w:szCs w:val="20"/>
              </w:rPr>
              <w:t>Confirm outcome variables shift plausibly year to year</w:t>
            </w:r>
          </w:p>
        </w:tc>
      </w:tr>
    </w:tbl>
    <w:p w14:paraId="4D5B85BE" w14:textId="77777777" w:rsidR="00BE1539" w:rsidRDefault="00BE1539">
      <w:pPr>
        <w:spacing w:after="240"/>
      </w:pPr>
    </w:p>
    <w:p w14:paraId="4B269A7F" w14:textId="77777777" w:rsidR="00BE1539" w:rsidRDefault="007C0E3E">
      <w:pPr>
        <w:spacing w:after="180"/>
        <w:jc w:val="both"/>
      </w:pPr>
      <w:r>
        <w:lastRenderedPageBreak/>
        <w:t>Borough coverage was confirmed as exceptionally strong: every borough-year combination has at least 400 respondents (minimum 461, maximum 1,027), well above the threshold generally considered necessary for reliable aggregation. Several boroughs (Greenwich, Barking and Dagenham, Enfield, Haringey, Newham and Redbridge) were deliberately oversampled in specific years for local reporting purposes; since all aggregation in this project uses weighted proportions rather than raw counts, this does not bias the ana</w:t>
      </w:r>
      <w:r>
        <w:t>lysis.</w:t>
      </w:r>
    </w:p>
    <w:p w14:paraId="2301D720" w14:textId="77777777" w:rsidR="00BE1539" w:rsidRDefault="007C0E3E">
      <w:pPr>
        <w:spacing w:after="180"/>
        <w:jc w:val="both"/>
      </w:pPr>
      <w:r>
        <w:t>Weighted analysis of the pooled dataset shows activity levels stable across the eight years, with the Active share ranging from 63.25% (2016–17) to 66.83% (2017–18) and a clear pandemic-era dip and recovery. A more subtle pattern also emerges: the Fairly Active band declined steadily across the whole period, from 13.17% in 2015–16 to 9.79% in 2022–23, consistent with a polarisation effect in which the middle of the distribution empties toward both the Active and Inactive extremes.</w:t>
      </w:r>
    </w:p>
    <w:p w14:paraId="18A6AA10" w14:textId="77777777" w:rsidR="00BE1539" w:rsidRDefault="007C0E3E">
      <w:pPr>
        <w:spacing w:after="240"/>
        <w:jc w:val="center"/>
      </w:pPr>
      <w:r>
        <w:rPr>
          <w:i/>
          <w:iCs/>
          <w:color w:val="808080"/>
          <w:sz w:val="20"/>
          <w:szCs w:val="20"/>
        </w:rPr>
        <w:t>Table 3.7. Weighted activity levels by survey year.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1600"/>
      </w:tblGrid>
      <w:tr w:rsidR="00BE1539" w14:paraId="1D884218"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4CD6ED92" w14:textId="77777777" w:rsidR="00BE1539" w:rsidRDefault="007C0E3E">
            <w:r>
              <w:rPr>
                <w:b/>
                <w:bCs/>
                <w:color w:val="FFFFFF"/>
                <w:sz w:val="20"/>
                <w:szCs w:val="20"/>
              </w:rPr>
              <w:t>Year</w:t>
            </w:r>
          </w:p>
        </w:tc>
        <w:tc>
          <w:tcPr>
            <w:tcW w:w="1600" w:type="dxa"/>
            <w:shd w:val="clear" w:color="auto" w:fill="1F3864"/>
            <w:tcMar>
              <w:top w:w="80" w:type="dxa"/>
              <w:left w:w="100" w:type="dxa"/>
              <w:bottom w:w="80" w:type="dxa"/>
              <w:right w:w="100" w:type="dxa"/>
            </w:tcMar>
          </w:tcPr>
          <w:p w14:paraId="6C64D7FF" w14:textId="77777777" w:rsidR="00BE1539" w:rsidRDefault="007C0E3E">
            <w:r>
              <w:rPr>
                <w:b/>
                <w:bCs/>
                <w:color w:val="FFFFFF"/>
                <w:sz w:val="20"/>
                <w:szCs w:val="20"/>
              </w:rPr>
              <w:t>Active %</w:t>
            </w:r>
          </w:p>
        </w:tc>
        <w:tc>
          <w:tcPr>
            <w:tcW w:w="2400" w:type="dxa"/>
            <w:shd w:val="clear" w:color="auto" w:fill="1F3864"/>
            <w:tcMar>
              <w:top w:w="80" w:type="dxa"/>
              <w:left w:w="100" w:type="dxa"/>
              <w:bottom w:w="80" w:type="dxa"/>
              <w:right w:w="100" w:type="dxa"/>
            </w:tcMar>
          </w:tcPr>
          <w:p w14:paraId="73BF494B" w14:textId="77777777" w:rsidR="00BE1539" w:rsidRDefault="007C0E3E">
            <w:r>
              <w:rPr>
                <w:b/>
                <w:bCs/>
                <w:color w:val="FFFFFF"/>
                <w:sz w:val="20"/>
                <w:szCs w:val="20"/>
              </w:rPr>
              <w:t>Fairly Active %</w:t>
            </w:r>
          </w:p>
        </w:tc>
        <w:tc>
          <w:tcPr>
            <w:tcW w:w="1600" w:type="dxa"/>
            <w:shd w:val="clear" w:color="auto" w:fill="1F3864"/>
            <w:tcMar>
              <w:top w:w="80" w:type="dxa"/>
              <w:left w:w="100" w:type="dxa"/>
              <w:bottom w:w="80" w:type="dxa"/>
              <w:right w:w="100" w:type="dxa"/>
            </w:tcMar>
          </w:tcPr>
          <w:p w14:paraId="0C6BC599" w14:textId="77777777" w:rsidR="00BE1539" w:rsidRDefault="007C0E3E">
            <w:r>
              <w:rPr>
                <w:b/>
                <w:bCs/>
                <w:color w:val="FFFFFF"/>
                <w:sz w:val="20"/>
                <w:szCs w:val="20"/>
              </w:rPr>
              <w:t>Inactive %</w:t>
            </w:r>
          </w:p>
        </w:tc>
      </w:tr>
      <w:tr w:rsidR="00BE1539" w14:paraId="13E33EDF" w14:textId="77777777">
        <w:tblPrEx>
          <w:tblCellMar>
            <w:top w:w="0" w:type="dxa"/>
            <w:bottom w:w="0" w:type="dxa"/>
          </w:tblCellMar>
        </w:tblPrEx>
        <w:tc>
          <w:tcPr>
            <w:tcW w:w="1600" w:type="dxa"/>
            <w:tcMar>
              <w:top w:w="80" w:type="dxa"/>
              <w:left w:w="100" w:type="dxa"/>
              <w:bottom w:w="80" w:type="dxa"/>
              <w:right w:w="100" w:type="dxa"/>
            </w:tcMar>
          </w:tcPr>
          <w:p w14:paraId="0F5C5F73" w14:textId="77777777" w:rsidR="00BE1539" w:rsidRDefault="007C0E3E">
            <w:r>
              <w:rPr>
                <w:color w:val="000000"/>
                <w:sz w:val="20"/>
                <w:szCs w:val="20"/>
              </w:rPr>
              <w:t>2015–16</w:t>
            </w:r>
          </w:p>
        </w:tc>
        <w:tc>
          <w:tcPr>
            <w:tcW w:w="1600" w:type="dxa"/>
            <w:tcMar>
              <w:top w:w="80" w:type="dxa"/>
              <w:left w:w="100" w:type="dxa"/>
              <w:bottom w:w="80" w:type="dxa"/>
              <w:right w:w="100" w:type="dxa"/>
            </w:tcMar>
          </w:tcPr>
          <w:p w14:paraId="65C67240" w14:textId="77777777" w:rsidR="00BE1539" w:rsidRDefault="007C0E3E">
            <w:r>
              <w:rPr>
                <w:color w:val="000000"/>
                <w:sz w:val="20"/>
                <w:szCs w:val="20"/>
              </w:rPr>
              <w:t>64.62%</w:t>
            </w:r>
          </w:p>
        </w:tc>
        <w:tc>
          <w:tcPr>
            <w:tcW w:w="2400" w:type="dxa"/>
            <w:tcMar>
              <w:top w:w="80" w:type="dxa"/>
              <w:left w:w="100" w:type="dxa"/>
              <w:bottom w:w="80" w:type="dxa"/>
              <w:right w:w="100" w:type="dxa"/>
            </w:tcMar>
          </w:tcPr>
          <w:p w14:paraId="0919F94A" w14:textId="77777777" w:rsidR="00BE1539" w:rsidRDefault="007C0E3E">
            <w:r>
              <w:rPr>
                <w:color w:val="000000"/>
                <w:sz w:val="20"/>
                <w:szCs w:val="20"/>
              </w:rPr>
              <w:t>13.17%</w:t>
            </w:r>
          </w:p>
        </w:tc>
        <w:tc>
          <w:tcPr>
            <w:tcW w:w="1600" w:type="dxa"/>
            <w:tcMar>
              <w:top w:w="80" w:type="dxa"/>
              <w:left w:w="100" w:type="dxa"/>
              <w:bottom w:w="80" w:type="dxa"/>
              <w:right w:w="100" w:type="dxa"/>
            </w:tcMar>
          </w:tcPr>
          <w:p w14:paraId="447D3EE9" w14:textId="77777777" w:rsidR="00BE1539" w:rsidRDefault="007C0E3E">
            <w:r>
              <w:rPr>
                <w:color w:val="000000"/>
                <w:sz w:val="20"/>
                <w:szCs w:val="20"/>
              </w:rPr>
              <w:t>22.21%</w:t>
            </w:r>
          </w:p>
        </w:tc>
      </w:tr>
      <w:tr w:rsidR="00BE1539" w14:paraId="77DB572C"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0FEFBCC4" w14:textId="77777777" w:rsidR="00BE1539" w:rsidRDefault="007C0E3E">
            <w:r>
              <w:rPr>
                <w:color w:val="000000"/>
                <w:sz w:val="20"/>
                <w:szCs w:val="20"/>
              </w:rPr>
              <w:t>2016–17</w:t>
            </w:r>
          </w:p>
        </w:tc>
        <w:tc>
          <w:tcPr>
            <w:tcW w:w="1600" w:type="dxa"/>
            <w:shd w:val="clear" w:color="auto" w:fill="F2F2F2"/>
            <w:tcMar>
              <w:top w:w="80" w:type="dxa"/>
              <w:left w:w="100" w:type="dxa"/>
              <w:bottom w:w="80" w:type="dxa"/>
              <w:right w:w="100" w:type="dxa"/>
            </w:tcMar>
          </w:tcPr>
          <w:p w14:paraId="7B29772D" w14:textId="77777777" w:rsidR="00BE1539" w:rsidRDefault="007C0E3E">
            <w:r>
              <w:rPr>
                <w:color w:val="000000"/>
                <w:sz w:val="20"/>
                <w:szCs w:val="20"/>
              </w:rPr>
              <w:t>63.25%</w:t>
            </w:r>
          </w:p>
        </w:tc>
        <w:tc>
          <w:tcPr>
            <w:tcW w:w="2400" w:type="dxa"/>
            <w:shd w:val="clear" w:color="auto" w:fill="F2F2F2"/>
            <w:tcMar>
              <w:top w:w="80" w:type="dxa"/>
              <w:left w:w="100" w:type="dxa"/>
              <w:bottom w:w="80" w:type="dxa"/>
              <w:right w:w="100" w:type="dxa"/>
            </w:tcMar>
          </w:tcPr>
          <w:p w14:paraId="00CE0099" w14:textId="77777777" w:rsidR="00BE1539" w:rsidRDefault="007C0E3E">
            <w:r>
              <w:rPr>
                <w:color w:val="000000"/>
                <w:sz w:val="20"/>
                <w:szCs w:val="20"/>
              </w:rPr>
              <w:t>13.83%</w:t>
            </w:r>
          </w:p>
        </w:tc>
        <w:tc>
          <w:tcPr>
            <w:tcW w:w="1600" w:type="dxa"/>
            <w:shd w:val="clear" w:color="auto" w:fill="F2F2F2"/>
            <w:tcMar>
              <w:top w:w="80" w:type="dxa"/>
              <w:left w:w="100" w:type="dxa"/>
              <w:bottom w:w="80" w:type="dxa"/>
              <w:right w:w="100" w:type="dxa"/>
            </w:tcMar>
          </w:tcPr>
          <w:p w14:paraId="79F99BCF" w14:textId="77777777" w:rsidR="00BE1539" w:rsidRDefault="007C0E3E">
            <w:r>
              <w:rPr>
                <w:color w:val="000000"/>
                <w:sz w:val="20"/>
                <w:szCs w:val="20"/>
              </w:rPr>
              <w:t>22.92%</w:t>
            </w:r>
          </w:p>
        </w:tc>
      </w:tr>
      <w:tr w:rsidR="00BE1539" w14:paraId="613C46ED" w14:textId="77777777">
        <w:tblPrEx>
          <w:tblCellMar>
            <w:top w:w="0" w:type="dxa"/>
            <w:bottom w:w="0" w:type="dxa"/>
          </w:tblCellMar>
        </w:tblPrEx>
        <w:tc>
          <w:tcPr>
            <w:tcW w:w="1600" w:type="dxa"/>
            <w:tcMar>
              <w:top w:w="80" w:type="dxa"/>
              <w:left w:w="100" w:type="dxa"/>
              <w:bottom w:w="80" w:type="dxa"/>
              <w:right w:w="100" w:type="dxa"/>
            </w:tcMar>
          </w:tcPr>
          <w:p w14:paraId="34AC2BD8" w14:textId="77777777" w:rsidR="00BE1539" w:rsidRDefault="007C0E3E">
            <w:r>
              <w:rPr>
                <w:color w:val="000000"/>
                <w:sz w:val="20"/>
                <w:szCs w:val="20"/>
              </w:rPr>
              <w:t>2017–18</w:t>
            </w:r>
          </w:p>
        </w:tc>
        <w:tc>
          <w:tcPr>
            <w:tcW w:w="1600" w:type="dxa"/>
            <w:tcMar>
              <w:top w:w="80" w:type="dxa"/>
              <w:left w:w="100" w:type="dxa"/>
              <w:bottom w:w="80" w:type="dxa"/>
              <w:right w:w="100" w:type="dxa"/>
            </w:tcMar>
          </w:tcPr>
          <w:p w14:paraId="4C1AD6DC" w14:textId="77777777" w:rsidR="00BE1539" w:rsidRDefault="007C0E3E">
            <w:r>
              <w:rPr>
                <w:color w:val="000000"/>
                <w:sz w:val="20"/>
                <w:szCs w:val="20"/>
              </w:rPr>
              <w:t>66.83%</w:t>
            </w:r>
          </w:p>
        </w:tc>
        <w:tc>
          <w:tcPr>
            <w:tcW w:w="2400" w:type="dxa"/>
            <w:tcMar>
              <w:top w:w="80" w:type="dxa"/>
              <w:left w:w="100" w:type="dxa"/>
              <w:bottom w:w="80" w:type="dxa"/>
              <w:right w:w="100" w:type="dxa"/>
            </w:tcMar>
          </w:tcPr>
          <w:p w14:paraId="3CB18426" w14:textId="77777777" w:rsidR="00BE1539" w:rsidRDefault="007C0E3E">
            <w:r>
              <w:rPr>
                <w:color w:val="000000"/>
                <w:sz w:val="20"/>
                <w:szCs w:val="20"/>
              </w:rPr>
              <w:t>11.30%</w:t>
            </w:r>
          </w:p>
        </w:tc>
        <w:tc>
          <w:tcPr>
            <w:tcW w:w="1600" w:type="dxa"/>
            <w:tcMar>
              <w:top w:w="80" w:type="dxa"/>
              <w:left w:w="100" w:type="dxa"/>
              <w:bottom w:w="80" w:type="dxa"/>
              <w:right w:w="100" w:type="dxa"/>
            </w:tcMar>
          </w:tcPr>
          <w:p w14:paraId="01277190" w14:textId="77777777" w:rsidR="00BE1539" w:rsidRDefault="007C0E3E">
            <w:r>
              <w:rPr>
                <w:color w:val="000000"/>
                <w:sz w:val="20"/>
                <w:szCs w:val="20"/>
              </w:rPr>
              <w:t>21.86%</w:t>
            </w:r>
          </w:p>
        </w:tc>
      </w:tr>
      <w:tr w:rsidR="00BE1539" w14:paraId="427C6158"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6079D2FB" w14:textId="77777777" w:rsidR="00BE1539" w:rsidRDefault="007C0E3E">
            <w:r>
              <w:rPr>
                <w:color w:val="000000"/>
                <w:sz w:val="20"/>
                <w:szCs w:val="20"/>
              </w:rPr>
              <w:t>2018–19</w:t>
            </w:r>
          </w:p>
        </w:tc>
        <w:tc>
          <w:tcPr>
            <w:tcW w:w="1600" w:type="dxa"/>
            <w:shd w:val="clear" w:color="auto" w:fill="F2F2F2"/>
            <w:tcMar>
              <w:top w:w="80" w:type="dxa"/>
              <w:left w:w="100" w:type="dxa"/>
              <w:bottom w:w="80" w:type="dxa"/>
              <w:right w:w="100" w:type="dxa"/>
            </w:tcMar>
          </w:tcPr>
          <w:p w14:paraId="3C9FC72B" w14:textId="77777777" w:rsidR="00BE1539" w:rsidRDefault="007C0E3E">
            <w:r>
              <w:rPr>
                <w:color w:val="000000"/>
                <w:sz w:val="20"/>
                <w:szCs w:val="20"/>
              </w:rPr>
              <w:t>66.74%</w:t>
            </w:r>
          </w:p>
        </w:tc>
        <w:tc>
          <w:tcPr>
            <w:tcW w:w="2400" w:type="dxa"/>
            <w:shd w:val="clear" w:color="auto" w:fill="F2F2F2"/>
            <w:tcMar>
              <w:top w:w="80" w:type="dxa"/>
              <w:left w:w="100" w:type="dxa"/>
              <w:bottom w:w="80" w:type="dxa"/>
              <w:right w:w="100" w:type="dxa"/>
            </w:tcMar>
          </w:tcPr>
          <w:p w14:paraId="58A88A3F" w14:textId="77777777" w:rsidR="00BE1539" w:rsidRDefault="007C0E3E">
            <w:r>
              <w:rPr>
                <w:color w:val="000000"/>
                <w:sz w:val="20"/>
                <w:szCs w:val="20"/>
              </w:rPr>
              <w:t>11.39%</w:t>
            </w:r>
          </w:p>
        </w:tc>
        <w:tc>
          <w:tcPr>
            <w:tcW w:w="1600" w:type="dxa"/>
            <w:shd w:val="clear" w:color="auto" w:fill="F2F2F2"/>
            <w:tcMar>
              <w:top w:w="80" w:type="dxa"/>
              <w:left w:w="100" w:type="dxa"/>
              <w:bottom w:w="80" w:type="dxa"/>
              <w:right w:w="100" w:type="dxa"/>
            </w:tcMar>
          </w:tcPr>
          <w:p w14:paraId="54CC739E" w14:textId="77777777" w:rsidR="00BE1539" w:rsidRDefault="007C0E3E">
            <w:r>
              <w:rPr>
                <w:color w:val="000000"/>
                <w:sz w:val="20"/>
                <w:szCs w:val="20"/>
              </w:rPr>
              <w:t>21.87%</w:t>
            </w:r>
          </w:p>
        </w:tc>
      </w:tr>
      <w:tr w:rsidR="00BE1539" w14:paraId="7C37D49E" w14:textId="77777777">
        <w:tblPrEx>
          <w:tblCellMar>
            <w:top w:w="0" w:type="dxa"/>
            <w:bottom w:w="0" w:type="dxa"/>
          </w:tblCellMar>
        </w:tblPrEx>
        <w:tc>
          <w:tcPr>
            <w:tcW w:w="1600" w:type="dxa"/>
            <w:tcMar>
              <w:top w:w="80" w:type="dxa"/>
              <w:left w:w="100" w:type="dxa"/>
              <w:bottom w:w="80" w:type="dxa"/>
              <w:right w:w="100" w:type="dxa"/>
            </w:tcMar>
          </w:tcPr>
          <w:p w14:paraId="38AF4ADB" w14:textId="77777777" w:rsidR="00BE1539" w:rsidRDefault="007C0E3E">
            <w:r>
              <w:rPr>
                <w:color w:val="000000"/>
                <w:sz w:val="20"/>
                <w:szCs w:val="20"/>
              </w:rPr>
              <w:t>2019–20</w:t>
            </w:r>
          </w:p>
        </w:tc>
        <w:tc>
          <w:tcPr>
            <w:tcW w:w="1600" w:type="dxa"/>
            <w:tcMar>
              <w:top w:w="80" w:type="dxa"/>
              <w:left w:w="100" w:type="dxa"/>
              <w:bottom w:w="80" w:type="dxa"/>
              <w:right w:w="100" w:type="dxa"/>
            </w:tcMar>
          </w:tcPr>
          <w:p w14:paraId="37D77DE3" w14:textId="77777777" w:rsidR="00BE1539" w:rsidRDefault="007C0E3E">
            <w:r>
              <w:rPr>
                <w:color w:val="000000"/>
                <w:sz w:val="20"/>
                <w:szCs w:val="20"/>
              </w:rPr>
              <w:t>65.12%</w:t>
            </w:r>
          </w:p>
        </w:tc>
        <w:tc>
          <w:tcPr>
            <w:tcW w:w="2400" w:type="dxa"/>
            <w:tcMar>
              <w:top w:w="80" w:type="dxa"/>
              <w:left w:w="100" w:type="dxa"/>
              <w:bottom w:w="80" w:type="dxa"/>
              <w:right w:w="100" w:type="dxa"/>
            </w:tcMar>
          </w:tcPr>
          <w:p w14:paraId="61054E7F" w14:textId="77777777" w:rsidR="00BE1539" w:rsidRDefault="007C0E3E">
            <w:r>
              <w:rPr>
                <w:color w:val="000000"/>
                <w:sz w:val="20"/>
                <w:szCs w:val="20"/>
              </w:rPr>
              <w:t>10.77%</w:t>
            </w:r>
          </w:p>
        </w:tc>
        <w:tc>
          <w:tcPr>
            <w:tcW w:w="1600" w:type="dxa"/>
            <w:tcMar>
              <w:top w:w="80" w:type="dxa"/>
              <w:left w:w="100" w:type="dxa"/>
              <w:bottom w:w="80" w:type="dxa"/>
              <w:right w:w="100" w:type="dxa"/>
            </w:tcMar>
          </w:tcPr>
          <w:p w14:paraId="23A14098" w14:textId="77777777" w:rsidR="00BE1539" w:rsidRDefault="007C0E3E">
            <w:r>
              <w:rPr>
                <w:color w:val="000000"/>
                <w:sz w:val="20"/>
                <w:szCs w:val="20"/>
              </w:rPr>
              <w:t>24.11%</w:t>
            </w:r>
          </w:p>
        </w:tc>
      </w:tr>
      <w:tr w:rsidR="00BE1539" w14:paraId="3B40F17F"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04E4A398" w14:textId="77777777" w:rsidR="00BE1539" w:rsidRDefault="007C0E3E">
            <w:r>
              <w:rPr>
                <w:color w:val="000000"/>
                <w:sz w:val="20"/>
                <w:szCs w:val="20"/>
              </w:rPr>
              <w:t>2020–21</w:t>
            </w:r>
          </w:p>
        </w:tc>
        <w:tc>
          <w:tcPr>
            <w:tcW w:w="1600" w:type="dxa"/>
            <w:shd w:val="clear" w:color="auto" w:fill="F2F2F2"/>
            <w:tcMar>
              <w:top w:w="80" w:type="dxa"/>
              <w:left w:w="100" w:type="dxa"/>
              <w:bottom w:w="80" w:type="dxa"/>
              <w:right w:w="100" w:type="dxa"/>
            </w:tcMar>
          </w:tcPr>
          <w:p w14:paraId="5264AACD" w14:textId="77777777" w:rsidR="00BE1539" w:rsidRDefault="007C0E3E">
            <w:r>
              <w:rPr>
                <w:color w:val="000000"/>
                <w:sz w:val="20"/>
                <w:szCs w:val="20"/>
              </w:rPr>
              <w:t>64.94%</w:t>
            </w:r>
          </w:p>
        </w:tc>
        <w:tc>
          <w:tcPr>
            <w:tcW w:w="2400" w:type="dxa"/>
            <w:shd w:val="clear" w:color="auto" w:fill="F2F2F2"/>
            <w:tcMar>
              <w:top w:w="80" w:type="dxa"/>
              <w:left w:w="100" w:type="dxa"/>
              <w:bottom w:w="80" w:type="dxa"/>
              <w:right w:w="100" w:type="dxa"/>
            </w:tcMar>
          </w:tcPr>
          <w:p w14:paraId="7AF9573B" w14:textId="77777777" w:rsidR="00BE1539" w:rsidRDefault="007C0E3E">
            <w:r>
              <w:rPr>
                <w:color w:val="000000"/>
                <w:sz w:val="20"/>
                <w:szCs w:val="20"/>
              </w:rPr>
              <w:t>10.67%</w:t>
            </w:r>
          </w:p>
        </w:tc>
        <w:tc>
          <w:tcPr>
            <w:tcW w:w="1600" w:type="dxa"/>
            <w:shd w:val="clear" w:color="auto" w:fill="F2F2F2"/>
            <w:tcMar>
              <w:top w:w="80" w:type="dxa"/>
              <w:left w:w="100" w:type="dxa"/>
              <w:bottom w:w="80" w:type="dxa"/>
              <w:right w:w="100" w:type="dxa"/>
            </w:tcMar>
          </w:tcPr>
          <w:p w14:paraId="4A946DB1" w14:textId="77777777" w:rsidR="00BE1539" w:rsidRDefault="007C0E3E">
            <w:r>
              <w:rPr>
                <w:color w:val="000000"/>
                <w:sz w:val="20"/>
                <w:szCs w:val="20"/>
              </w:rPr>
              <w:t>24.39%</w:t>
            </w:r>
          </w:p>
        </w:tc>
      </w:tr>
      <w:tr w:rsidR="00BE1539" w14:paraId="113822B2" w14:textId="77777777">
        <w:tblPrEx>
          <w:tblCellMar>
            <w:top w:w="0" w:type="dxa"/>
            <w:bottom w:w="0" w:type="dxa"/>
          </w:tblCellMar>
        </w:tblPrEx>
        <w:tc>
          <w:tcPr>
            <w:tcW w:w="1600" w:type="dxa"/>
            <w:tcMar>
              <w:top w:w="80" w:type="dxa"/>
              <w:left w:w="100" w:type="dxa"/>
              <w:bottom w:w="80" w:type="dxa"/>
              <w:right w:w="100" w:type="dxa"/>
            </w:tcMar>
          </w:tcPr>
          <w:p w14:paraId="457D78F1" w14:textId="77777777" w:rsidR="00BE1539" w:rsidRDefault="007C0E3E">
            <w:r>
              <w:rPr>
                <w:color w:val="000000"/>
                <w:sz w:val="20"/>
                <w:szCs w:val="20"/>
              </w:rPr>
              <w:t>2021–22</w:t>
            </w:r>
          </w:p>
        </w:tc>
        <w:tc>
          <w:tcPr>
            <w:tcW w:w="1600" w:type="dxa"/>
            <w:tcMar>
              <w:top w:w="80" w:type="dxa"/>
              <w:left w:w="100" w:type="dxa"/>
              <w:bottom w:w="80" w:type="dxa"/>
              <w:right w:w="100" w:type="dxa"/>
            </w:tcMar>
          </w:tcPr>
          <w:p w14:paraId="79958D4A" w14:textId="77777777" w:rsidR="00BE1539" w:rsidRDefault="007C0E3E">
            <w:r>
              <w:rPr>
                <w:color w:val="000000"/>
                <w:sz w:val="20"/>
                <w:szCs w:val="20"/>
              </w:rPr>
              <w:t>66.57%</w:t>
            </w:r>
          </w:p>
        </w:tc>
        <w:tc>
          <w:tcPr>
            <w:tcW w:w="2400" w:type="dxa"/>
            <w:tcMar>
              <w:top w:w="80" w:type="dxa"/>
              <w:left w:w="100" w:type="dxa"/>
              <w:bottom w:w="80" w:type="dxa"/>
              <w:right w:w="100" w:type="dxa"/>
            </w:tcMar>
          </w:tcPr>
          <w:p w14:paraId="795A449E" w14:textId="77777777" w:rsidR="00BE1539" w:rsidRDefault="007C0E3E">
            <w:r>
              <w:rPr>
                <w:color w:val="000000"/>
                <w:sz w:val="20"/>
                <w:szCs w:val="20"/>
              </w:rPr>
              <w:t>10.31%</w:t>
            </w:r>
          </w:p>
        </w:tc>
        <w:tc>
          <w:tcPr>
            <w:tcW w:w="1600" w:type="dxa"/>
            <w:tcMar>
              <w:top w:w="80" w:type="dxa"/>
              <w:left w:w="100" w:type="dxa"/>
              <w:bottom w:w="80" w:type="dxa"/>
              <w:right w:w="100" w:type="dxa"/>
            </w:tcMar>
          </w:tcPr>
          <w:p w14:paraId="1707619B" w14:textId="77777777" w:rsidR="00BE1539" w:rsidRDefault="007C0E3E">
            <w:r>
              <w:rPr>
                <w:color w:val="000000"/>
                <w:sz w:val="20"/>
                <w:szCs w:val="20"/>
              </w:rPr>
              <w:t>23.12%</w:t>
            </w:r>
          </w:p>
        </w:tc>
      </w:tr>
      <w:tr w:rsidR="00BE1539" w14:paraId="2040F331"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3197C0A9" w14:textId="77777777" w:rsidR="00BE1539" w:rsidRDefault="007C0E3E">
            <w:r>
              <w:rPr>
                <w:color w:val="000000"/>
                <w:sz w:val="20"/>
                <w:szCs w:val="20"/>
              </w:rPr>
              <w:t>2022–23</w:t>
            </w:r>
          </w:p>
        </w:tc>
        <w:tc>
          <w:tcPr>
            <w:tcW w:w="1600" w:type="dxa"/>
            <w:shd w:val="clear" w:color="auto" w:fill="F2F2F2"/>
            <w:tcMar>
              <w:top w:w="80" w:type="dxa"/>
              <w:left w:w="100" w:type="dxa"/>
              <w:bottom w:w="80" w:type="dxa"/>
              <w:right w:w="100" w:type="dxa"/>
            </w:tcMar>
          </w:tcPr>
          <w:p w14:paraId="25C6DD80" w14:textId="77777777" w:rsidR="00BE1539" w:rsidRDefault="007C0E3E">
            <w:r>
              <w:rPr>
                <w:color w:val="000000"/>
                <w:sz w:val="20"/>
                <w:szCs w:val="20"/>
              </w:rPr>
              <w:t>66.43%</w:t>
            </w:r>
          </w:p>
        </w:tc>
        <w:tc>
          <w:tcPr>
            <w:tcW w:w="2400" w:type="dxa"/>
            <w:shd w:val="clear" w:color="auto" w:fill="F2F2F2"/>
            <w:tcMar>
              <w:top w:w="80" w:type="dxa"/>
              <w:left w:w="100" w:type="dxa"/>
              <w:bottom w:w="80" w:type="dxa"/>
              <w:right w:w="100" w:type="dxa"/>
            </w:tcMar>
          </w:tcPr>
          <w:p w14:paraId="592C43A0" w14:textId="77777777" w:rsidR="00BE1539" w:rsidRDefault="007C0E3E">
            <w:r>
              <w:rPr>
                <w:color w:val="000000"/>
                <w:sz w:val="20"/>
                <w:szCs w:val="20"/>
              </w:rPr>
              <w:t>9.79%</w:t>
            </w:r>
          </w:p>
        </w:tc>
        <w:tc>
          <w:tcPr>
            <w:tcW w:w="1600" w:type="dxa"/>
            <w:shd w:val="clear" w:color="auto" w:fill="F2F2F2"/>
            <w:tcMar>
              <w:top w:w="80" w:type="dxa"/>
              <w:left w:w="100" w:type="dxa"/>
              <w:bottom w:w="80" w:type="dxa"/>
              <w:right w:w="100" w:type="dxa"/>
            </w:tcMar>
          </w:tcPr>
          <w:p w14:paraId="122B3FF2" w14:textId="77777777" w:rsidR="00BE1539" w:rsidRDefault="007C0E3E">
            <w:r>
              <w:rPr>
                <w:color w:val="000000"/>
                <w:sz w:val="20"/>
                <w:szCs w:val="20"/>
              </w:rPr>
              <w:t>23.78%</w:t>
            </w:r>
          </w:p>
        </w:tc>
      </w:tr>
    </w:tbl>
    <w:p w14:paraId="76BE7531" w14:textId="77777777" w:rsidR="00BE1539" w:rsidRDefault="00BE1539">
      <w:pPr>
        <w:spacing w:after="240"/>
      </w:pPr>
    </w:p>
    <w:p w14:paraId="03A2C334" w14:textId="77777777" w:rsidR="00BE1539" w:rsidRDefault="007C0E3E">
      <w:pPr>
        <w:spacing w:before="120" w:after="240"/>
        <w:jc w:val="center"/>
      </w:pPr>
      <w:r>
        <w:rPr>
          <w:b/>
          <w:bCs/>
          <w:i/>
          <w:iCs/>
          <w:color w:val="990000"/>
          <w:shd w:val="clear" w:color="auto" w:fill="FFFF00"/>
        </w:rPr>
        <w:t>[Figure 3.2: line chart of activity band proportions by survey year, showing the Fairly Active decline and pandemic dip — insert from notebook]</w:t>
      </w:r>
    </w:p>
    <w:p w14:paraId="162752AC" w14:textId="77777777" w:rsidR="00BE1539" w:rsidRDefault="007C0E3E">
      <w:pPr>
        <w:spacing w:after="180"/>
        <w:jc w:val="both"/>
      </w:pPr>
      <w:r>
        <w:t>Substantial variation exists across boroughs. The most active boroughs are concentrated in inner south-west and central London; the least active are predominantly in outer east London. Barking and Dagenham (34.53% inactive) shows an inactivity rate almost double that of Bromley (18.65%), a gap that motivates the borough-level forecasting work in Chapter 4.</w:t>
      </w:r>
    </w:p>
    <w:p w14:paraId="7D9B4D79" w14:textId="77777777" w:rsidR="00BE1539" w:rsidRDefault="007C0E3E">
      <w:pPr>
        <w:spacing w:after="240"/>
        <w:jc w:val="center"/>
      </w:pPr>
      <w:r>
        <w:rPr>
          <w:i/>
          <w:iCs/>
          <w:color w:val="808080"/>
          <w:sz w:val="20"/>
          <w:szCs w:val="20"/>
        </w:rPr>
        <w:t>Table 3.8. Most and least active boroughs (weighted, all waves pooled).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3000"/>
        <w:gridCol w:w="1000"/>
      </w:tblGrid>
      <w:tr w:rsidR="00BE1539" w14:paraId="413E0911" w14:textId="77777777">
        <w:tblPrEx>
          <w:tblCellMar>
            <w:top w:w="0" w:type="dxa"/>
            <w:bottom w:w="0" w:type="dxa"/>
          </w:tblCellMar>
        </w:tblPrEx>
        <w:tc>
          <w:tcPr>
            <w:tcW w:w="3000" w:type="dxa"/>
            <w:shd w:val="clear" w:color="auto" w:fill="1F3864"/>
            <w:tcMar>
              <w:top w:w="80" w:type="dxa"/>
              <w:left w:w="100" w:type="dxa"/>
              <w:bottom w:w="80" w:type="dxa"/>
              <w:right w:w="100" w:type="dxa"/>
            </w:tcMar>
          </w:tcPr>
          <w:p w14:paraId="49F8159D" w14:textId="77777777" w:rsidR="00BE1539" w:rsidRDefault="007C0E3E">
            <w:r>
              <w:rPr>
                <w:b/>
                <w:bCs/>
                <w:color w:val="FFFFFF"/>
                <w:sz w:val="20"/>
                <w:szCs w:val="20"/>
              </w:rPr>
              <w:t>Most Active (Active %)</w:t>
            </w:r>
          </w:p>
        </w:tc>
        <w:tc>
          <w:tcPr>
            <w:tcW w:w="1400" w:type="dxa"/>
            <w:shd w:val="clear" w:color="auto" w:fill="1F3864"/>
            <w:tcMar>
              <w:top w:w="80" w:type="dxa"/>
              <w:left w:w="100" w:type="dxa"/>
              <w:bottom w:w="80" w:type="dxa"/>
              <w:right w:w="100" w:type="dxa"/>
            </w:tcMar>
          </w:tcPr>
          <w:p w14:paraId="4D620F36" w14:textId="77777777" w:rsidR="00BE1539" w:rsidRDefault="00BE1539"/>
        </w:tc>
        <w:tc>
          <w:tcPr>
            <w:tcW w:w="3000" w:type="dxa"/>
            <w:shd w:val="clear" w:color="auto" w:fill="1F3864"/>
            <w:tcMar>
              <w:top w:w="80" w:type="dxa"/>
              <w:left w:w="100" w:type="dxa"/>
              <w:bottom w:w="80" w:type="dxa"/>
              <w:right w:w="100" w:type="dxa"/>
            </w:tcMar>
          </w:tcPr>
          <w:p w14:paraId="45EE6907" w14:textId="77777777" w:rsidR="00BE1539" w:rsidRDefault="007C0E3E">
            <w:r>
              <w:rPr>
                <w:b/>
                <w:bCs/>
                <w:color w:val="FFFFFF"/>
                <w:sz w:val="20"/>
                <w:szCs w:val="20"/>
              </w:rPr>
              <w:t>Least Active (Inactive %)</w:t>
            </w:r>
          </w:p>
        </w:tc>
        <w:tc>
          <w:tcPr>
            <w:tcW w:w="1000" w:type="dxa"/>
            <w:shd w:val="clear" w:color="auto" w:fill="1F3864"/>
            <w:tcMar>
              <w:top w:w="80" w:type="dxa"/>
              <w:left w:w="100" w:type="dxa"/>
              <w:bottom w:w="80" w:type="dxa"/>
              <w:right w:w="100" w:type="dxa"/>
            </w:tcMar>
          </w:tcPr>
          <w:p w14:paraId="66400649" w14:textId="77777777" w:rsidR="00BE1539" w:rsidRDefault="00BE1539"/>
        </w:tc>
      </w:tr>
      <w:tr w:rsidR="00BE1539" w14:paraId="01BD9A30" w14:textId="77777777">
        <w:tblPrEx>
          <w:tblCellMar>
            <w:top w:w="0" w:type="dxa"/>
            <w:bottom w:w="0" w:type="dxa"/>
          </w:tblCellMar>
        </w:tblPrEx>
        <w:tc>
          <w:tcPr>
            <w:tcW w:w="3000" w:type="dxa"/>
            <w:tcMar>
              <w:top w:w="80" w:type="dxa"/>
              <w:left w:w="100" w:type="dxa"/>
              <w:bottom w:w="80" w:type="dxa"/>
              <w:right w:w="100" w:type="dxa"/>
            </w:tcMar>
          </w:tcPr>
          <w:p w14:paraId="03EEB642" w14:textId="77777777" w:rsidR="00BE1539" w:rsidRDefault="007C0E3E">
            <w:r>
              <w:rPr>
                <w:color w:val="000000"/>
                <w:sz w:val="20"/>
                <w:szCs w:val="20"/>
              </w:rPr>
              <w:t>Wandsworth</w:t>
            </w:r>
          </w:p>
        </w:tc>
        <w:tc>
          <w:tcPr>
            <w:tcW w:w="1400" w:type="dxa"/>
            <w:tcMar>
              <w:top w:w="80" w:type="dxa"/>
              <w:left w:w="100" w:type="dxa"/>
              <w:bottom w:w="80" w:type="dxa"/>
              <w:right w:w="100" w:type="dxa"/>
            </w:tcMar>
          </w:tcPr>
          <w:p w14:paraId="77D2B6B9" w14:textId="77777777" w:rsidR="00BE1539" w:rsidRDefault="007C0E3E">
            <w:r>
              <w:rPr>
                <w:color w:val="000000"/>
                <w:sz w:val="20"/>
                <w:szCs w:val="20"/>
              </w:rPr>
              <w:t>74.41%</w:t>
            </w:r>
          </w:p>
        </w:tc>
        <w:tc>
          <w:tcPr>
            <w:tcW w:w="3000" w:type="dxa"/>
            <w:tcMar>
              <w:top w:w="80" w:type="dxa"/>
              <w:left w:w="100" w:type="dxa"/>
              <w:bottom w:w="80" w:type="dxa"/>
              <w:right w:w="100" w:type="dxa"/>
            </w:tcMar>
          </w:tcPr>
          <w:p w14:paraId="69B8D29D" w14:textId="77777777" w:rsidR="00BE1539" w:rsidRDefault="007C0E3E">
            <w:r>
              <w:rPr>
                <w:color w:val="000000"/>
                <w:sz w:val="20"/>
                <w:szCs w:val="20"/>
              </w:rPr>
              <w:t>Barking and Dagenham</w:t>
            </w:r>
          </w:p>
        </w:tc>
        <w:tc>
          <w:tcPr>
            <w:tcW w:w="1000" w:type="dxa"/>
            <w:tcMar>
              <w:top w:w="80" w:type="dxa"/>
              <w:left w:w="100" w:type="dxa"/>
              <w:bottom w:w="80" w:type="dxa"/>
              <w:right w:w="100" w:type="dxa"/>
            </w:tcMar>
          </w:tcPr>
          <w:p w14:paraId="7274B12A" w14:textId="77777777" w:rsidR="00BE1539" w:rsidRDefault="007C0E3E">
            <w:r>
              <w:rPr>
                <w:color w:val="000000"/>
                <w:sz w:val="20"/>
                <w:szCs w:val="20"/>
              </w:rPr>
              <w:t>34.53%</w:t>
            </w:r>
          </w:p>
        </w:tc>
      </w:tr>
      <w:tr w:rsidR="00BE1539" w14:paraId="18EF7045"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61D0D5B6" w14:textId="77777777" w:rsidR="00BE1539" w:rsidRDefault="007C0E3E">
            <w:r>
              <w:rPr>
                <w:color w:val="000000"/>
                <w:sz w:val="20"/>
                <w:szCs w:val="20"/>
              </w:rPr>
              <w:t>Richmond upon Thames</w:t>
            </w:r>
          </w:p>
        </w:tc>
        <w:tc>
          <w:tcPr>
            <w:tcW w:w="1400" w:type="dxa"/>
            <w:shd w:val="clear" w:color="auto" w:fill="F2F2F2"/>
            <w:tcMar>
              <w:top w:w="80" w:type="dxa"/>
              <w:left w:w="100" w:type="dxa"/>
              <w:bottom w:w="80" w:type="dxa"/>
              <w:right w:w="100" w:type="dxa"/>
            </w:tcMar>
          </w:tcPr>
          <w:p w14:paraId="23A3A2C1" w14:textId="77777777" w:rsidR="00BE1539" w:rsidRDefault="007C0E3E">
            <w:r>
              <w:rPr>
                <w:color w:val="000000"/>
                <w:sz w:val="20"/>
                <w:szCs w:val="20"/>
              </w:rPr>
              <w:t>74.31%</w:t>
            </w:r>
          </w:p>
        </w:tc>
        <w:tc>
          <w:tcPr>
            <w:tcW w:w="3000" w:type="dxa"/>
            <w:shd w:val="clear" w:color="auto" w:fill="F2F2F2"/>
            <w:tcMar>
              <w:top w:w="80" w:type="dxa"/>
              <w:left w:w="100" w:type="dxa"/>
              <w:bottom w:w="80" w:type="dxa"/>
              <w:right w:w="100" w:type="dxa"/>
            </w:tcMar>
          </w:tcPr>
          <w:p w14:paraId="57A7855A" w14:textId="77777777" w:rsidR="00BE1539" w:rsidRDefault="007C0E3E">
            <w:r>
              <w:rPr>
                <w:color w:val="000000"/>
                <w:sz w:val="20"/>
                <w:szCs w:val="20"/>
              </w:rPr>
              <w:t>Brent</w:t>
            </w:r>
          </w:p>
        </w:tc>
        <w:tc>
          <w:tcPr>
            <w:tcW w:w="1000" w:type="dxa"/>
            <w:shd w:val="clear" w:color="auto" w:fill="F2F2F2"/>
            <w:tcMar>
              <w:top w:w="80" w:type="dxa"/>
              <w:left w:w="100" w:type="dxa"/>
              <w:bottom w:w="80" w:type="dxa"/>
              <w:right w:w="100" w:type="dxa"/>
            </w:tcMar>
          </w:tcPr>
          <w:p w14:paraId="50B3B339" w14:textId="77777777" w:rsidR="00BE1539" w:rsidRDefault="007C0E3E">
            <w:r>
              <w:rPr>
                <w:color w:val="000000"/>
                <w:sz w:val="20"/>
                <w:szCs w:val="20"/>
              </w:rPr>
              <w:t>28.92%</w:t>
            </w:r>
          </w:p>
        </w:tc>
      </w:tr>
      <w:tr w:rsidR="00BE1539" w14:paraId="3C4FCCB8" w14:textId="77777777">
        <w:tblPrEx>
          <w:tblCellMar>
            <w:top w:w="0" w:type="dxa"/>
            <w:bottom w:w="0" w:type="dxa"/>
          </w:tblCellMar>
        </w:tblPrEx>
        <w:tc>
          <w:tcPr>
            <w:tcW w:w="3000" w:type="dxa"/>
            <w:tcMar>
              <w:top w:w="80" w:type="dxa"/>
              <w:left w:w="100" w:type="dxa"/>
              <w:bottom w:w="80" w:type="dxa"/>
              <w:right w:w="100" w:type="dxa"/>
            </w:tcMar>
          </w:tcPr>
          <w:p w14:paraId="34B2C362" w14:textId="77777777" w:rsidR="00BE1539" w:rsidRDefault="007C0E3E">
            <w:r>
              <w:rPr>
                <w:color w:val="000000"/>
                <w:sz w:val="20"/>
                <w:szCs w:val="20"/>
              </w:rPr>
              <w:t>Islington</w:t>
            </w:r>
          </w:p>
        </w:tc>
        <w:tc>
          <w:tcPr>
            <w:tcW w:w="1400" w:type="dxa"/>
            <w:tcMar>
              <w:top w:w="80" w:type="dxa"/>
              <w:left w:w="100" w:type="dxa"/>
              <w:bottom w:w="80" w:type="dxa"/>
              <w:right w:w="100" w:type="dxa"/>
            </w:tcMar>
          </w:tcPr>
          <w:p w14:paraId="48FE68E8" w14:textId="77777777" w:rsidR="00BE1539" w:rsidRDefault="007C0E3E">
            <w:r>
              <w:rPr>
                <w:color w:val="000000"/>
                <w:sz w:val="20"/>
                <w:szCs w:val="20"/>
              </w:rPr>
              <w:t>73.23%</w:t>
            </w:r>
          </w:p>
        </w:tc>
        <w:tc>
          <w:tcPr>
            <w:tcW w:w="3000" w:type="dxa"/>
            <w:tcMar>
              <w:top w:w="80" w:type="dxa"/>
              <w:left w:w="100" w:type="dxa"/>
              <w:bottom w:w="80" w:type="dxa"/>
              <w:right w:w="100" w:type="dxa"/>
            </w:tcMar>
          </w:tcPr>
          <w:p w14:paraId="630B721B" w14:textId="77777777" w:rsidR="00BE1539" w:rsidRDefault="007C0E3E">
            <w:r>
              <w:rPr>
                <w:color w:val="000000"/>
                <w:sz w:val="20"/>
                <w:szCs w:val="20"/>
              </w:rPr>
              <w:t>Newham</w:t>
            </w:r>
          </w:p>
        </w:tc>
        <w:tc>
          <w:tcPr>
            <w:tcW w:w="1000" w:type="dxa"/>
            <w:tcMar>
              <w:top w:w="80" w:type="dxa"/>
              <w:left w:w="100" w:type="dxa"/>
              <w:bottom w:w="80" w:type="dxa"/>
              <w:right w:w="100" w:type="dxa"/>
            </w:tcMar>
          </w:tcPr>
          <w:p w14:paraId="4925703E" w14:textId="77777777" w:rsidR="00BE1539" w:rsidRDefault="007C0E3E">
            <w:r>
              <w:rPr>
                <w:color w:val="000000"/>
                <w:sz w:val="20"/>
                <w:szCs w:val="20"/>
              </w:rPr>
              <w:t>~28%</w:t>
            </w:r>
          </w:p>
        </w:tc>
      </w:tr>
      <w:tr w:rsidR="00BE1539" w14:paraId="6EB4F276"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5C6D92A6" w14:textId="77777777" w:rsidR="00BE1539" w:rsidRDefault="007C0E3E">
            <w:r>
              <w:rPr>
                <w:color w:val="000000"/>
                <w:sz w:val="20"/>
                <w:szCs w:val="20"/>
              </w:rPr>
              <w:t>Hammersmith and Fulham</w:t>
            </w:r>
          </w:p>
        </w:tc>
        <w:tc>
          <w:tcPr>
            <w:tcW w:w="1400" w:type="dxa"/>
            <w:shd w:val="clear" w:color="auto" w:fill="F2F2F2"/>
            <w:tcMar>
              <w:top w:w="80" w:type="dxa"/>
              <w:left w:w="100" w:type="dxa"/>
              <w:bottom w:w="80" w:type="dxa"/>
              <w:right w:w="100" w:type="dxa"/>
            </w:tcMar>
          </w:tcPr>
          <w:p w14:paraId="729FC20B" w14:textId="77777777" w:rsidR="00BE1539" w:rsidRDefault="007C0E3E">
            <w:r>
              <w:rPr>
                <w:color w:val="000000"/>
                <w:sz w:val="20"/>
                <w:szCs w:val="20"/>
              </w:rPr>
              <w:t>72.55%</w:t>
            </w:r>
          </w:p>
        </w:tc>
        <w:tc>
          <w:tcPr>
            <w:tcW w:w="3000" w:type="dxa"/>
            <w:shd w:val="clear" w:color="auto" w:fill="F2F2F2"/>
            <w:tcMar>
              <w:top w:w="80" w:type="dxa"/>
              <w:left w:w="100" w:type="dxa"/>
              <w:bottom w:w="80" w:type="dxa"/>
              <w:right w:w="100" w:type="dxa"/>
            </w:tcMar>
          </w:tcPr>
          <w:p w14:paraId="75E414BB" w14:textId="77777777" w:rsidR="00BE1539" w:rsidRDefault="007C0E3E">
            <w:r>
              <w:rPr>
                <w:color w:val="000000"/>
                <w:sz w:val="20"/>
                <w:szCs w:val="20"/>
              </w:rPr>
              <w:t>Havering</w:t>
            </w:r>
          </w:p>
        </w:tc>
        <w:tc>
          <w:tcPr>
            <w:tcW w:w="1000" w:type="dxa"/>
            <w:shd w:val="clear" w:color="auto" w:fill="F2F2F2"/>
            <w:tcMar>
              <w:top w:w="80" w:type="dxa"/>
              <w:left w:w="100" w:type="dxa"/>
              <w:bottom w:w="80" w:type="dxa"/>
              <w:right w:w="100" w:type="dxa"/>
            </w:tcMar>
          </w:tcPr>
          <w:p w14:paraId="49FC4A23" w14:textId="77777777" w:rsidR="00BE1539" w:rsidRDefault="007C0E3E">
            <w:r>
              <w:rPr>
                <w:color w:val="000000"/>
                <w:sz w:val="20"/>
                <w:szCs w:val="20"/>
              </w:rPr>
              <w:t>~27%</w:t>
            </w:r>
          </w:p>
        </w:tc>
      </w:tr>
      <w:tr w:rsidR="00BE1539" w14:paraId="18E098FA" w14:textId="77777777">
        <w:tblPrEx>
          <w:tblCellMar>
            <w:top w:w="0" w:type="dxa"/>
            <w:bottom w:w="0" w:type="dxa"/>
          </w:tblCellMar>
        </w:tblPrEx>
        <w:tc>
          <w:tcPr>
            <w:tcW w:w="3000" w:type="dxa"/>
            <w:tcMar>
              <w:top w:w="80" w:type="dxa"/>
              <w:left w:w="100" w:type="dxa"/>
              <w:bottom w:w="80" w:type="dxa"/>
              <w:right w:w="100" w:type="dxa"/>
            </w:tcMar>
          </w:tcPr>
          <w:p w14:paraId="2EC6793A" w14:textId="77777777" w:rsidR="00BE1539" w:rsidRDefault="007C0E3E">
            <w:r>
              <w:rPr>
                <w:color w:val="000000"/>
                <w:sz w:val="20"/>
                <w:szCs w:val="20"/>
              </w:rPr>
              <w:t>Lambeth</w:t>
            </w:r>
          </w:p>
        </w:tc>
        <w:tc>
          <w:tcPr>
            <w:tcW w:w="1400" w:type="dxa"/>
            <w:tcMar>
              <w:top w:w="80" w:type="dxa"/>
              <w:left w:w="100" w:type="dxa"/>
              <w:bottom w:w="80" w:type="dxa"/>
              <w:right w:w="100" w:type="dxa"/>
            </w:tcMar>
          </w:tcPr>
          <w:p w14:paraId="0F257054" w14:textId="77777777" w:rsidR="00BE1539" w:rsidRDefault="007C0E3E">
            <w:r>
              <w:rPr>
                <w:color w:val="000000"/>
                <w:sz w:val="20"/>
                <w:szCs w:val="20"/>
              </w:rPr>
              <w:t>71.36%</w:t>
            </w:r>
          </w:p>
        </w:tc>
        <w:tc>
          <w:tcPr>
            <w:tcW w:w="3000" w:type="dxa"/>
            <w:tcMar>
              <w:top w:w="80" w:type="dxa"/>
              <w:left w:w="100" w:type="dxa"/>
              <w:bottom w:w="80" w:type="dxa"/>
              <w:right w:w="100" w:type="dxa"/>
            </w:tcMar>
          </w:tcPr>
          <w:p w14:paraId="2A52FA38" w14:textId="77777777" w:rsidR="00BE1539" w:rsidRDefault="007C0E3E">
            <w:r>
              <w:rPr>
                <w:color w:val="000000"/>
                <w:sz w:val="20"/>
                <w:szCs w:val="20"/>
              </w:rPr>
              <w:t>—</w:t>
            </w:r>
          </w:p>
        </w:tc>
        <w:tc>
          <w:tcPr>
            <w:tcW w:w="1000" w:type="dxa"/>
            <w:tcMar>
              <w:top w:w="80" w:type="dxa"/>
              <w:left w:w="100" w:type="dxa"/>
              <w:bottom w:w="80" w:type="dxa"/>
              <w:right w:w="100" w:type="dxa"/>
            </w:tcMar>
          </w:tcPr>
          <w:p w14:paraId="4C55F68F" w14:textId="77777777" w:rsidR="00BE1539" w:rsidRDefault="007C0E3E">
            <w:r>
              <w:rPr>
                <w:color w:val="000000"/>
                <w:sz w:val="20"/>
                <w:szCs w:val="20"/>
              </w:rPr>
              <w:t>—</w:t>
            </w:r>
          </w:p>
        </w:tc>
      </w:tr>
    </w:tbl>
    <w:p w14:paraId="7B597E2B" w14:textId="77777777" w:rsidR="00BE1539" w:rsidRDefault="00BE1539">
      <w:pPr>
        <w:spacing w:after="240"/>
      </w:pPr>
    </w:p>
    <w:p w14:paraId="334A1F2C" w14:textId="77777777" w:rsidR="00BE1539" w:rsidRDefault="007C0E3E">
      <w:pPr>
        <w:spacing w:before="120" w:after="240"/>
        <w:jc w:val="center"/>
      </w:pPr>
      <w:r>
        <w:rPr>
          <w:b/>
          <w:bCs/>
          <w:i/>
          <w:iCs/>
          <w:color w:val="990000"/>
          <w:shd w:val="clear" w:color="auto" w:fill="FFFF00"/>
        </w:rPr>
        <w:lastRenderedPageBreak/>
        <w:t>[Figure 3.3: borough choropleth map of weighted activity rate across London's 32 boroughs — insert from notebook]</w:t>
      </w:r>
    </w:p>
    <w:p w14:paraId="3D9AB606" w14:textId="77777777" w:rsidR="00BE1539" w:rsidRDefault="007C0E3E">
      <w:pPr>
        <w:spacing w:after="180"/>
        <w:jc w:val="both"/>
      </w:pPr>
      <w:r>
        <w:t>The demographic profile of the weighted sample reflects London's diversity and its distinct socio-economic composition: women represent a slight majority (50.18%), White British respondents constitute less than half the population (43.19%), 58.76% hold degree-level qualifications or above, and 13.27% report a limiting disability. Self-reported health, available from Year 4 onwards, shows 71.7% of Londoners in Good or Very good health.</w:t>
      </w:r>
    </w:p>
    <w:p w14:paraId="7345D241" w14:textId="77777777" w:rsidR="00BE1539" w:rsidRDefault="007C0E3E">
      <w:pPr>
        <w:spacing w:before="120" w:after="240"/>
        <w:jc w:val="center"/>
      </w:pPr>
      <w:r>
        <w:rPr>
          <w:b/>
          <w:bCs/>
          <w:i/>
          <w:iCs/>
          <w:color w:val="990000"/>
          <w:shd w:val="clear" w:color="auto" w:fill="FFFF00"/>
        </w:rPr>
        <w:t>[Figure 3.4: grouped bar charts of activity rate by gender, ethnicity, education, disability and self-reported health — insert from notebook]</w:t>
      </w:r>
    </w:p>
    <w:p w14:paraId="589FEBCB" w14:textId="77777777" w:rsidR="00BE1539" w:rsidRDefault="007C0E3E">
      <w:pPr>
        <w:spacing w:after="180"/>
        <w:jc w:val="both"/>
      </w:pPr>
      <w:r>
        <w:t>Volunteering shows two structural breaks that constrain the usable time series for P4 modelling: a fall from 22.93% (2016–17) to 15.98% (2018–19), attributable to a change in survey methodology rather than genuine behaviour change, and a COVID-era drop from 18.39% (2019–20) to 12.34% (2020–21), the largest single-year shift in the volunteering series.</w:t>
      </w:r>
    </w:p>
    <w:p w14:paraId="0A259F0B" w14:textId="77777777" w:rsidR="00BE1539" w:rsidRDefault="007C0E3E">
      <w:pPr>
        <w:spacing w:after="240"/>
        <w:jc w:val="center"/>
      </w:pPr>
      <w:r>
        <w:rPr>
          <w:i/>
          <w:iCs/>
          <w:color w:val="808080"/>
          <w:sz w:val="20"/>
          <w:szCs w:val="20"/>
        </w:rPr>
        <w:t>Table 3.9. Weighted volunteering rate by survey year.</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tblGrid>
      <w:tr w:rsidR="00BE1539" w14:paraId="1189C602"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605329BC" w14:textId="77777777" w:rsidR="00BE1539" w:rsidRDefault="007C0E3E">
            <w:r>
              <w:rPr>
                <w:b/>
                <w:bCs/>
                <w:color w:val="FFFFFF"/>
                <w:sz w:val="20"/>
                <w:szCs w:val="20"/>
              </w:rPr>
              <w:t>Year</w:t>
            </w:r>
          </w:p>
        </w:tc>
        <w:tc>
          <w:tcPr>
            <w:tcW w:w="2200" w:type="dxa"/>
            <w:shd w:val="clear" w:color="auto" w:fill="1F3864"/>
            <w:tcMar>
              <w:top w:w="80" w:type="dxa"/>
              <w:left w:w="100" w:type="dxa"/>
              <w:bottom w:w="80" w:type="dxa"/>
              <w:right w:w="100" w:type="dxa"/>
            </w:tcMar>
          </w:tcPr>
          <w:p w14:paraId="7174E8BC" w14:textId="77777777" w:rsidR="00BE1539" w:rsidRDefault="007C0E3E">
            <w:r>
              <w:rPr>
                <w:b/>
                <w:bCs/>
                <w:color w:val="FFFFFF"/>
                <w:sz w:val="20"/>
                <w:szCs w:val="20"/>
              </w:rPr>
              <w:t>Volunteering %</w:t>
            </w:r>
          </w:p>
        </w:tc>
        <w:tc>
          <w:tcPr>
            <w:tcW w:w="2600" w:type="dxa"/>
            <w:shd w:val="clear" w:color="auto" w:fill="1F3864"/>
            <w:tcMar>
              <w:top w:w="80" w:type="dxa"/>
              <w:left w:w="100" w:type="dxa"/>
              <w:bottom w:w="80" w:type="dxa"/>
              <w:right w:w="100" w:type="dxa"/>
            </w:tcMar>
          </w:tcPr>
          <w:p w14:paraId="2D117387" w14:textId="77777777" w:rsidR="00BE1539" w:rsidRDefault="007C0E3E">
            <w:r>
              <w:rPr>
                <w:b/>
                <w:bCs/>
                <w:color w:val="FFFFFF"/>
                <w:sz w:val="20"/>
                <w:szCs w:val="20"/>
              </w:rPr>
              <w:t>Year-on-Year Change</w:t>
            </w:r>
          </w:p>
        </w:tc>
      </w:tr>
      <w:tr w:rsidR="00BE1539" w14:paraId="7725F854" w14:textId="77777777">
        <w:tblPrEx>
          <w:tblCellMar>
            <w:top w:w="0" w:type="dxa"/>
            <w:bottom w:w="0" w:type="dxa"/>
          </w:tblCellMar>
        </w:tblPrEx>
        <w:tc>
          <w:tcPr>
            <w:tcW w:w="1800" w:type="dxa"/>
            <w:tcMar>
              <w:top w:w="80" w:type="dxa"/>
              <w:left w:w="100" w:type="dxa"/>
              <w:bottom w:w="80" w:type="dxa"/>
              <w:right w:w="100" w:type="dxa"/>
            </w:tcMar>
          </w:tcPr>
          <w:p w14:paraId="6D7DE489" w14:textId="77777777" w:rsidR="00BE1539" w:rsidRDefault="007C0E3E">
            <w:r>
              <w:rPr>
                <w:color w:val="000000"/>
                <w:sz w:val="20"/>
                <w:szCs w:val="20"/>
              </w:rPr>
              <w:t>2016–17</w:t>
            </w:r>
          </w:p>
        </w:tc>
        <w:tc>
          <w:tcPr>
            <w:tcW w:w="2200" w:type="dxa"/>
            <w:tcMar>
              <w:top w:w="80" w:type="dxa"/>
              <w:left w:w="100" w:type="dxa"/>
              <w:bottom w:w="80" w:type="dxa"/>
              <w:right w:w="100" w:type="dxa"/>
            </w:tcMar>
          </w:tcPr>
          <w:p w14:paraId="11B54340" w14:textId="77777777" w:rsidR="00BE1539" w:rsidRDefault="007C0E3E">
            <w:r>
              <w:rPr>
                <w:color w:val="000000"/>
                <w:sz w:val="20"/>
                <w:szCs w:val="20"/>
              </w:rPr>
              <w:t>22.93%</w:t>
            </w:r>
          </w:p>
        </w:tc>
        <w:tc>
          <w:tcPr>
            <w:tcW w:w="2600" w:type="dxa"/>
            <w:tcMar>
              <w:top w:w="80" w:type="dxa"/>
              <w:left w:w="100" w:type="dxa"/>
              <w:bottom w:w="80" w:type="dxa"/>
              <w:right w:w="100" w:type="dxa"/>
            </w:tcMar>
          </w:tcPr>
          <w:p w14:paraId="71E19BE1" w14:textId="77777777" w:rsidR="00BE1539" w:rsidRDefault="007C0E3E">
            <w:r>
              <w:rPr>
                <w:color w:val="000000"/>
                <w:sz w:val="20"/>
                <w:szCs w:val="20"/>
              </w:rPr>
              <w:t>—</w:t>
            </w:r>
          </w:p>
        </w:tc>
      </w:tr>
      <w:tr w:rsidR="00BE1539" w14:paraId="038D4D6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6B49672" w14:textId="77777777" w:rsidR="00BE1539" w:rsidRDefault="007C0E3E">
            <w:r>
              <w:rPr>
                <w:color w:val="000000"/>
                <w:sz w:val="20"/>
                <w:szCs w:val="20"/>
              </w:rPr>
              <w:t>2017–18</w:t>
            </w:r>
          </w:p>
        </w:tc>
        <w:tc>
          <w:tcPr>
            <w:tcW w:w="2200" w:type="dxa"/>
            <w:shd w:val="clear" w:color="auto" w:fill="F2F2F2"/>
            <w:tcMar>
              <w:top w:w="80" w:type="dxa"/>
              <w:left w:w="100" w:type="dxa"/>
              <w:bottom w:w="80" w:type="dxa"/>
              <w:right w:w="100" w:type="dxa"/>
            </w:tcMar>
          </w:tcPr>
          <w:p w14:paraId="58FC447E" w14:textId="77777777" w:rsidR="00BE1539" w:rsidRDefault="007C0E3E">
            <w:r>
              <w:rPr>
                <w:color w:val="000000"/>
                <w:sz w:val="20"/>
                <w:szCs w:val="20"/>
              </w:rPr>
              <w:t>21.84%</w:t>
            </w:r>
          </w:p>
        </w:tc>
        <w:tc>
          <w:tcPr>
            <w:tcW w:w="2600" w:type="dxa"/>
            <w:shd w:val="clear" w:color="auto" w:fill="F2F2F2"/>
            <w:tcMar>
              <w:top w:w="80" w:type="dxa"/>
              <w:left w:w="100" w:type="dxa"/>
              <w:bottom w:w="80" w:type="dxa"/>
              <w:right w:w="100" w:type="dxa"/>
            </w:tcMar>
          </w:tcPr>
          <w:p w14:paraId="60DC6EA3" w14:textId="77777777" w:rsidR="00BE1539" w:rsidRDefault="007C0E3E">
            <w:r>
              <w:rPr>
                <w:color w:val="000000"/>
                <w:sz w:val="20"/>
                <w:szCs w:val="20"/>
              </w:rPr>
              <w:t>−</w:t>
            </w:r>
            <w:r>
              <w:rPr>
                <w:color w:val="000000"/>
                <w:sz w:val="20"/>
                <w:szCs w:val="20"/>
              </w:rPr>
              <w:t>1.09pp</w:t>
            </w:r>
          </w:p>
        </w:tc>
      </w:tr>
      <w:tr w:rsidR="00BE1539" w14:paraId="77EB2F91" w14:textId="77777777">
        <w:tblPrEx>
          <w:tblCellMar>
            <w:top w:w="0" w:type="dxa"/>
            <w:bottom w:w="0" w:type="dxa"/>
          </w:tblCellMar>
        </w:tblPrEx>
        <w:tc>
          <w:tcPr>
            <w:tcW w:w="1800" w:type="dxa"/>
            <w:tcMar>
              <w:top w:w="80" w:type="dxa"/>
              <w:left w:w="100" w:type="dxa"/>
              <w:bottom w:w="80" w:type="dxa"/>
              <w:right w:w="100" w:type="dxa"/>
            </w:tcMar>
          </w:tcPr>
          <w:p w14:paraId="5EDEB790" w14:textId="77777777" w:rsidR="00BE1539" w:rsidRDefault="007C0E3E">
            <w:r>
              <w:rPr>
                <w:color w:val="000000"/>
                <w:sz w:val="20"/>
                <w:szCs w:val="20"/>
              </w:rPr>
              <w:t>2018–19</w:t>
            </w:r>
          </w:p>
        </w:tc>
        <w:tc>
          <w:tcPr>
            <w:tcW w:w="2200" w:type="dxa"/>
            <w:tcMar>
              <w:top w:w="80" w:type="dxa"/>
              <w:left w:w="100" w:type="dxa"/>
              <w:bottom w:w="80" w:type="dxa"/>
              <w:right w:w="100" w:type="dxa"/>
            </w:tcMar>
          </w:tcPr>
          <w:p w14:paraId="2134FF08" w14:textId="77777777" w:rsidR="00BE1539" w:rsidRDefault="007C0E3E">
            <w:r>
              <w:rPr>
                <w:color w:val="000000"/>
                <w:sz w:val="20"/>
                <w:szCs w:val="20"/>
              </w:rPr>
              <w:t>15.98%</w:t>
            </w:r>
          </w:p>
        </w:tc>
        <w:tc>
          <w:tcPr>
            <w:tcW w:w="2600" w:type="dxa"/>
            <w:tcMar>
              <w:top w:w="80" w:type="dxa"/>
              <w:left w:w="100" w:type="dxa"/>
              <w:bottom w:w="80" w:type="dxa"/>
              <w:right w:w="100" w:type="dxa"/>
            </w:tcMar>
          </w:tcPr>
          <w:p w14:paraId="0928A915" w14:textId="77777777" w:rsidR="00BE1539" w:rsidRDefault="007C0E3E">
            <w:r>
              <w:rPr>
                <w:color w:val="000000"/>
                <w:sz w:val="20"/>
                <w:szCs w:val="20"/>
              </w:rPr>
              <w:t>−</w:t>
            </w:r>
            <w:r>
              <w:rPr>
                <w:color w:val="000000"/>
                <w:sz w:val="20"/>
                <w:szCs w:val="20"/>
              </w:rPr>
              <w:t>5.86pp ⚠</w:t>
            </w:r>
          </w:p>
        </w:tc>
      </w:tr>
      <w:tr w:rsidR="00BE1539" w14:paraId="005BAA4F"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48CBC93" w14:textId="77777777" w:rsidR="00BE1539" w:rsidRDefault="007C0E3E">
            <w:r>
              <w:rPr>
                <w:color w:val="000000"/>
                <w:sz w:val="20"/>
                <w:szCs w:val="20"/>
              </w:rPr>
              <w:t>2019–20</w:t>
            </w:r>
          </w:p>
        </w:tc>
        <w:tc>
          <w:tcPr>
            <w:tcW w:w="2200" w:type="dxa"/>
            <w:shd w:val="clear" w:color="auto" w:fill="F2F2F2"/>
            <w:tcMar>
              <w:top w:w="80" w:type="dxa"/>
              <w:left w:w="100" w:type="dxa"/>
              <w:bottom w:w="80" w:type="dxa"/>
              <w:right w:w="100" w:type="dxa"/>
            </w:tcMar>
          </w:tcPr>
          <w:p w14:paraId="762B0048" w14:textId="77777777" w:rsidR="00BE1539" w:rsidRDefault="007C0E3E">
            <w:r>
              <w:rPr>
                <w:color w:val="000000"/>
                <w:sz w:val="20"/>
                <w:szCs w:val="20"/>
              </w:rPr>
              <w:t>18.39%</w:t>
            </w:r>
          </w:p>
        </w:tc>
        <w:tc>
          <w:tcPr>
            <w:tcW w:w="2600" w:type="dxa"/>
            <w:shd w:val="clear" w:color="auto" w:fill="F2F2F2"/>
            <w:tcMar>
              <w:top w:w="80" w:type="dxa"/>
              <w:left w:w="100" w:type="dxa"/>
              <w:bottom w:w="80" w:type="dxa"/>
              <w:right w:w="100" w:type="dxa"/>
            </w:tcMar>
          </w:tcPr>
          <w:p w14:paraId="6AB6C2CA" w14:textId="77777777" w:rsidR="00BE1539" w:rsidRDefault="007C0E3E">
            <w:r>
              <w:rPr>
                <w:color w:val="000000"/>
                <w:sz w:val="20"/>
                <w:szCs w:val="20"/>
              </w:rPr>
              <w:t>+2.41pp</w:t>
            </w:r>
          </w:p>
        </w:tc>
      </w:tr>
      <w:tr w:rsidR="00BE1539" w14:paraId="4ACA0C88" w14:textId="77777777">
        <w:tblPrEx>
          <w:tblCellMar>
            <w:top w:w="0" w:type="dxa"/>
            <w:bottom w:w="0" w:type="dxa"/>
          </w:tblCellMar>
        </w:tblPrEx>
        <w:tc>
          <w:tcPr>
            <w:tcW w:w="1800" w:type="dxa"/>
            <w:tcMar>
              <w:top w:w="80" w:type="dxa"/>
              <w:left w:w="100" w:type="dxa"/>
              <w:bottom w:w="80" w:type="dxa"/>
              <w:right w:w="100" w:type="dxa"/>
            </w:tcMar>
          </w:tcPr>
          <w:p w14:paraId="57A153E4" w14:textId="77777777" w:rsidR="00BE1539" w:rsidRDefault="007C0E3E">
            <w:r>
              <w:rPr>
                <w:color w:val="000000"/>
                <w:sz w:val="20"/>
                <w:szCs w:val="20"/>
              </w:rPr>
              <w:t>2020–21</w:t>
            </w:r>
          </w:p>
        </w:tc>
        <w:tc>
          <w:tcPr>
            <w:tcW w:w="2200" w:type="dxa"/>
            <w:tcMar>
              <w:top w:w="80" w:type="dxa"/>
              <w:left w:w="100" w:type="dxa"/>
              <w:bottom w:w="80" w:type="dxa"/>
              <w:right w:w="100" w:type="dxa"/>
            </w:tcMar>
          </w:tcPr>
          <w:p w14:paraId="631C3EB3" w14:textId="77777777" w:rsidR="00BE1539" w:rsidRDefault="007C0E3E">
            <w:r>
              <w:rPr>
                <w:color w:val="000000"/>
                <w:sz w:val="20"/>
                <w:szCs w:val="20"/>
              </w:rPr>
              <w:t>12.34%</w:t>
            </w:r>
          </w:p>
        </w:tc>
        <w:tc>
          <w:tcPr>
            <w:tcW w:w="2600" w:type="dxa"/>
            <w:tcMar>
              <w:top w:w="80" w:type="dxa"/>
              <w:left w:w="100" w:type="dxa"/>
              <w:bottom w:w="80" w:type="dxa"/>
              <w:right w:w="100" w:type="dxa"/>
            </w:tcMar>
          </w:tcPr>
          <w:p w14:paraId="4D9E3E54" w14:textId="77777777" w:rsidR="00BE1539" w:rsidRDefault="007C0E3E">
            <w:r>
              <w:rPr>
                <w:color w:val="000000"/>
                <w:sz w:val="20"/>
                <w:szCs w:val="20"/>
              </w:rPr>
              <w:t>−</w:t>
            </w:r>
            <w:r>
              <w:rPr>
                <w:color w:val="000000"/>
                <w:sz w:val="20"/>
                <w:szCs w:val="20"/>
              </w:rPr>
              <w:t>6.05pp ⚠</w:t>
            </w:r>
          </w:p>
        </w:tc>
      </w:tr>
      <w:tr w:rsidR="00BE1539" w14:paraId="1C2E1137"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44FAC73" w14:textId="77777777" w:rsidR="00BE1539" w:rsidRDefault="007C0E3E">
            <w:r>
              <w:rPr>
                <w:color w:val="000000"/>
                <w:sz w:val="20"/>
                <w:szCs w:val="20"/>
              </w:rPr>
              <w:t>2021–22</w:t>
            </w:r>
          </w:p>
        </w:tc>
        <w:tc>
          <w:tcPr>
            <w:tcW w:w="2200" w:type="dxa"/>
            <w:shd w:val="clear" w:color="auto" w:fill="F2F2F2"/>
            <w:tcMar>
              <w:top w:w="80" w:type="dxa"/>
              <w:left w:w="100" w:type="dxa"/>
              <w:bottom w:w="80" w:type="dxa"/>
              <w:right w:w="100" w:type="dxa"/>
            </w:tcMar>
          </w:tcPr>
          <w:p w14:paraId="3F9798F6" w14:textId="77777777" w:rsidR="00BE1539" w:rsidRDefault="007C0E3E">
            <w:r>
              <w:rPr>
                <w:color w:val="000000"/>
                <w:sz w:val="20"/>
                <w:szCs w:val="20"/>
              </w:rPr>
              <w:t>16.74%</w:t>
            </w:r>
          </w:p>
        </w:tc>
        <w:tc>
          <w:tcPr>
            <w:tcW w:w="2600" w:type="dxa"/>
            <w:shd w:val="clear" w:color="auto" w:fill="F2F2F2"/>
            <w:tcMar>
              <w:top w:w="80" w:type="dxa"/>
              <w:left w:w="100" w:type="dxa"/>
              <w:bottom w:w="80" w:type="dxa"/>
              <w:right w:w="100" w:type="dxa"/>
            </w:tcMar>
          </w:tcPr>
          <w:p w14:paraId="35D3DF66" w14:textId="77777777" w:rsidR="00BE1539" w:rsidRDefault="007C0E3E">
            <w:r>
              <w:rPr>
                <w:color w:val="000000"/>
                <w:sz w:val="20"/>
                <w:szCs w:val="20"/>
              </w:rPr>
              <w:t>+4.40pp</w:t>
            </w:r>
          </w:p>
        </w:tc>
      </w:tr>
      <w:tr w:rsidR="00BE1539" w14:paraId="34F82FD0" w14:textId="77777777">
        <w:tblPrEx>
          <w:tblCellMar>
            <w:top w:w="0" w:type="dxa"/>
            <w:bottom w:w="0" w:type="dxa"/>
          </w:tblCellMar>
        </w:tblPrEx>
        <w:tc>
          <w:tcPr>
            <w:tcW w:w="1800" w:type="dxa"/>
            <w:tcMar>
              <w:top w:w="80" w:type="dxa"/>
              <w:left w:w="100" w:type="dxa"/>
              <w:bottom w:w="80" w:type="dxa"/>
              <w:right w:w="100" w:type="dxa"/>
            </w:tcMar>
          </w:tcPr>
          <w:p w14:paraId="2E57378F" w14:textId="77777777" w:rsidR="00BE1539" w:rsidRDefault="007C0E3E">
            <w:r>
              <w:rPr>
                <w:color w:val="000000"/>
                <w:sz w:val="20"/>
                <w:szCs w:val="20"/>
              </w:rPr>
              <w:t>2022–23</w:t>
            </w:r>
          </w:p>
        </w:tc>
        <w:tc>
          <w:tcPr>
            <w:tcW w:w="2200" w:type="dxa"/>
            <w:tcMar>
              <w:top w:w="80" w:type="dxa"/>
              <w:left w:w="100" w:type="dxa"/>
              <w:bottom w:w="80" w:type="dxa"/>
              <w:right w:w="100" w:type="dxa"/>
            </w:tcMar>
          </w:tcPr>
          <w:p w14:paraId="62FB34DA" w14:textId="77777777" w:rsidR="00BE1539" w:rsidRDefault="007C0E3E">
            <w:r>
              <w:rPr>
                <w:color w:val="000000"/>
                <w:sz w:val="20"/>
                <w:szCs w:val="20"/>
              </w:rPr>
              <w:t>18.30%</w:t>
            </w:r>
          </w:p>
        </w:tc>
        <w:tc>
          <w:tcPr>
            <w:tcW w:w="2600" w:type="dxa"/>
            <w:tcMar>
              <w:top w:w="80" w:type="dxa"/>
              <w:left w:w="100" w:type="dxa"/>
              <w:bottom w:w="80" w:type="dxa"/>
              <w:right w:w="100" w:type="dxa"/>
            </w:tcMar>
          </w:tcPr>
          <w:p w14:paraId="5A27691C" w14:textId="77777777" w:rsidR="00BE1539" w:rsidRDefault="007C0E3E">
            <w:r>
              <w:rPr>
                <w:color w:val="000000"/>
                <w:sz w:val="20"/>
                <w:szCs w:val="20"/>
              </w:rPr>
              <w:t>+1.56pp</w:t>
            </w:r>
          </w:p>
        </w:tc>
      </w:tr>
    </w:tbl>
    <w:p w14:paraId="304F13D5" w14:textId="77777777" w:rsidR="00BE1539" w:rsidRDefault="00BE1539">
      <w:pPr>
        <w:spacing w:after="240"/>
      </w:pPr>
    </w:p>
    <w:p w14:paraId="64B8A0FA" w14:textId="77777777" w:rsidR="00BE1539" w:rsidRDefault="007C0E3E">
      <w:pPr>
        <w:spacing w:after="180"/>
        <w:jc w:val="both"/>
      </w:pPr>
      <w:r>
        <w:t>Two coverage facts were carried forward into the modelling framework: volunteering and indoor/outdoor variables were introduced only from Year 2, so Year 1 contributes to P1 and P2 only; and indoor/outdoor questions are asked of a rotating subgroup of roughly a third of respondents, so P3 estimates rest on a smaller base throughout.</w:t>
      </w:r>
    </w:p>
    <w:p w14:paraId="1A04856B" w14:textId="77777777" w:rsidR="00BE1539" w:rsidRDefault="007C0E3E">
      <w:pPr>
        <w:pStyle w:val="Heading2"/>
      </w:pPr>
      <w:r>
        <w:t>3.5 Machine Learning Framework</w:t>
      </w:r>
    </w:p>
    <w:p w14:paraId="3A7F113E" w14:textId="77777777" w:rsidR="00BE1539" w:rsidRDefault="007C0E3E">
      <w:pPr>
        <w:spacing w:after="180"/>
        <w:jc w:val="both"/>
      </w:pPr>
      <w:r>
        <w:t>A conventional approach to this problem — constructing a borough-by-year table and fitting a time-series or machine-learning model directly to it — is structurally unsuited to the data available. Thirty-two boroughs across eight years yields at most 256 borough-year observations, three of them disrupted by the pandemic, with a few hundred survey respondents standing behind each cell. Asking a model to learn temporal dynamics from a table this small risks fitting noise rather than signal, regardless of the r</w:t>
      </w:r>
      <w:r>
        <w:t>egularisation applied. The framework adopted across the project's modelling strands therefore separates the forecasting task into two components that are each well matched to what the available data can support:</w:t>
      </w:r>
    </w:p>
    <w:p w14:paraId="37C55A48" w14:textId="77777777" w:rsidR="00BE1539" w:rsidRDefault="007C0E3E">
      <w:pPr>
        <w:pStyle w:val="ListParagraph"/>
        <w:numPr>
          <w:ilvl w:val="0"/>
          <w:numId w:val="1"/>
        </w:numPr>
        <w:spacing w:after="100"/>
      </w:pPr>
      <w:r>
        <w:t xml:space="preserve">A time-free propensity model, learned from all 135,497 individual respondents, that captures the relationship between a person's characteristics and their activity band. A large </w:t>
      </w:r>
      <w:r>
        <w:lastRenderedPageBreak/>
        <w:t>cross-sectional survey is well suited to estimating this relationship reliably, and because the model never extrapolates in time, it can be trusted to generalise.</w:t>
      </w:r>
    </w:p>
    <w:p w14:paraId="29253F12" w14:textId="77777777" w:rsidR="00BE1539" w:rsidRDefault="007C0E3E">
      <w:pPr>
        <w:pStyle w:val="ListParagraph"/>
        <w:numPr>
          <w:ilvl w:val="0"/>
          <w:numId w:val="1"/>
        </w:numPr>
        <w:spacing w:after="100"/>
      </w:pPr>
      <w:r>
        <w:t>A projection of how London's population is changing, borough by borough, which carries the propensity model's estimates forward in time — because demographic change is considerably more predictable over a ten-year horizon than behavioural change.</w:t>
      </w:r>
    </w:p>
    <w:p w14:paraId="14F150E3" w14:textId="77777777" w:rsidR="00BE1539" w:rsidRDefault="007C0E3E">
      <w:pPr>
        <w:spacing w:after="180"/>
        <w:jc w:val="both"/>
      </w:pPr>
      <w:r>
        <w:t>Expressed formally: Forecast = propensity(who is active) × projected population + behavioural trend. This decomposition yields forecasts that separate cleanly into a composition effect (the population changed) and a behaviour effect (people of a given type changed), a distinction with direct strategic relevance to London Sport that a single blended forecast cannot provide. The behavioural trend component is being extended through a perturbation-based reweighting step using ONS 2035 population projections, w</w:t>
      </w:r>
      <w:r>
        <w:t>hich is in progress at the time of writing and will be integrated into the P2 forecasting outputs.</w:t>
      </w:r>
    </w:p>
    <w:p w14:paraId="08B8C28D" w14:textId="77777777" w:rsidR="00BE1539" w:rsidRDefault="007C0E3E">
      <w:pPr>
        <w:spacing w:after="180"/>
        <w:jc w:val="both"/>
      </w:pPr>
      <w:r>
        <w:t>Within this shared framework, four complementary modelling strands were developed:</w:t>
      </w:r>
    </w:p>
    <w:p w14:paraId="330C4389" w14:textId="77777777" w:rsidR="00BE1539" w:rsidRDefault="007C0E3E">
      <w:pPr>
        <w:spacing w:after="240"/>
        <w:jc w:val="center"/>
      </w:pPr>
      <w:r>
        <w:rPr>
          <w:i/>
          <w:iCs/>
          <w:color w:val="808080"/>
          <w:sz w:val="20"/>
          <w:szCs w:val="20"/>
        </w:rPr>
        <w:t>Table 3.10. Modelling strands, target formulation and primary pillar.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600"/>
        <w:gridCol w:w="1200"/>
      </w:tblGrid>
      <w:tr w:rsidR="00BE1539" w14:paraId="76B153A8"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7887ADF7" w14:textId="77777777" w:rsidR="00BE1539" w:rsidRDefault="007C0E3E">
            <w:r>
              <w:rPr>
                <w:b/>
                <w:bCs/>
                <w:color w:val="FFFFFF"/>
                <w:sz w:val="20"/>
                <w:szCs w:val="20"/>
              </w:rPr>
              <w:t>Strand</w:t>
            </w:r>
          </w:p>
        </w:tc>
        <w:tc>
          <w:tcPr>
            <w:tcW w:w="2000" w:type="dxa"/>
            <w:shd w:val="clear" w:color="auto" w:fill="1F3864"/>
            <w:tcMar>
              <w:top w:w="80" w:type="dxa"/>
              <w:left w:w="100" w:type="dxa"/>
              <w:bottom w:w="80" w:type="dxa"/>
              <w:right w:w="100" w:type="dxa"/>
            </w:tcMar>
          </w:tcPr>
          <w:p w14:paraId="0829DCB6" w14:textId="77777777" w:rsidR="00BE1539" w:rsidRDefault="007C0E3E">
            <w:r>
              <w:rPr>
                <w:b/>
                <w:bCs/>
                <w:color w:val="FFFFFF"/>
                <w:sz w:val="20"/>
                <w:szCs w:val="20"/>
              </w:rPr>
              <w:t>Target</w:t>
            </w:r>
          </w:p>
        </w:tc>
        <w:tc>
          <w:tcPr>
            <w:tcW w:w="2600" w:type="dxa"/>
            <w:shd w:val="clear" w:color="auto" w:fill="1F3864"/>
            <w:tcMar>
              <w:top w:w="80" w:type="dxa"/>
              <w:left w:w="100" w:type="dxa"/>
              <w:bottom w:w="80" w:type="dxa"/>
              <w:right w:w="100" w:type="dxa"/>
            </w:tcMar>
          </w:tcPr>
          <w:p w14:paraId="4904EEE2" w14:textId="77777777" w:rsidR="00BE1539" w:rsidRDefault="007C0E3E">
            <w:r>
              <w:rPr>
                <w:b/>
                <w:bCs/>
                <w:color w:val="FFFFFF"/>
                <w:sz w:val="20"/>
                <w:szCs w:val="20"/>
              </w:rPr>
              <w:t>Primary Role</w:t>
            </w:r>
          </w:p>
        </w:tc>
        <w:tc>
          <w:tcPr>
            <w:tcW w:w="1200" w:type="dxa"/>
            <w:shd w:val="clear" w:color="auto" w:fill="1F3864"/>
            <w:tcMar>
              <w:top w:w="80" w:type="dxa"/>
              <w:left w:w="100" w:type="dxa"/>
              <w:bottom w:w="80" w:type="dxa"/>
              <w:right w:w="100" w:type="dxa"/>
            </w:tcMar>
          </w:tcPr>
          <w:p w14:paraId="5D4D39DA" w14:textId="77777777" w:rsidR="00BE1539" w:rsidRDefault="007C0E3E">
            <w:r>
              <w:rPr>
                <w:b/>
                <w:bCs/>
                <w:color w:val="FFFFFF"/>
                <w:sz w:val="20"/>
                <w:szCs w:val="20"/>
              </w:rPr>
              <w:t>Pillar(s)</w:t>
            </w:r>
          </w:p>
        </w:tc>
      </w:tr>
      <w:tr w:rsidR="00BE1539" w14:paraId="59C8AD57" w14:textId="77777777">
        <w:tblPrEx>
          <w:tblCellMar>
            <w:top w:w="0" w:type="dxa"/>
            <w:bottom w:w="0" w:type="dxa"/>
          </w:tblCellMar>
        </w:tblPrEx>
        <w:tc>
          <w:tcPr>
            <w:tcW w:w="2600" w:type="dxa"/>
            <w:tcMar>
              <w:top w:w="80" w:type="dxa"/>
              <w:left w:w="100" w:type="dxa"/>
              <w:bottom w:w="80" w:type="dxa"/>
              <w:right w:w="100" w:type="dxa"/>
            </w:tcMar>
          </w:tcPr>
          <w:p w14:paraId="0BE350B7" w14:textId="77777777" w:rsidR="00BE1539" w:rsidRDefault="007C0E3E">
            <w:proofErr w:type="spellStart"/>
            <w:r>
              <w:rPr>
                <w:color w:val="000000"/>
                <w:sz w:val="20"/>
                <w:szCs w:val="20"/>
              </w:rPr>
              <w:t>CatBoost</w:t>
            </w:r>
            <w:proofErr w:type="spellEnd"/>
            <w:r>
              <w:rPr>
                <w:color w:val="000000"/>
                <w:sz w:val="20"/>
                <w:szCs w:val="20"/>
              </w:rPr>
              <w:t xml:space="preserve"> + SHAP (3.6)</w:t>
            </w:r>
          </w:p>
        </w:tc>
        <w:tc>
          <w:tcPr>
            <w:tcW w:w="2000" w:type="dxa"/>
            <w:tcMar>
              <w:top w:w="80" w:type="dxa"/>
              <w:left w:w="100" w:type="dxa"/>
              <w:bottom w:w="80" w:type="dxa"/>
              <w:right w:w="100" w:type="dxa"/>
            </w:tcMar>
          </w:tcPr>
          <w:p w14:paraId="2A9C398C" w14:textId="77777777" w:rsidR="00BE1539" w:rsidRDefault="007C0E3E">
            <w:r>
              <w:rPr>
                <w:color w:val="000000"/>
                <w:sz w:val="20"/>
                <w:szCs w:val="20"/>
              </w:rPr>
              <w:t>Binary activity threshold</w:t>
            </w:r>
          </w:p>
        </w:tc>
        <w:tc>
          <w:tcPr>
            <w:tcW w:w="2600" w:type="dxa"/>
            <w:tcMar>
              <w:top w:w="80" w:type="dxa"/>
              <w:left w:w="100" w:type="dxa"/>
              <w:bottom w:w="80" w:type="dxa"/>
              <w:right w:w="100" w:type="dxa"/>
            </w:tcMar>
          </w:tcPr>
          <w:p w14:paraId="46588B1F" w14:textId="77777777" w:rsidR="00BE1539" w:rsidRDefault="007C0E3E">
            <w:r>
              <w:rPr>
                <w:color w:val="000000"/>
                <w:sz w:val="20"/>
                <w:szCs w:val="20"/>
              </w:rPr>
              <w:t>Individual-level driver interpretation</w:t>
            </w:r>
          </w:p>
        </w:tc>
        <w:tc>
          <w:tcPr>
            <w:tcW w:w="1200" w:type="dxa"/>
            <w:tcMar>
              <w:top w:w="80" w:type="dxa"/>
              <w:left w:w="100" w:type="dxa"/>
              <w:bottom w:w="80" w:type="dxa"/>
              <w:right w:w="100" w:type="dxa"/>
            </w:tcMar>
          </w:tcPr>
          <w:p w14:paraId="4DDE073E" w14:textId="77777777" w:rsidR="00BE1539" w:rsidRDefault="007C0E3E">
            <w:r>
              <w:rPr>
                <w:color w:val="000000"/>
                <w:sz w:val="20"/>
                <w:szCs w:val="20"/>
              </w:rPr>
              <w:t>P1 / P2</w:t>
            </w:r>
          </w:p>
        </w:tc>
      </w:tr>
      <w:tr w:rsidR="00BE1539" w14:paraId="0BCDA7F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2AEB7F4" w14:textId="77777777" w:rsidR="00BE1539" w:rsidRDefault="007C0E3E">
            <w:r>
              <w:rPr>
                <w:color w:val="000000"/>
                <w:sz w:val="20"/>
                <w:szCs w:val="20"/>
              </w:rPr>
              <w:t xml:space="preserve">Ordinal logistic regression vs. </w:t>
            </w:r>
            <w:proofErr w:type="spellStart"/>
            <w:r>
              <w:rPr>
                <w:color w:val="000000"/>
                <w:sz w:val="20"/>
                <w:szCs w:val="20"/>
              </w:rPr>
              <w:t>LightGBM</w:t>
            </w:r>
            <w:proofErr w:type="spellEnd"/>
            <w:r>
              <w:rPr>
                <w:color w:val="000000"/>
                <w:sz w:val="20"/>
                <w:szCs w:val="20"/>
              </w:rPr>
              <w:t xml:space="preserve"> (3.7)</w:t>
            </w:r>
          </w:p>
        </w:tc>
        <w:tc>
          <w:tcPr>
            <w:tcW w:w="2000" w:type="dxa"/>
            <w:shd w:val="clear" w:color="auto" w:fill="F2F2F2"/>
            <w:tcMar>
              <w:top w:w="80" w:type="dxa"/>
              <w:left w:w="100" w:type="dxa"/>
              <w:bottom w:w="80" w:type="dxa"/>
              <w:right w:w="100" w:type="dxa"/>
            </w:tcMar>
          </w:tcPr>
          <w:p w14:paraId="03D3BAD9" w14:textId="77777777" w:rsidR="00BE1539" w:rsidRDefault="007C0E3E">
            <w:r>
              <w:rPr>
                <w:color w:val="000000"/>
                <w:sz w:val="20"/>
                <w:szCs w:val="20"/>
              </w:rPr>
              <w:t xml:space="preserve">3-band ordinal </w:t>
            </w:r>
            <w:proofErr w:type="spellStart"/>
            <w:r>
              <w:rPr>
                <w:color w:val="000000"/>
                <w:sz w:val="20"/>
                <w:szCs w:val="20"/>
              </w:rPr>
              <w:t>Activity_Level</w:t>
            </w:r>
            <w:proofErr w:type="spellEnd"/>
          </w:p>
        </w:tc>
        <w:tc>
          <w:tcPr>
            <w:tcW w:w="2600" w:type="dxa"/>
            <w:shd w:val="clear" w:color="auto" w:fill="F2F2F2"/>
            <w:tcMar>
              <w:top w:w="80" w:type="dxa"/>
              <w:left w:w="100" w:type="dxa"/>
              <w:bottom w:w="80" w:type="dxa"/>
              <w:right w:w="100" w:type="dxa"/>
            </w:tcMar>
          </w:tcPr>
          <w:p w14:paraId="6CB3DAF1" w14:textId="77777777" w:rsidR="00BE1539" w:rsidRDefault="007C0E3E">
            <w:r>
              <w:rPr>
                <w:color w:val="000000"/>
                <w:sz w:val="20"/>
                <w:szCs w:val="20"/>
              </w:rPr>
              <w:t>Propensity model for the borough forecasting engine</w:t>
            </w:r>
          </w:p>
        </w:tc>
        <w:tc>
          <w:tcPr>
            <w:tcW w:w="1200" w:type="dxa"/>
            <w:shd w:val="clear" w:color="auto" w:fill="F2F2F2"/>
            <w:tcMar>
              <w:top w:w="80" w:type="dxa"/>
              <w:left w:w="100" w:type="dxa"/>
              <w:bottom w:w="80" w:type="dxa"/>
              <w:right w:w="100" w:type="dxa"/>
            </w:tcMar>
          </w:tcPr>
          <w:p w14:paraId="4AE344A7" w14:textId="77777777" w:rsidR="00BE1539" w:rsidRDefault="007C0E3E">
            <w:r>
              <w:rPr>
                <w:color w:val="000000"/>
                <w:sz w:val="20"/>
                <w:szCs w:val="20"/>
              </w:rPr>
              <w:t>P1 / P3</w:t>
            </w:r>
          </w:p>
        </w:tc>
      </w:tr>
      <w:tr w:rsidR="00BE1539" w14:paraId="2C3C46EC" w14:textId="77777777">
        <w:tblPrEx>
          <w:tblCellMar>
            <w:top w:w="0" w:type="dxa"/>
            <w:bottom w:w="0" w:type="dxa"/>
          </w:tblCellMar>
        </w:tblPrEx>
        <w:tc>
          <w:tcPr>
            <w:tcW w:w="2600" w:type="dxa"/>
            <w:tcMar>
              <w:top w:w="80" w:type="dxa"/>
              <w:left w:w="100" w:type="dxa"/>
              <w:bottom w:w="80" w:type="dxa"/>
              <w:right w:w="100" w:type="dxa"/>
            </w:tcMar>
          </w:tcPr>
          <w:p w14:paraId="6BB26F45" w14:textId="77777777" w:rsidR="00BE1539" w:rsidRDefault="007C0E3E">
            <w:r>
              <w:rPr>
                <w:color w:val="000000"/>
                <w:sz w:val="20"/>
                <w:szCs w:val="20"/>
              </w:rPr>
              <w:t>K-</w:t>
            </w:r>
            <w:proofErr w:type="gramStart"/>
            <w:r>
              <w:rPr>
                <w:color w:val="000000"/>
                <w:sz w:val="20"/>
                <w:szCs w:val="20"/>
              </w:rPr>
              <w:t>Modes</w:t>
            </w:r>
            <w:proofErr w:type="gramEnd"/>
            <w:r>
              <w:rPr>
                <w:color w:val="000000"/>
                <w:sz w:val="20"/>
                <w:szCs w:val="20"/>
              </w:rPr>
              <w:t xml:space="preserve"> clustering + supervised classifiers (3.8)</w:t>
            </w:r>
          </w:p>
        </w:tc>
        <w:tc>
          <w:tcPr>
            <w:tcW w:w="2000" w:type="dxa"/>
            <w:tcMar>
              <w:top w:w="80" w:type="dxa"/>
              <w:left w:w="100" w:type="dxa"/>
              <w:bottom w:w="80" w:type="dxa"/>
              <w:right w:w="100" w:type="dxa"/>
            </w:tcMar>
          </w:tcPr>
          <w:p w14:paraId="3763AC84" w14:textId="77777777" w:rsidR="00BE1539" w:rsidRDefault="007C0E3E">
            <w:r>
              <w:rPr>
                <w:color w:val="000000"/>
                <w:sz w:val="20"/>
                <w:szCs w:val="20"/>
              </w:rPr>
              <w:t xml:space="preserve">3-band ordinal </w:t>
            </w:r>
            <w:proofErr w:type="spellStart"/>
            <w:r>
              <w:rPr>
                <w:color w:val="000000"/>
                <w:sz w:val="20"/>
                <w:szCs w:val="20"/>
              </w:rPr>
              <w:t>Activity_Level</w:t>
            </w:r>
            <w:proofErr w:type="spellEnd"/>
          </w:p>
        </w:tc>
        <w:tc>
          <w:tcPr>
            <w:tcW w:w="2600" w:type="dxa"/>
            <w:tcMar>
              <w:top w:w="80" w:type="dxa"/>
              <w:left w:w="100" w:type="dxa"/>
              <w:bottom w:w="80" w:type="dxa"/>
              <w:right w:w="100" w:type="dxa"/>
            </w:tcMar>
          </w:tcPr>
          <w:p w14:paraId="05DE26F0" w14:textId="77777777" w:rsidR="00BE1539" w:rsidRDefault="007C0E3E">
            <w:r>
              <w:rPr>
                <w:color w:val="000000"/>
                <w:sz w:val="20"/>
                <w:szCs w:val="20"/>
              </w:rPr>
              <w:t>Demographic segmentation and prediction</w:t>
            </w:r>
          </w:p>
        </w:tc>
        <w:tc>
          <w:tcPr>
            <w:tcW w:w="1200" w:type="dxa"/>
            <w:tcMar>
              <w:top w:w="80" w:type="dxa"/>
              <w:left w:w="100" w:type="dxa"/>
              <w:bottom w:w="80" w:type="dxa"/>
              <w:right w:w="100" w:type="dxa"/>
            </w:tcMar>
          </w:tcPr>
          <w:p w14:paraId="368876A4" w14:textId="77777777" w:rsidR="00BE1539" w:rsidRDefault="007C0E3E">
            <w:r>
              <w:rPr>
                <w:color w:val="000000"/>
                <w:sz w:val="20"/>
                <w:szCs w:val="20"/>
              </w:rPr>
              <w:t>P2</w:t>
            </w:r>
          </w:p>
        </w:tc>
      </w:tr>
      <w:tr w:rsidR="00BE1539" w14:paraId="0E52ACA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F79A14E" w14:textId="77777777" w:rsidR="00BE1539" w:rsidRDefault="007C0E3E">
            <w:r>
              <w:rPr>
                <w:color w:val="000000"/>
                <w:sz w:val="20"/>
                <w:szCs w:val="20"/>
              </w:rPr>
              <w:t>Bayesian Hierarchical Ordinal Logistic Regression (3.9)</w:t>
            </w:r>
          </w:p>
        </w:tc>
        <w:tc>
          <w:tcPr>
            <w:tcW w:w="2000" w:type="dxa"/>
            <w:shd w:val="clear" w:color="auto" w:fill="F2F2F2"/>
            <w:tcMar>
              <w:top w:w="80" w:type="dxa"/>
              <w:left w:w="100" w:type="dxa"/>
              <w:bottom w:w="80" w:type="dxa"/>
              <w:right w:w="100" w:type="dxa"/>
            </w:tcMar>
          </w:tcPr>
          <w:p w14:paraId="182DF173" w14:textId="77777777" w:rsidR="00BE1539" w:rsidRDefault="007C0E3E">
            <w:r>
              <w:rPr>
                <w:color w:val="000000"/>
                <w:sz w:val="20"/>
                <w:szCs w:val="20"/>
              </w:rPr>
              <w:t xml:space="preserve">3-band ordinal </w:t>
            </w:r>
            <w:proofErr w:type="spellStart"/>
            <w:r>
              <w:rPr>
                <w:color w:val="000000"/>
                <w:sz w:val="20"/>
                <w:szCs w:val="20"/>
              </w:rPr>
              <w:t>Activity_Level</w:t>
            </w:r>
            <w:proofErr w:type="spellEnd"/>
          </w:p>
        </w:tc>
        <w:tc>
          <w:tcPr>
            <w:tcW w:w="2600" w:type="dxa"/>
            <w:shd w:val="clear" w:color="auto" w:fill="F2F2F2"/>
            <w:tcMar>
              <w:top w:w="80" w:type="dxa"/>
              <w:left w:w="100" w:type="dxa"/>
              <w:bottom w:w="80" w:type="dxa"/>
              <w:right w:w="100" w:type="dxa"/>
            </w:tcMar>
          </w:tcPr>
          <w:p w14:paraId="35948086" w14:textId="77777777" w:rsidR="00BE1539" w:rsidRDefault="007C0E3E">
            <w:r>
              <w:rPr>
                <w:color w:val="000000"/>
                <w:sz w:val="20"/>
                <w:szCs w:val="20"/>
              </w:rPr>
              <w:t>Borough random effects with full uncertainty quantification</w:t>
            </w:r>
          </w:p>
        </w:tc>
        <w:tc>
          <w:tcPr>
            <w:tcW w:w="1200" w:type="dxa"/>
            <w:shd w:val="clear" w:color="auto" w:fill="F2F2F2"/>
            <w:tcMar>
              <w:top w:w="80" w:type="dxa"/>
              <w:left w:w="100" w:type="dxa"/>
              <w:bottom w:w="80" w:type="dxa"/>
              <w:right w:w="100" w:type="dxa"/>
            </w:tcMar>
          </w:tcPr>
          <w:p w14:paraId="1D1373EA" w14:textId="77777777" w:rsidR="00BE1539" w:rsidRDefault="007C0E3E">
            <w:r>
              <w:rPr>
                <w:color w:val="000000"/>
                <w:sz w:val="20"/>
                <w:szCs w:val="20"/>
              </w:rPr>
              <w:t>P1 / P2</w:t>
            </w:r>
          </w:p>
        </w:tc>
      </w:tr>
    </w:tbl>
    <w:p w14:paraId="14B74C6E" w14:textId="77777777" w:rsidR="00BE1539" w:rsidRDefault="00BE1539">
      <w:pPr>
        <w:spacing w:after="240"/>
      </w:pPr>
    </w:p>
    <w:p w14:paraId="56FBDACC" w14:textId="77777777" w:rsidR="00BE1539" w:rsidRDefault="007C0E3E">
      <w:pPr>
        <w:spacing w:after="180"/>
        <w:jc w:val="both"/>
      </w:pPr>
      <w:r>
        <w:t>All four strands apply the survey weight (</w:t>
      </w:r>
      <w:proofErr w:type="spellStart"/>
      <w:r>
        <w:t>wt_final</w:t>
      </w:r>
      <w:proofErr w:type="spellEnd"/>
      <w:r>
        <w:t xml:space="preserve">) as a sample weight, ensuring that model estimates are representative of the London adult population rather than of the raw, </w:t>
      </w:r>
      <w:proofErr w:type="gramStart"/>
      <w:r>
        <w:t>unevenly-sampled</w:t>
      </w:r>
      <w:proofErr w:type="gramEnd"/>
      <w:r>
        <w:t xml:space="preserve"> respondent pool. All four also adopt the temporal validation design set out in Section 3.1, training on early waves and testing exclusively on the 2022–23 wave held out from any tuning.</w:t>
      </w:r>
    </w:p>
    <w:p w14:paraId="17059EDA" w14:textId="77777777" w:rsidR="00BE1539" w:rsidRDefault="007C0E3E">
      <w:pPr>
        <w:pStyle w:val="Heading2"/>
      </w:pPr>
      <w:r>
        <w:t xml:space="preserve">3.6 </w:t>
      </w:r>
      <w:proofErr w:type="spellStart"/>
      <w:r>
        <w:t>CatBoost</w:t>
      </w:r>
      <w:proofErr w:type="spellEnd"/>
      <w:r>
        <w:t xml:space="preserve"> + SHAP</w:t>
      </w:r>
    </w:p>
    <w:p w14:paraId="4DABC366" w14:textId="77777777" w:rsidR="00BE1539" w:rsidRDefault="007C0E3E">
      <w:pPr>
        <w:spacing w:after="180"/>
        <w:jc w:val="both"/>
      </w:pPr>
      <w:r>
        <w:t>A gradient-boosted classifier (</w:t>
      </w:r>
      <w:proofErr w:type="spellStart"/>
      <w:r>
        <w:t>CatBoost</w:t>
      </w:r>
      <w:proofErr w:type="spellEnd"/>
      <w:r>
        <w:t xml:space="preserve">) was fitted to predict whether an individual meets the 150-minute activity threshold, from their demographic characteristics: age, gender, ethnicity, disability, social grade, education and BMI. </w:t>
      </w:r>
      <w:proofErr w:type="spellStart"/>
      <w:r>
        <w:t>CatBoost</w:t>
      </w:r>
      <w:proofErr w:type="spellEnd"/>
      <w:r>
        <w:t xml:space="preserve"> was selected for this strand because it handles categorical variables natively — a good fit for a dataset that is overwhelmingly categorical — without requiring manual target encoding, and because it is robust to the mixed cardinality of the demographic predictors used here. Survey weights were pas</w:t>
      </w:r>
      <w:r>
        <w:t>sed as sample weights, so the fitted model represents the London population rather than the raw respondent pool.</w:t>
      </w:r>
    </w:p>
    <w:p w14:paraId="5173EE5B" w14:textId="77777777" w:rsidR="00BE1539" w:rsidRDefault="007C0E3E">
      <w:pPr>
        <w:spacing w:after="180"/>
        <w:jc w:val="both"/>
      </w:pPr>
      <w:r>
        <w:t>Validation was temporal rather than random: the model was trained on waves 2015–16 through 2021–22 and tested on the held-out 2022–23 wave. A random split would leak future information into training and inflate apparent performance; because the ultimate purpose is forward projection, the test was designed to match that use case.</w:t>
      </w:r>
    </w:p>
    <w:p w14:paraId="678BEBC7" w14:textId="77777777" w:rsidR="00BE1539" w:rsidRDefault="007C0E3E">
      <w:pPr>
        <w:spacing w:after="180"/>
        <w:jc w:val="both"/>
      </w:pPr>
      <w:r>
        <w:lastRenderedPageBreak/>
        <w:t>SHAP (</w:t>
      </w:r>
      <w:proofErr w:type="spellStart"/>
      <w:r>
        <w:t>SHapley</w:t>
      </w:r>
      <w:proofErr w:type="spellEnd"/>
      <w:r>
        <w:t xml:space="preserve"> Additive </w:t>
      </w:r>
      <w:proofErr w:type="spellStart"/>
      <w:r>
        <w:t>exPlanations</w:t>
      </w:r>
      <w:proofErr w:type="spellEnd"/>
      <w:r>
        <w:t>) values were computed on the held-out predictions to rank the demographic drivers of activity and quantify their individual contribution to each prediction, directly supporting the P2 brief requirement to understand which demographic characteristics are associated with participation. Self-reported health was deliberately excluded as a predictor: it is missing from the first three survey waves (Section 3.3.3), and it is strongly associated with disability (Cramér's V ≈ 0.40 in e</w:t>
      </w:r>
      <w:r>
        <w:t>very wave that has both), which was found to invert the disability coefficient when both variables were included. Excluding health keeps the disability effect interpretable and the model comparable across all eight waves.</w:t>
      </w:r>
    </w:p>
    <w:p w14:paraId="7DE11F82" w14:textId="77777777" w:rsidR="00BE1539" w:rsidRDefault="007C0E3E">
      <w:pPr>
        <w:pStyle w:val="Heading2"/>
      </w:pPr>
      <w:r>
        <w:t xml:space="preserve">3.7 </w:t>
      </w:r>
      <w:proofErr w:type="spellStart"/>
      <w:r>
        <w:t>LightGBM</w:t>
      </w:r>
      <w:proofErr w:type="spellEnd"/>
    </w:p>
    <w:p w14:paraId="4082C5D9" w14:textId="77777777" w:rsidR="00BE1539" w:rsidRDefault="007C0E3E">
      <w:pPr>
        <w:spacing w:after="180"/>
        <w:jc w:val="both"/>
      </w:pPr>
      <w:r>
        <w:t>Gradient-boosted trees (</w:t>
      </w:r>
      <w:proofErr w:type="spellStart"/>
      <w:r>
        <w:t>LightGBM</w:t>
      </w:r>
      <w:proofErr w:type="spellEnd"/>
      <w:r>
        <w:t>) were tested head-to-head against an ordinal logistic regression as an alternative specification of the propensity model that underlies the borough forecasting engine (Section 3.5), to establish whether a more flexible, non-linear method would materially improve forecasting accuracy over a simpler, more interpretable baseline.</w:t>
      </w:r>
    </w:p>
    <w:p w14:paraId="73ECE6FA" w14:textId="77777777" w:rsidR="00BE1539" w:rsidRDefault="007C0E3E">
      <w:pPr>
        <w:spacing w:after="180"/>
        <w:jc w:val="both"/>
      </w:pPr>
      <w:r>
        <w:t xml:space="preserve">Both models treat activity as an ordered outcome (Inactive, </w:t>
      </w:r>
      <w:proofErr w:type="gramStart"/>
      <w:r>
        <w:t>Fairly Active</w:t>
      </w:r>
      <w:proofErr w:type="gramEnd"/>
      <w:r>
        <w:t xml:space="preserve">, Active) using the full three-band </w:t>
      </w:r>
      <w:proofErr w:type="spellStart"/>
      <w:r>
        <w:t>Activity_Level</w:t>
      </w:r>
      <w:proofErr w:type="spellEnd"/>
      <w:r>
        <w:t xml:space="preserve"> target, respecting its natural ordering rather than treating the categories as independent. The ordinal logistic regression uses a cumulative-logit specification; </w:t>
      </w:r>
      <w:proofErr w:type="spellStart"/>
      <w:r>
        <w:t>LightGBM</w:t>
      </w:r>
      <w:proofErr w:type="spellEnd"/>
      <w:r>
        <w:t xml:space="preserve"> uses gradient-boosted decision trees. Both are fitted on the same predictor set — age band, gender, ethnicity, socio-economic classification, education, disability status and BMI group, together with borough identity — and both are fitted with survey weights.</w:t>
      </w:r>
    </w:p>
    <w:p w14:paraId="6265FA28" w14:textId="77777777" w:rsidR="00BE1539" w:rsidRDefault="007C0E3E">
      <w:pPr>
        <w:spacing w:after="180"/>
        <w:jc w:val="both"/>
      </w:pPr>
      <w:r>
        <w:t>Both models were evaluated on a wave held out entirely from training and tuning (Section 3.1), and additionally validated leave-one-borough-out: each borough's activity was predicted by a version of the model trained without ever seeing that borough, testing whether the model has learned a transferable relationship between characteristics and activity rather than memorising borough-specific levels. This is the property that licenses using the model to forecast demographic compositions that do not yet exist.</w:t>
      </w:r>
    </w:p>
    <w:p w14:paraId="7D3ABBC0" w14:textId="77777777" w:rsidR="00BE1539" w:rsidRDefault="007C0E3E">
      <w:pPr>
        <w:pStyle w:val="Heading2"/>
      </w:pPr>
      <w:r>
        <w:t>3.8 Clustering</w:t>
      </w:r>
    </w:p>
    <w:p w14:paraId="5141B22E" w14:textId="77777777" w:rsidR="00BE1539" w:rsidRDefault="007C0E3E">
      <w:pPr>
        <w:spacing w:after="180"/>
        <w:jc w:val="both"/>
      </w:pPr>
      <w:r>
        <w:t>A two-stage clustering-and-prediction framework was developed to investigate whether individuals with similar demographic characteristics form meaningful population segments, and whether membership of such a segment improves the prediction of physical activity level, directly supporting the P2 brief's interest in demographic-specific participation patterns.</w:t>
      </w:r>
    </w:p>
    <w:p w14:paraId="605D6B3F" w14:textId="77777777" w:rsidR="00BE1539" w:rsidRDefault="007C0E3E">
      <w:pPr>
        <w:pStyle w:val="Heading3"/>
      </w:pPr>
      <w:r>
        <w:t>3.8.1 Population Segmentation (K-Modes)</w:t>
      </w:r>
    </w:p>
    <w:p w14:paraId="7AE8363C" w14:textId="77777777" w:rsidR="00BE1539" w:rsidRDefault="007C0E3E">
      <w:pPr>
        <w:spacing w:after="180"/>
        <w:jc w:val="both"/>
      </w:pPr>
      <w:r>
        <w:t>Because all clustering variables are categorical, K-</w:t>
      </w:r>
      <w:proofErr w:type="gramStart"/>
      <w:r>
        <w:t>Modes</w:t>
      </w:r>
      <w:proofErr w:type="gramEnd"/>
      <w:r>
        <w:t xml:space="preserve"> clustering was applied rather than K-Means. Six stable, long-term demographic variables were selected for clustering — age band, gender, ethnicity, education, NS-SEC and disability — chosen because they represent enduring demographic characteristics rather than behavioural outcomes that could be circular with the activity target. Borough was deliberately excluded from the clustering step, since the objective was to identify demographic population segments, not geographically defined clusters; the resu</w:t>
      </w:r>
      <w:r>
        <w:t xml:space="preserve">lting segments were subsequently </w:t>
      </w:r>
      <w:proofErr w:type="gramStart"/>
      <w:r>
        <w:t>cross-tabulated</w:t>
      </w:r>
      <w:proofErr w:type="gramEnd"/>
      <w:r>
        <w:t xml:space="preserve"> against borough to examine their spatial distribution separately.</w:t>
      </w:r>
    </w:p>
    <w:p w14:paraId="3975A0A5" w14:textId="77777777" w:rsidR="00BE1539" w:rsidRDefault="007C0E3E">
      <w:pPr>
        <w:spacing w:after="180"/>
        <w:jc w:val="both"/>
      </w:pPr>
      <w:r>
        <w:t>The K-Modes analysis produced four demographic clusters, each profiled by age distribution, gender composition, education level, ethnicity, disability status and NS-SEC, and each analysed for its geographic distribution across all 32 boroughs (borough-wise cluster counts and percentages). Cluster membership was then appended to the dataset as an additional categorical predictor for the classification stage below.</w:t>
      </w:r>
    </w:p>
    <w:p w14:paraId="70A0B5BA" w14:textId="77777777" w:rsidR="00BE1539" w:rsidRDefault="007C0E3E">
      <w:pPr>
        <w:pStyle w:val="Heading3"/>
      </w:pPr>
      <w:r>
        <w:lastRenderedPageBreak/>
        <w:t>3.8.2 Prediction</w:t>
      </w:r>
    </w:p>
    <w:p w14:paraId="60688DF7" w14:textId="77777777" w:rsidR="00BE1539" w:rsidRDefault="007C0E3E">
      <w:pPr>
        <w:spacing w:after="180"/>
        <w:jc w:val="both"/>
      </w:pPr>
      <w:r>
        <w:t xml:space="preserve">The second stage predicted three-band </w:t>
      </w:r>
      <w:proofErr w:type="spellStart"/>
      <w:r>
        <w:t>Activity_Level</w:t>
      </w:r>
      <w:proofErr w:type="spellEnd"/>
      <w:r>
        <w:t xml:space="preserve"> from age, gender, ethnicity, education, NS-SEC, disability, borough and cluster membership, with the cluster feature included specifically to test whether demographic segmentation adds predictive information beyond the raw demographic variables themselves. Four supervised classifiers were compared: Logistic Regression, Decision Tree, Random Forest and Gradient Boosting. Because the target is class-imbalanced (Table 3.4 shows the Fairly Active band at only 11.1% of respondents), Macro F1 — whi</w:t>
      </w:r>
      <w:r>
        <w:t>ch weights all three classes equally — was adopted as the primary evaluation metric rather than raw accuracy, which can be dominated by performance on the majority classes alone.</w:t>
      </w:r>
    </w:p>
    <w:p w14:paraId="261B1E10" w14:textId="77777777" w:rsidR="00BE1539" w:rsidRDefault="007C0E3E">
      <w:pPr>
        <w:pStyle w:val="Heading2"/>
      </w:pPr>
      <w:r>
        <w:t>3.9 Bayesian Ordinal Hierarchical Model</w:t>
      </w:r>
    </w:p>
    <w:p w14:paraId="795D23C6" w14:textId="77777777" w:rsidR="00BE1539" w:rsidRDefault="007C0E3E">
      <w:pPr>
        <w:spacing w:after="180"/>
        <w:jc w:val="both"/>
      </w:pPr>
      <w:r>
        <w:t xml:space="preserve">A Bayesian Hierarchical Ordinal Logistic Regression model was developed to model physical activity participation across London boroughs. This approach was selected because the target variable, </w:t>
      </w:r>
      <w:proofErr w:type="spellStart"/>
      <w:r>
        <w:t>Activity_Level</w:t>
      </w:r>
      <w:proofErr w:type="spellEnd"/>
      <w:r>
        <w:t xml:space="preserve">, is naturally ordinal, consisting of three ordered categories (Inactive, </w:t>
      </w:r>
      <w:proofErr w:type="gramStart"/>
      <w:r>
        <w:t>Fairly Active</w:t>
      </w:r>
      <w:proofErr w:type="gramEnd"/>
      <w:r>
        <w:t>, Active); an ordinal regression explicitly respects this ordering, rather than treating the categories as independent as a standard multinomial classifier would.</w:t>
      </w:r>
    </w:p>
    <w:p w14:paraId="05326C94" w14:textId="77777777" w:rsidR="00BE1539" w:rsidRDefault="007C0E3E">
      <w:pPr>
        <w:spacing w:after="180"/>
        <w:jc w:val="both"/>
      </w:pPr>
      <w:r>
        <w:t>A hierarchical Bayesian framework was adopted to capture both individual-level demographic characteristics and geographical variation across London simultaneously. Individuals living in the same borough are likely to share environmental, social and infrastructural characteristics that influence physical activity behaviour; ignoring this structure would violate the assumption of independent observations and risk biased parameter estimates. Borough was therefore modelled as a random effect, giving each boroug</w:t>
      </w:r>
      <w:r>
        <w:t>h its own intercept while sharing information across all boroughs through partial pooling. This reduces overfitting and produces more stable estimates, particularly for boroughs with comparatively few observations.</w:t>
      </w:r>
    </w:p>
    <w:p w14:paraId="7A7C10CD" w14:textId="77777777" w:rsidR="00BE1539" w:rsidRDefault="007C0E3E">
      <w:pPr>
        <w:spacing w:after="180"/>
        <w:jc w:val="both"/>
      </w:pPr>
      <w:r>
        <w:t xml:space="preserve">The response variable, </w:t>
      </w:r>
      <w:proofErr w:type="spellStart"/>
      <w:r>
        <w:t>Activity_Level</w:t>
      </w:r>
      <w:proofErr w:type="spellEnd"/>
      <w:r>
        <w:t>, was derived from MEMS7_ALL following the same thresholds as Table 3.4. Fixed effects included age group, gender, ethnicity, disability status, education level and survey year; missing values within these predictors were retained as an explicit ‘Missing’ category rather than removed, preserving the maximum available information (consistent with the non-disclosure handling described in Section 3.3.3).</w:t>
      </w:r>
    </w:p>
    <w:p w14:paraId="049D7AAB" w14:textId="77777777" w:rsidR="00BE1539" w:rsidRDefault="007C0E3E">
      <w:pPr>
        <w:spacing w:after="180"/>
        <w:jc w:val="both"/>
      </w:pPr>
      <w:r>
        <w:t>The hierarchical structure is represented as:</w:t>
      </w:r>
    </w:p>
    <w:p w14:paraId="28779EB5" w14:textId="77777777" w:rsidR="00BE1539" w:rsidRDefault="007C0E3E">
      <w:pPr>
        <w:spacing w:before="120" w:after="120"/>
        <w:jc w:val="center"/>
      </w:pPr>
      <w:r>
        <w:rPr>
          <w:i/>
          <w:iCs/>
          <w:sz w:val="24"/>
          <w:szCs w:val="24"/>
        </w:rPr>
        <w:t>η</w:t>
      </w:r>
      <w:r>
        <w:rPr>
          <w:i/>
          <w:iCs/>
          <w:sz w:val="24"/>
          <w:szCs w:val="24"/>
        </w:rPr>
        <w:t>ᵢ</w:t>
      </w:r>
      <w:r>
        <w:rPr>
          <w:i/>
          <w:iCs/>
          <w:sz w:val="24"/>
          <w:szCs w:val="24"/>
        </w:rPr>
        <w:t xml:space="preserve"> = α + βX</w:t>
      </w:r>
      <w:r>
        <w:rPr>
          <w:i/>
          <w:iCs/>
          <w:sz w:val="24"/>
          <w:szCs w:val="24"/>
        </w:rPr>
        <w:t>ᵢ</w:t>
      </w:r>
      <w:r>
        <w:rPr>
          <w:i/>
          <w:iCs/>
          <w:sz w:val="24"/>
          <w:szCs w:val="24"/>
        </w:rPr>
        <w:t xml:space="preserve"> + </w:t>
      </w:r>
      <w:proofErr w:type="spellStart"/>
      <w:r>
        <w:rPr>
          <w:i/>
          <w:iCs/>
          <w:sz w:val="24"/>
          <w:szCs w:val="24"/>
        </w:rPr>
        <w:t>u_borough</w:t>
      </w:r>
      <w:proofErr w:type="spellEnd"/>
      <w:r>
        <w:rPr>
          <w:i/>
          <w:iCs/>
          <w:sz w:val="24"/>
          <w:szCs w:val="24"/>
        </w:rPr>
        <w:t>(</w:t>
      </w:r>
      <w:proofErr w:type="spellStart"/>
      <w:r>
        <w:rPr>
          <w:i/>
          <w:iCs/>
          <w:sz w:val="24"/>
          <w:szCs w:val="24"/>
        </w:rPr>
        <w:t>i</w:t>
      </w:r>
      <w:proofErr w:type="spellEnd"/>
      <w:r>
        <w:rPr>
          <w:i/>
          <w:iCs/>
          <w:sz w:val="24"/>
          <w:szCs w:val="24"/>
        </w:rPr>
        <w:t>)</w:t>
      </w:r>
    </w:p>
    <w:p w14:paraId="10103C28" w14:textId="77777777" w:rsidR="00BE1539" w:rsidRDefault="007C0E3E">
      <w:pPr>
        <w:spacing w:after="180"/>
        <w:jc w:val="both"/>
      </w:pPr>
      <w:r>
        <w:t>where η</w:t>
      </w:r>
      <w:r>
        <w:t>ᵢ</w:t>
      </w:r>
      <w:r>
        <w:t xml:space="preserve"> is the latent activity propensity for participant </w:t>
      </w:r>
      <w:proofErr w:type="spellStart"/>
      <w:r>
        <w:t>i</w:t>
      </w:r>
      <w:proofErr w:type="spellEnd"/>
      <w:r>
        <w:t>, α is the overall intercept, X</w:t>
      </w:r>
      <w:r>
        <w:t>ᵢ</w:t>
      </w:r>
      <w:r>
        <w:t xml:space="preserve"> is the vector of demographic predictors, β the corresponding regression coefficients, and </w:t>
      </w:r>
      <w:proofErr w:type="spellStart"/>
      <w:r>
        <w:t>u_borough</w:t>
      </w:r>
      <w:proofErr w:type="spellEnd"/>
      <w:r>
        <w:t>(</w:t>
      </w:r>
      <w:proofErr w:type="spellStart"/>
      <w:r>
        <w:t>i</w:t>
      </w:r>
      <w:proofErr w:type="spellEnd"/>
      <w:r>
        <w:t>) the borough-specific random effect. Because the response is ordinal, two threshold (</w:t>
      </w:r>
      <w:proofErr w:type="spellStart"/>
      <w:r>
        <w:t>cutpoint</w:t>
      </w:r>
      <w:proofErr w:type="spellEnd"/>
      <w:r>
        <w:t>) parameters were estimated to partition the underlying continuous latent propensity into the three observed activity bands, rather than predicting the categories directly.</w:t>
      </w:r>
    </w:p>
    <w:p w14:paraId="59E0790F" w14:textId="77777777" w:rsidR="00BE1539" w:rsidRDefault="007C0E3E">
      <w:pPr>
        <w:spacing w:after="180"/>
        <w:jc w:val="both"/>
      </w:pPr>
      <w:r>
        <w:t xml:space="preserve">Bayesian inference was performed in </w:t>
      </w:r>
      <w:proofErr w:type="spellStart"/>
      <w:r>
        <w:t>PyMC</w:t>
      </w:r>
      <w:proofErr w:type="spellEnd"/>
      <w:r>
        <w:t xml:space="preserve">. </w:t>
      </w:r>
      <w:proofErr w:type="gramStart"/>
      <w:r>
        <w:t>Normally-distributed</w:t>
      </w:r>
      <w:proofErr w:type="gramEnd"/>
      <w:r>
        <w:t xml:space="preserve"> priors were assigned to regression coefficients and intercepts, and a Half-Normal prior to the standard deviation of the borough random effects, to ensure a positive variance estimate. Posterior distributions were estimated using the No-U-Turn Sampler (NUTS), an adaptive Hamiltonian Monte Carlo algorithm suited to efficiently exploring high-dimensional posteriors.</w:t>
      </w:r>
    </w:p>
    <w:p w14:paraId="13912CF0" w14:textId="77777777" w:rsidR="00BE1539" w:rsidRDefault="007C0E3E">
      <w:pPr>
        <w:spacing w:after="180"/>
        <w:jc w:val="both"/>
      </w:pPr>
      <w:r>
        <w:t xml:space="preserve">Consistent with the framework's temporal validation principle (Section 3.1), the dataset was split chronologically rather than randomly: survey waves 2015–16 through 2021–22 formed the training data, and the 2022–23 wave was reserved as an independent test set, reflecting the real-world </w:t>
      </w:r>
      <w:r>
        <w:lastRenderedPageBreak/>
        <w:t>forecasting scenario in which historical data must be used to estimate future patterns without leakage from later years.</w:t>
      </w:r>
    </w:p>
    <w:p w14:paraId="4375A9A9" w14:textId="77777777" w:rsidR="00BE1539" w:rsidRDefault="007C0E3E">
      <w:pPr>
        <w:spacing w:after="180"/>
        <w:jc w:val="both"/>
      </w:pPr>
      <w:r>
        <w:t>Model convergence was assessed using standard Bayesian diagnostics: trace plots, the Gelman–Rubin statistic (R-hat), Effective Sample Size (ESS) and divergence diagnostics, reported in Section 4.2.</w:t>
      </w:r>
    </w:p>
    <w:p w14:paraId="13FA9442" w14:textId="77777777" w:rsidR="00BE1539" w:rsidRDefault="007C0E3E">
      <w:pPr>
        <w:pStyle w:val="Heading2"/>
      </w:pPr>
      <w:r>
        <w:t>3.10 Evaluation Metrics</w:t>
      </w:r>
    </w:p>
    <w:p w14:paraId="0F1675FB" w14:textId="77777777" w:rsidR="00BE1539" w:rsidRDefault="007C0E3E">
      <w:pPr>
        <w:spacing w:after="180"/>
        <w:jc w:val="both"/>
      </w:pPr>
      <w:r>
        <w:t>Because the four modelling strands address different questions with different target formulations, a common but adaptable evaluation framework was applied, drawing on the following metrics:</w:t>
      </w:r>
    </w:p>
    <w:p w14:paraId="6BB8D507" w14:textId="77777777" w:rsidR="00BE1539" w:rsidRDefault="007C0E3E">
      <w:pPr>
        <w:pStyle w:val="ListParagraph"/>
        <w:numPr>
          <w:ilvl w:val="0"/>
          <w:numId w:val="1"/>
        </w:numPr>
        <w:spacing w:after="100"/>
      </w:pPr>
      <w:r>
        <w:t xml:space="preserve">Discrimination (AUC) — area under the ROC curve, used for the binary </w:t>
      </w:r>
      <w:proofErr w:type="spellStart"/>
      <w:r>
        <w:t>CatBoost</w:t>
      </w:r>
      <w:proofErr w:type="spellEnd"/>
      <w:r>
        <w:t xml:space="preserve"> driver model (Section 3.6) and, on the top-versus-remaining-bands basis, for the </w:t>
      </w:r>
      <w:proofErr w:type="spellStart"/>
      <w:r>
        <w:t>LightGBM</w:t>
      </w:r>
      <w:proofErr w:type="spellEnd"/>
      <w:r>
        <w:t xml:space="preserve"> and ordinal logistic regression comparison (Section 3.7), with 0.5 representing a no-signal baseline.</w:t>
      </w:r>
    </w:p>
    <w:p w14:paraId="2CD16C40" w14:textId="77777777" w:rsidR="00BE1539" w:rsidRDefault="007C0E3E">
      <w:pPr>
        <w:pStyle w:val="ListParagraph"/>
        <w:numPr>
          <w:ilvl w:val="0"/>
          <w:numId w:val="1"/>
        </w:numPr>
        <w:spacing w:after="100"/>
      </w:pPr>
      <w:r>
        <w:t xml:space="preserve">Weighted classification accuracy — reported for the </w:t>
      </w:r>
      <w:proofErr w:type="spellStart"/>
      <w:r>
        <w:t>LightGBM</w:t>
      </w:r>
      <w:proofErr w:type="spellEnd"/>
      <w:r>
        <w:t>/ordinal logistic comparison and the clustering-stage classifiers, weighted by survey weight so that reported accuracy reflects population-level rather than sample-level performance.</w:t>
      </w:r>
    </w:p>
    <w:p w14:paraId="79328CB8" w14:textId="77777777" w:rsidR="00BE1539" w:rsidRDefault="007C0E3E">
      <w:pPr>
        <w:pStyle w:val="ListParagraph"/>
        <w:numPr>
          <w:ilvl w:val="0"/>
          <w:numId w:val="1"/>
        </w:numPr>
        <w:spacing w:after="100"/>
      </w:pPr>
      <w:r>
        <w:t>Macro F1 — the primary metric for the clustering-stage classifiers (Section 3.8), chosen specifically because it weights the minority Fairly Active class equally with the two larger classes, unlike raw accuracy.</w:t>
      </w:r>
    </w:p>
    <w:p w14:paraId="234D54E6" w14:textId="77777777" w:rsidR="00BE1539" w:rsidRDefault="007C0E3E">
      <w:pPr>
        <w:pStyle w:val="ListParagraph"/>
        <w:numPr>
          <w:ilvl w:val="0"/>
          <w:numId w:val="1"/>
        </w:numPr>
        <w:spacing w:after="100"/>
      </w:pPr>
      <w:r>
        <w:t>Borough-level correlation — the correlation between each borough's predicted and observed activity rate, assessed both on boroughs seen in training and, critically, leave-one-borough-out, to test whether a model generalises to demographic compositions it has not encountered.</w:t>
      </w:r>
    </w:p>
    <w:p w14:paraId="68BEBE50" w14:textId="77777777" w:rsidR="00BE1539" w:rsidRDefault="007C0E3E">
      <w:pPr>
        <w:pStyle w:val="ListParagraph"/>
        <w:numPr>
          <w:ilvl w:val="0"/>
          <w:numId w:val="1"/>
        </w:numPr>
        <w:spacing w:after="100"/>
      </w:pPr>
      <w:r>
        <w:t>Bayesian convergence diagnostics — the Gelman–Rubin statistic (R-hat, target ≈ 1.0), Effective Sample Size (ESS), the count of divergent transitions, and visual inspection of MCMC trace plots for chain mixing (Section 3.9).</w:t>
      </w:r>
    </w:p>
    <w:p w14:paraId="7897FD31" w14:textId="77777777" w:rsidR="00BE1539" w:rsidRDefault="007C0E3E">
      <w:pPr>
        <w:pStyle w:val="ListParagraph"/>
        <w:numPr>
          <w:ilvl w:val="0"/>
          <w:numId w:val="1"/>
        </w:numPr>
        <w:spacing w:after="100"/>
      </w:pPr>
      <w:r>
        <w:t>Calibration / reliability — predicted probability plotted against observed probability of being Active, used to confirm that the probabilities aggregated into borough-level forecasts are themselves honest, not merely well-ranked.</w:t>
      </w:r>
    </w:p>
    <w:p w14:paraId="79D943D9" w14:textId="77777777" w:rsidR="00BE1539" w:rsidRDefault="007C0E3E">
      <w:pPr>
        <w:spacing w:after="180"/>
        <w:jc w:val="both"/>
      </w:pPr>
      <w:r>
        <w:t xml:space="preserve">Two reconciliation checks are applied automatically across the </w:t>
      </w:r>
      <w:proofErr w:type="gramStart"/>
      <w:r>
        <w:t>pipeline as a whole, rather</w:t>
      </w:r>
      <w:proofErr w:type="gramEnd"/>
      <w:r>
        <w:t xml:space="preserve"> than to any single model: the aggregated borough panel must reproduce the individual-level file's weighted totals exactly, and every forecast must begin at the last observed value before any projection is trusted. A run that fails either check is treated as invalid rather than silently accepted.</w:t>
      </w:r>
    </w:p>
    <w:p w14:paraId="1F0CD033" w14:textId="77777777" w:rsidR="00BE1539" w:rsidRDefault="007C0E3E">
      <w:pPr>
        <w:pStyle w:val="Heading1"/>
        <w:pageBreakBefore/>
      </w:pPr>
      <w:r>
        <w:lastRenderedPageBreak/>
        <w:t>Chapter 4: Results and Critical Evaluation</w:t>
      </w:r>
    </w:p>
    <w:p w14:paraId="499BEB73" w14:textId="77777777" w:rsidR="00BE1539" w:rsidRDefault="007C0E3E">
      <w:pPr>
        <w:spacing w:after="180"/>
        <w:jc w:val="both"/>
      </w:pPr>
      <w:r>
        <w:t>This chapter reports the results obtained from the four modelling strands introduced in Chapter 3, compares them on a common basis, and critically evaluates the modelling choices made across the project. Several results were not finalised at the time of writing; these are marked explicitly and will be completed once the corresponding notebook outputs are available.</w:t>
      </w:r>
    </w:p>
    <w:p w14:paraId="7DA47A15" w14:textId="77777777" w:rsidR="00BE1539" w:rsidRDefault="007C0E3E">
      <w:pPr>
        <w:pStyle w:val="Heading2"/>
      </w:pPr>
      <w:r>
        <w:t>4.1 Experimental Setup</w:t>
      </w:r>
    </w:p>
    <w:p w14:paraId="29EC79A2" w14:textId="77777777" w:rsidR="00BE1539" w:rsidRDefault="007C0E3E">
      <w:pPr>
        <w:spacing w:after="180"/>
        <w:jc w:val="both"/>
      </w:pPr>
      <w:r>
        <w:t>All four modelling strands share the temporal (walk-forward) validation design introduced in Section 3.1: models are trained on early survey waves, tuned on an intermediate wave, and tested exclusively on the 2022–23 wave, which is held out from any training or tuning decision. This design was chosen deliberately over a random train/test split, since a random split would allow future survey information to leak into training and would overstate the accuracy achievable in a genuine forecasting setting.</w:t>
      </w:r>
    </w:p>
    <w:p w14:paraId="7002F505" w14:textId="77777777" w:rsidR="00BE1539" w:rsidRDefault="007C0E3E">
      <w:pPr>
        <w:spacing w:after="240"/>
        <w:jc w:val="center"/>
      </w:pPr>
      <w:r>
        <w:rPr>
          <w:i/>
          <w:iCs/>
          <w:color w:val="808080"/>
          <w:sz w:val="20"/>
          <w:szCs w:val="20"/>
        </w:rPr>
        <w:t>Table 4.1. Software and computational environment by modelling strand.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200"/>
      </w:tblGrid>
      <w:tr w:rsidR="00BE1539" w14:paraId="09D1421B"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3C7EB15C" w14:textId="77777777" w:rsidR="00BE1539" w:rsidRDefault="007C0E3E">
            <w:r>
              <w:rPr>
                <w:b/>
                <w:bCs/>
                <w:color w:val="FFFFFF"/>
                <w:sz w:val="20"/>
                <w:szCs w:val="20"/>
              </w:rPr>
              <w:t>Strand</w:t>
            </w:r>
          </w:p>
        </w:tc>
        <w:tc>
          <w:tcPr>
            <w:tcW w:w="2600" w:type="dxa"/>
            <w:shd w:val="clear" w:color="auto" w:fill="1F3864"/>
            <w:tcMar>
              <w:top w:w="80" w:type="dxa"/>
              <w:left w:w="100" w:type="dxa"/>
              <w:bottom w:w="80" w:type="dxa"/>
              <w:right w:w="100" w:type="dxa"/>
            </w:tcMar>
          </w:tcPr>
          <w:p w14:paraId="6366E9AA" w14:textId="77777777" w:rsidR="00BE1539" w:rsidRDefault="007C0E3E">
            <w:r>
              <w:rPr>
                <w:b/>
                <w:bCs/>
                <w:color w:val="FFFFFF"/>
                <w:sz w:val="20"/>
                <w:szCs w:val="20"/>
              </w:rPr>
              <w:t>Library / Framework</w:t>
            </w:r>
          </w:p>
        </w:tc>
        <w:tc>
          <w:tcPr>
            <w:tcW w:w="3200" w:type="dxa"/>
            <w:shd w:val="clear" w:color="auto" w:fill="1F3864"/>
            <w:tcMar>
              <w:top w:w="80" w:type="dxa"/>
              <w:left w:w="100" w:type="dxa"/>
              <w:bottom w:w="80" w:type="dxa"/>
              <w:right w:w="100" w:type="dxa"/>
            </w:tcMar>
          </w:tcPr>
          <w:p w14:paraId="7E1F1764" w14:textId="77777777" w:rsidR="00BE1539" w:rsidRDefault="007C0E3E">
            <w:r>
              <w:rPr>
                <w:b/>
                <w:bCs/>
                <w:color w:val="FFFFFF"/>
                <w:sz w:val="20"/>
                <w:szCs w:val="20"/>
              </w:rPr>
              <w:t>Notes</w:t>
            </w:r>
          </w:p>
        </w:tc>
      </w:tr>
      <w:tr w:rsidR="00BE1539" w14:paraId="6F103166" w14:textId="77777777">
        <w:tblPrEx>
          <w:tblCellMar>
            <w:top w:w="0" w:type="dxa"/>
            <w:bottom w:w="0" w:type="dxa"/>
          </w:tblCellMar>
        </w:tblPrEx>
        <w:tc>
          <w:tcPr>
            <w:tcW w:w="2600" w:type="dxa"/>
            <w:tcMar>
              <w:top w:w="80" w:type="dxa"/>
              <w:left w:w="100" w:type="dxa"/>
              <w:bottom w:w="80" w:type="dxa"/>
              <w:right w:w="100" w:type="dxa"/>
            </w:tcMar>
          </w:tcPr>
          <w:p w14:paraId="3BE1B324" w14:textId="77777777" w:rsidR="00BE1539" w:rsidRDefault="007C0E3E">
            <w:proofErr w:type="spellStart"/>
            <w:r>
              <w:rPr>
                <w:color w:val="000000"/>
                <w:sz w:val="20"/>
                <w:szCs w:val="20"/>
              </w:rPr>
              <w:t>CatBoost</w:t>
            </w:r>
            <w:proofErr w:type="spellEnd"/>
            <w:r>
              <w:rPr>
                <w:color w:val="000000"/>
                <w:sz w:val="20"/>
                <w:szCs w:val="20"/>
              </w:rPr>
              <w:t xml:space="preserve"> + SHAP</w:t>
            </w:r>
          </w:p>
        </w:tc>
        <w:tc>
          <w:tcPr>
            <w:tcW w:w="2600" w:type="dxa"/>
            <w:tcMar>
              <w:top w:w="80" w:type="dxa"/>
              <w:left w:w="100" w:type="dxa"/>
              <w:bottom w:w="80" w:type="dxa"/>
              <w:right w:w="100" w:type="dxa"/>
            </w:tcMar>
          </w:tcPr>
          <w:p w14:paraId="5CA241CB" w14:textId="77777777" w:rsidR="00BE1539" w:rsidRDefault="007C0E3E">
            <w:proofErr w:type="spellStart"/>
            <w:r>
              <w:rPr>
                <w:color w:val="000000"/>
                <w:sz w:val="20"/>
                <w:szCs w:val="20"/>
              </w:rPr>
              <w:t>CatBoost</w:t>
            </w:r>
            <w:proofErr w:type="spellEnd"/>
            <w:r>
              <w:rPr>
                <w:color w:val="000000"/>
                <w:sz w:val="20"/>
                <w:szCs w:val="20"/>
              </w:rPr>
              <w:t>, SHAP (Python)</w:t>
            </w:r>
          </w:p>
        </w:tc>
        <w:tc>
          <w:tcPr>
            <w:tcW w:w="3200" w:type="dxa"/>
            <w:tcMar>
              <w:top w:w="80" w:type="dxa"/>
              <w:left w:w="100" w:type="dxa"/>
              <w:bottom w:w="80" w:type="dxa"/>
              <w:right w:w="100" w:type="dxa"/>
            </w:tcMar>
          </w:tcPr>
          <w:p w14:paraId="57C30128" w14:textId="77777777" w:rsidR="00BE1539" w:rsidRDefault="007C0E3E">
            <w:r>
              <w:rPr>
                <w:color w:val="000000"/>
                <w:sz w:val="20"/>
                <w:szCs w:val="20"/>
              </w:rPr>
              <w:t>Native categorical handling; sample-weighted</w:t>
            </w:r>
          </w:p>
        </w:tc>
      </w:tr>
      <w:tr w:rsidR="00BE1539" w14:paraId="2462ED9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B43F609" w14:textId="77777777" w:rsidR="00BE1539" w:rsidRDefault="007C0E3E">
            <w:r>
              <w:rPr>
                <w:color w:val="000000"/>
                <w:sz w:val="20"/>
                <w:szCs w:val="20"/>
              </w:rPr>
              <w:t xml:space="preserve">Ordinal logistic regression / </w:t>
            </w:r>
            <w:proofErr w:type="spellStart"/>
            <w:r>
              <w:rPr>
                <w:color w:val="000000"/>
                <w:sz w:val="20"/>
                <w:szCs w:val="20"/>
              </w:rPr>
              <w:t>LightGBM</w:t>
            </w:r>
            <w:proofErr w:type="spellEnd"/>
          </w:p>
        </w:tc>
        <w:tc>
          <w:tcPr>
            <w:tcW w:w="2600" w:type="dxa"/>
            <w:shd w:val="clear" w:color="auto" w:fill="F2F2F2"/>
            <w:tcMar>
              <w:top w:w="80" w:type="dxa"/>
              <w:left w:w="100" w:type="dxa"/>
              <w:bottom w:w="80" w:type="dxa"/>
              <w:right w:w="100" w:type="dxa"/>
            </w:tcMar>
          </w:tcPr>
          <w:p w14:paraId="5942AB55" w14:textId="77777777" w:rsidR="00BE1539" w:rsidRDefault="007C0E3E">
            <w:proofErr w:type="spellStart"/>
            <w:r>
              <w:rPr>
                <w:color w:val="000000"/>
                <w:sz w:val="20"/>
                <w:szCs w:val="20"/>
              </w:rPr>
              <w:t>statsmodels</w:t>
            </w:r>
            <w:proofErr w:type="spellEnd"/>
            <w:r>
              <w:rPr>
                <w:color w:val="000000"/>
                <w:sz w:val="20"/>
                <w:szCs w:val="20"/>
              </w:rPr>
              <w:t xml:space="preserve"> / </w:t>
            </w:r>
            <w:proofErr w:type="spellStart"/>
            <w:r>
              <w:rPr>
                <w:color w:val="000000"/>
                <w:sz w:val="20"/>
                <w:szCs w:val="20"/>
              </w:rPr>
              <w:t>LightGBM</w:t>
            </w:r>
            <w:proofErr w:type="spellEnd"/>
            <w:r>
              <w:rPr>
                <w:color w:val="000000"/>
                <w:sz w:val="20"/>
                <w:szCs w:val="20"/>
              </w:rPr>
              <w:t xml:space="preserve"> (Python)</w:t>
            </w:r>
          </w:p>
        </w:tc>
        <w:tc>
          <w:tcPr>
            <w:tcW w:w="3200" w:type="dxa"/>
            <w:shd w:val="clear" w:color="auto" w:fill="F2F2F2"/>
            <w:tcMar>
              <w:top w:w="80" w:type="dxa"/>
              <w:left w:w="100" w:type="dxa"/>
              <w:bottom w:w="80" w:type="dxa"/>
              <w:right w:w="100" w:type="dxa"/>
            </w:tcMar>
          </w:tcPr>
          <w:p w14:paraId="6DB3C394" w14:textId="77777777" w:rsidR="00BE1539" w:rsidRDefault="007C0E3E">
            <w:r>
              <w:rPr>
                <w:color w:val="000000"/>
                <w:sz w:val="20"/>
                <w:szCs w:val="20"/>
              </w:rPr>
              <w:t>Cumulative-logit specification vs. gradient-boosted trees</w:t>
            </w:r>
          </w:p>
        </w:tc>
      </w:tr>
      <w:tr w:rsidR="00BE1539" w14:paraId="7671113E" w14:textId="77777777">
        <w:tblPrEx>
          <w:tblCellMar>
            <w:top w:w="0" w:type="dxa"/>
            <w:bottom w:w="0" w:type="dxa"/>
          </w:tblCellMar>
        </w:tblPrEx>
        <w:tc>
          <w:tcPr>
            <w:tcW w:w="2600" w:type="dxa"/>
            <w:tcMar>
              <w:top w:w="80" w:type="dxa"/>
              <w:left w:w="100" w:type="dxa"/>
              <w:bottom w:w="80" w:type="dxa"/>
              <w:right w:w="100" w:type="dxa"/>
            </w:tcMar>
          </w:tcPr>
          <w:p w14:paraId="02419832" w14:textId="77777777" w:rsidR="00BE1539" w:rsidRDefault="007C0E3E">
            <w:r>
              <w:rPr>
                <w:color w:val="000000"/>
                <w:sz w:val="20"/>
                <w:szCs w:val="20"/>
              </w:rPr>
              <w:t>K-</w:t>
            </w:r>
            <w:proofErr w:type="gramStart"/>
            <w:r>
              <w:rPr>
                <w:color w:val="000000"/>
                <w:sz w:val="20"/>
                <w:szCs w:val="20"/>
              </w:rPr>
              <w:t>Modes</w:t>
            </w:r>
            <w:proofErr w:type="gramEnd"/>
            <w:r>
              <w:rPr>
                <w:color w:val="000000"/>
                <w:sz w:val="20"/>
                <w:szCs w:val="20"/>
              </w:rPr>
              <w:t xml:space="preserve"> clustering + classifiers</w:t>
            </w:r>
          </w:p>
        </w:tc>
        <w:tc>
          <w:tcPr>
            <w:tcW w:w="2600" w:type="dxa"/>
            <w:tcMar>
              <w:top w:w="80" w:type="dxa"/>
              <w:left w:w="100" w:type="dxa"/>
              <w:bottom w:w="80" w:type="dxa"/>
              <w:right w:w="100" w:type="dxa"/>
            </w:tcMar>
          </w:tcPr>
          <w:p w14:paraId="29785D94" w14:textId="77777777" w:rsidR="00BE1539" w:rsidRDefault="007C0E3E">
            <w:proofErr w:type="spellStart"/>
            <w:r>
              <w:rPr>
                <w:color w:val="000000"/>
                <w:sz w:val="20"/>
                <w:szCs w:val="20"/>
              </w:rPr>
              <w:t>kmodes</w:t>
            </w:r>
            <w:proofErr w:type="spellEnd"/>
            <w:r>
              <w:rPr>
                <w:color w:val="000000"/>
                <w:sz w:val="20"/>
                <w:szCs w:val="20"/>
              </w:rPr>
              <w:t>, scikit-learn (Python)</w:t>
            </w:r>
          </w:p>
        </w:tc>
        <w:tc>
          <w:tcPr>
            <w:tcW w:w="3200" w:type="dxa"/>
            <w:tcMar>
              <w:top w:w="80" w:type="dxa"/>
              <w:left w:w="100" w:type="dxa"/>
              <w:bottom w:w="80" w:type="dxa"/>
              <w:right w:w="100" w:type="dxa"/>
            </w:tcMar>
          </w:tcPr>
          <w:p w14:paraId="09AABF14" w14:textId="77777777" w:rsidR="00BE1539" w:rsidRDefault="007C0E3E">
            <w:r>
              <w:rPr>
                <w:color w:val="000000"/>
                <w:sz w:val="20"/>
                <w:szCs w:val="20"/>
              </w:rPr>
              <w:t>Logistic Regression, Decision Tree, Random Forest, Gradient Boosting compared</w:t>
            </w:r>
          </w:p>
        </w:tc>
      </w:tr>
      <w:tr w:rsidR="00BE1539" w14:paraId="0800DA7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AAF7374" w14:textId="77777777" w:rsidR="00BE1539" w:rsidRDefault="007C0E3E">
            <w:r>
              <w:rPr>
                <w:color w:val="000000"/>
                <w:sz w:val="20"/>
                <w:szCs w:val="20"/>
              </w:rPr>
              <w:t>Bayesian Hierarchical Ordinal Model</w:t>
            </w:r>
          </w:p>
        </w:tc>
        <w:tc>
          <w:tcPr>
            <w:tcW w:w="2600" w:type="dxa"/>
            <w:shd w:val="clear" w:color="auto" w:fill="F2F2F2"/>
            <w:tcMar>
              <w:top w:w="80" w:type="dxa"/>
              <w:left w:w="100" w:type="dxa"/>
              <w:bottom w:w="80" w:type="dxa"/>
              <w:right w:w="100" w:type="dxa"/>
            </w:tcMar>
          </w:tcPr>
          <w:p w14:paraId="67ED13C3" w14:textId="77777777" w:rsidR="00BE1539" w:rsidRDefault="007C0E3E">
            <w:proofErr w:type="spellStart"/>
            <w:r>
              <w:rPr>
                <w:color w:val="000000"/>
                <w:sz w:val="20"/>
                <w:szCs w:val="20"/>
              </w:rPr>
              <w:t>PyMC</w:t>
            </w:r>
            <w:proofErr w:type="spellEnd"/>
            <w:r>
              <w:rPr>
                <w:color w:val="000000"/>
                <w:sz w:val="20"/>
                <w:szCs w:val="20"/>
              </w:rPr>
              <w:t xml:space="preserve"> (NUTS sampler)</w:t>
            </w:r>
          </w:p>
        </w:tc>
        <w:tc>
          <w:tcPr>
            <w:tcW w:w="3200" w:type="dxa"/>
            <w:shd w:val="clear" w:color="auto" w:fill="F2F2F2"/>
            <w:tcMar>
              <w:top w:w="80" w:type="dxa"/>
              <w:left w:w="100" w:type="dxa"/>
              <w:bottom w:w="80" w:type="dxa"/>
              <w:right w:w="100" w:type="dxa"/>
            </w:tcMar>
          </w:tcPr>
          <w:p w14:paraId="0D1C0BE4" w14:textId="77777777" w:rsidR="00BE1539" w:rsidRDefault="007C0E3E">
            <w:r>
              <w:rPr>
                <w:color w:val="000000"/>
                <w:sz w:val="20"/>
                <w:szCs w:val="20"/>
              </w:rPr>
              <w:t>~96 minutes training time on available hardware</w:t>
            </w:r>
          </w:p>
        </w:tc>
      </w:tr>
    </w:tbl>
    <w:p w14:paraId="23C98FED" w14:textId="77777777" w:rsidR="00BE1539" w:rsidRDefault="00BE1539">
      <w:pPr>
        <w:spacing w:after="240"/>
      </w:pPr>
    </w:p>
    <w:p w14:paraId="06A32D46" w14:textId="77777777" w:rsidR="00BE1539" w:rsidRDefault="007C0E3E">
      <w:pPr>
        <w:spacing w:after="180"/>
        <w:jc w:val="both"/>
      </w:pPr>
      <w:r>
        <w:t>Table 4.2 maps each modelling strand to the pillar(s) of the London Sport brief it primarily addresses, since the four strands were not designed as directly competing alternatives but as complementary components of the overall forecasting framework (Section 3.5).</w:t>
      </w:r>
    </w:p>
    <w:p w14:paraId="3D0C966B" w14:textId="77777777" w:rsidR="00BE1539" w:rsidRDefault="007C0E3E">
      <w:pPr>
        <w:spacing w:after="240"/>
        <w:jc w:val="center"/>
      </w:pPr>
      <w:r>
        <w:rPr>
          <w:i/>
          <w:iCs/>
          <w:color w:val="808080"/>
          <w:sz w:val="20"/>
          <w:szCs w:val="20"/>
        </w:rPr>
        <w:t>Table 4.2. Modelling strand to pillar mapping.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800"/>
      </w:tblGrid>
      <w:tr w:rsidR="00BE1539" w14:paraId="04297EFF"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26F3655C" w14:textId="77777777" w:rsidR="00BE1539" w:rsidRDefault="007C0E3E">
            <w:r>
              <w:rPr>
                <w:b/>
                <w:bCs/>
                <w:color w:val="FFFFFF"/>
                <w:sz w:val="20"/>
                <w:szCs w:val="20"/>
              </w:rPr>
              <w:t>Pillar</w:t>
            </w:r>
          </w:p>
        </w:tc>
        <w:tc>
          <w:tcPr>
            <w:tcW w:w="5800" w:type="dxa"/>
            <w:shd w:val="clear" w:color="auto" w:fill="1F3864"/>
            <w:tcMar>
              <w:top w:w="80" w:type="dxa"/>
              <w:left w:w="100" w:type="dxa"/>
              <w:bottom w:w="80" w:type="dxa"/>
              <w:right w:w="100" w:type="dxa"/>
            </w:tcMar>
          </w:tcPr>
          <w:p w14:paraId="62842FC5" w14:textId="77777777" w:rsidR="00BE1539" w:rsidRDefault="007C0E3E">
            <w:r>
              <w:rPr>
                <w:b/>
                <w:bCs/>
                <w:color w:val="FFFFFF"/>
                <w:sz w:val="20"/>
                <w:szCs w:val="20"/>
              </w:rPr>
              <w:t>Primary Model(s)</w:t>
            </w:r>
          </w:p>
        </w:tc>
      </w:tr>
      <w:tr w:rsidR="00BE1539" w14:paraId="222A59B3" w14:textId="77777777">
        <w:tblPrEx>
          <w:tblCellMar>
            <w:top w:w="0" w:type="dxa"/>
            <w:bottom w:w="0" w:type="dxa"/>
          </w:tblCellMar>
        </w:tblPrEx>
        <w:tc>
          <w:tcPr>
            <w:tcW w:w="2600" w:type="dxa"/>
            <w:tcMar>
              <w:top w:w="80" w:type="dxa"/>
              <w:left w:w="100" w:type="dxa"/>
              <w:bottom w:w="80" w:type="dxa"/>
              <w:right w:w="100" w:type="dxa"/>
            </w:tcMar>
          </w:tcPr>
          <w:p w14:paraId="46F9BBBA" w14:textId="77777777" w:rsidR="00BE1539" w:rsidRDefault="007C0E3E">
            <w:r>
              <w:rPr>
                <w:color w:val="000000"/>
                <w:sz w:val="20"/>
                <w:szCs w:val="20"/>
              </w:rPr>
              <w:t>P1 — Overall participation</w:t>
            </w:r>
          </w:p>
        </w:tc>
        <w:tc>
          <w:tcPr>
            <w:tcW w:w="5800" w:type="dxa"/>
            <w:tcMar>
              <w:top w:w="80" w:type="dxa"/>
              <w:left w:w="100" w:type="dxa"/>
              <w:bottom w:w="80" w:type="dxa"/>
              <w:right w:w="100" w:type="dxa"/>
            </w:tcMar>
          </w:tcPr>
          <w:p w14:paraId="75A3A629" w14:textId="77777777" w:rsidR="00BE1539" w:rsidRDefault="007C0E3E">
            <w:r>
              <w:rPr>
                <w:color w:val="000000"/>
                <w:sz w:val="20"/>
                <w:szCs w:val="20"/>
              </w:rPr>
              <w:t xml:space="preserve">Ordinal logistic regression / </w:t>
            </w:r>
            <w:proofErr w:type="spellStart"/>
            <w:r>
              <w:rPr>
                <w:color w:val="000000"/>
                <w:sz w:val="20"/>
                <w:szCs w:val="20"/>
              </w:rPr>
              <w:t>LightGBM</w:t>
            </w:r>
            <w:proofErr w:type="spellEnd"/>
            <w:r>
              <w:rPr>
                <w:color w:val="000000"/>
                <w:sz w:val="20"/>
                <w:szCs w:val="20"/>
              </w:rPr>
              <w:t xml:space="preserve"> (borough forecasting engine); </w:t>
            </w:r>
            <w:proofErr w:type="spellStart"/>
            <w:r>
              <w:rPr>
                <w:color w:val="000000"/>
                <w:sz w:val="20"/>
                <w:szCs w:val="20"/>
              </w:rPr>
              <w:t>CatBoost</w:t>
            </w:r>
            <w:proofErr w:type="spellEnd"/>
            <w:r>
              <w:rPr>
                <w:color w:val="000000"/>
                <w:sz w:val="20"/>
                <w:szCs w:val="20"/>
              </w:rPr>
              <w:t xml:space="preserve"> + SHAP (driver interpretation)</w:t>
            </w:r>
          </w:p>
        </w:tc>
      </w:tr>
      <w:tr w:rsidR="00BE1539" w14:paraId="5679CE5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DBFE398" w14:textId="77777777" w:rsidR="00BE1539" w:rsidRDefault="007C0E3E">
            <w:r>
              <w:rPr>
                <w:color w:val="000000"/>
                <w:sz w:val="20"/>
                <w:szCs w:val="20"/>
              </w:rPr>
              <w:t>P2 — Demographic insights</w:t>
            </w:r>
          </w:p>
        </w:tc>
        <w:tc>
          <w:tcPr>
            <w:tcW w:w="5800" w:type="dxa"/>
            <w:shd w:val="clear" w:color="auto" w:fill="F2F2F2"/>
            <w:tcMar>
              <w:top w:w="80" w:type="dxa"/>
              <w:left w:w="100" w:type="dxa"/>
              <w:bottom w:w="80" w:type="dxa"/>
              <w:right w:w="100" w:type="dxa"/>
            </w:tcMar>
          </w:tcPr>
          <w:p w14:paraId="558B2791" w14:textId="77777777" w:rsidR="00BE1539" w:rsidRDefault="007C0E3E">
            <w:r>
              <w:rPr>
                <w:color w:val="000000"/>
                <w:sz w:val="20"/>
                <w:szCs w:val="20"/>
              </w:rPr>
              <w:t>Bayesian Hierarchical Ordinal Model; K-</w:t>
            </w:r>
            <w:proofErr w:type="gramStart"/>
            <w:r>
              <w:rPr>
                <w:color w:val="000000"/>
                <w:sz w:val="20"/>
                <w:szCs w:val="20"/>
              </w:rPr>
              <w:t>Modes</w:t>
            </w:r>
            <w:proofErr w:type="gramEnd"/>
            <w:r>
              <w:rPr>
                <w:color w:val="000000"/>
                <w:sz w:val="20"/>
                <w:szCs w:val="20"/>
              </w:rPr>
              <w:t xml:space="preserve"> clustering + Random Forest; </w:t>
            </w:r>
            <w:proofErr w:type="spellStart"/>
            <w:r>
              <w:rPr>
                <w:color w:val="000000"/>
                <w:sz w:val="20"/>
                <w:szCs w:val="20"/>
              </w:rPr>
              <w:t>CatBoost</w:t>
            </w:r>
            <w:proofErr w:type="spellEnd"/>
            <w:r>
              <w:rPr>
                <w:color w:val="000000"/>
                <w:sz w:val="20"/>
                <w:szCs w:val="20"/>
              </w:rPr>
              <w:t xml:space="preserve"> + SHAP</w:t>
            </w:r>
          </w:p>
        </w:tc>
      </w:tr>
      <w:tr w:rsidR="00BE1539" w14:paraId="3AFF2154" w14:textId="77777777">
        <w:tblPrEx>
          <w:tblCellMar>
            <w:top w:w="0" w:type="dxa"/>
            <w:bottom w:w="0" w:type="dxa"/>
          </w:tblCellMar>
        </w:tblPrEx>
        <w:tc>
          <w:tcPr>
            <w:tcW w:w="2600" w:type="dxa"/>
            <w:tcMar>
              <w:top w:w="80" w:type="dxa"/>
              <w:left w:w="100" w:type="dxa"/>
              <w:bottom w:w="80" w:type="dxa"/>
              <w:right w:w="100" w:type="dxa"/>
            </w:tcMar>
          </w:tcPr>
          <w:p w14:paraId="19EE2305" w14:textId="77777777" w:rsidR="00BE1539" w:rsidRDefault="007C0E3E">
            <w:r>
              <w:rPr>
                <w:color w:val="000000"/>
                <w:sz w:val="20"/>
                <w:szCs w:val="20"/>
              </w:rPr>
              <w:t>P3 — Indoor vs. outdoor</w:t>
            </w:r>
          </w:p>
        </w:tc>
        <w:tc>
          <w:tcPr>
            <w:tcW w:w="5800" w:type="dxa"/>
            <w:tcMar>
              <w:top w:w="80" w:type="dxa"/>
              <w:left w:w="100" w:type="dxa"/>
              <w:bottom w:w="80" w:type="dxa"/>
              <w:right w:w="100" w:type="dxa"/>
            </w:tcMar>
          </w:tcPr>
          <w:p w14:paraId="5FC245DD" w14:textId="77777777" w:rsidR="00BE1539" w:rsidRDefault="007C0E3E">
            <w:r>
              <w:rPr>
                <w:color w:val="000000"/>
                <w:sz w:val="20"/>
                <w:szCs w:val="20"/>
              </w:rPr>
              <w:t>Extension of the propensity model within the forecasting engine (descriptive, subsample-based)</w:t>
            </w:r>
          </w:p>
        </w:tc>
      </w:tr>
      <w:tr w:rsidR="00BE1539" w14:paraId="6AF29AB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8AE5886" w14:textId="77777777" w:rsidR="00BE1539" w:rsidRDefault="007C0E3E">
            <w:r>
              <w:rPr>
                <w:color w:val="000000"/>
                <w:sz w:val="20"/>
                <w:szCs w:val="20"/>
              </w:rPr>
              <w:t>P4 — Volunteering</w:t>
            </w:r>
          </w:p>
        </w:tc>
        <w:tc>
          <w:tcPr>
            <w:tcW w:w="5800" w:type="dxa"/>
            <w:shd w:val="clear" w:color="auto" w:fill="F2F2F2"/>
            <w:tcMar>
              <w:top w:w="80" w:type="dxa"/>
              <w:left w:w="100" w:type="dxa"/>
              <w:bottom w:w="80" w:type="dxa"/>
              <w:right w:w="100" w:type="dxa"/>
            </w:tcMar>
          </w:tcPr>
          <w:p w14:paraId="0386F1B0" w14:textId="77777777" w:rsidR="00BE1539" w:rsidRDefault="007C0E3E">
            <w:r>
              <w:rPr>
                <w:color w:val="000000"/>
                <w:sz w:val="20"/>
                <w:szCs w:val="20"/>
              </w:rPr>
              <w:t>Descriptive analysis only; borough-level forecasting not currently supportable (Section 4.5)</w:t>
            </w:r>
          </w:p>
        </w:tc>
      </w:tr>
    </w:tbl>
    <w:p w14:paraId="78265E01" w14:textId="77777777" w:rsidR="00BE1539" w:rsidRDefault="00BE1539">
      <w:pPr>
        <w:spacing w:after="240"/>
      </w:pPr>
    </w:p>
    <w:p w14:paraId="72F1528F" w14:textId="77777777" w:rsidR="00BE1539" w:rsidRDefault="007C0E3E">
      <w:pPr>
        <w:pStyle w:val="Heading2"/>
      </w:pPr>
      <w:r>
        <w:t>4.2 Results</w:t>
      </w:r>
    </w:p>
    <w:p w14:paraId="2EF91E14" w14:textId="77777777" w:rsidR="00BE1539" w:rsidRDefault="007C0E3E">
      <w:pPr>
        <w:pStyle w:val="Heading3"/>
      </w:pPr>
      <w:proofErr w:type="spellStart"/>
      <w:r>
        <w:lastRenderedPageBreak/>
        <w:t>CatBoost</w:t>
      </w:r>
      <w:proofErr w:type="spellEnd"/>
      <w:r>
        <w:t xml:space="preserve"> + SHAP results</w:t>
      </w:r>
    </w:p>
    <w:p w14:paraId="2603AEEC" w14:textId="77777777" w:rsidR="00BE1539" w:rsidRDefault="007C0E3E">
      <w:pPr>
        <w:spacing w:after="180"/>
        <w:jc w:val="both"/>
      </w:pPr>
      <w:r>
        <w:t xml:space="preserve">On the held-out 2022–23 wave, the </w:t>
      </w:r>
      <w:proofErr w:type="spellStart"/>
      <w:r>
        <w:t>CatBoost</w:t>
      </w:r>
      <w:proofErr w:type="spellEnd"/>
      <w:r>
        <w:t xml:space="preserve"> driver model achieved an AUC of 0.708 against a 0.500 no-signal baseline.</w:t>
      </w:r>
    </w:p>
    <w:p w14:paraId="765A5C69" w14:textId="77777777" w:rsidR="00BE1539" w:rsidRDefault="007C0E3E">
      <w:pPr>
        <w:spacing w:after="240"/>
        <w:jc w:val="center"/>
      </w:pPr>
      <w:r>
        <w:rPr>
          <w:i/>
          <w:iCs/>
          <w:color w:val="808080"/>
          <w:sz w:val="20"/>
          <w:szCs w:val="20"/>
        </w:rPr>
        <w:t xml:space="preserve">Table 4.3. </w:t>
      </w:r>
      <w:proofErr w:type="spellStart"/>
      <w:r>
        <w:rPr>
          <w:i/>
          <w:iCs/>
          <w:color w:val="808080"/>
          <w:sz w:val="20"/>
          <w:szCs w:val="20"/>
        </w:rPr>
        <w:t>CatBoost</w:t>
      </w:r>
      <w:proofErr w:type="spellEnd"/>
      <w:r>
        <w:rPr>
          <w:i/>
          <w:iCs/>
          <w:color w:val="808080"/>
          <w:sz w:val="20"/>
          <w:szCs w:val="20"/>
        </w:rPr>
        <w:t xml:space="preserve"> driver model, held-out wave performance.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400"/>
      </w:tblGrid>
      <w:tr w:rsidR="00BE1539" w14:paraId="0C7458E9" w14:textId="77777777">
        <w:tblPrEx>
          <w:tblCellMar>
            <w:top w:w="0" w:type="dxa"/>
            <w:bottom w:w="0" w:type="dxa"/>
          </w:tblCellMar>
        </w:tblPrEx>
        <w:tc>
          <w:tcPr>
            <w:tcW w:w="4000" w:type="dxa"/>
            <w:shd w:val="clear" w:color="auto" w:fill="1F3864"/>
            <w:tcMar>
              <w:top w:w="80" w:type="dxa"/>
              <w:left w:w="100" w:type="dxa"/>
              <w:bottom w:w="80" w:type="dxa"/>
              <w:right w:w="100" w:type="dxa"/>
            </w:tcMar>
          </w:tcPr>
          <w:p w14:paraId="03982FB2" w14:textId="77777777" w:rsidR="00BE1539" w:rsidRDefault="007C0E3E">
            <w:r>
              <w:rPr>
                <w:b/>
                <w:bCs/>
                <w:color w:val="FFFFFF"/>
                <w:sz w:val="20"/>
                <w:szCs w:val="20"/>
              </w:rPr>
              <w:t>Model</w:t>
            </w:r>
          </w:p>
        </w:tc>
        <w:tc>
          <w:tcPr>
            <w:tcW w:w="4400" w:type="dxa"/>
            <w:shd w:val="clear" w:color="auto" w:fill="1F3864"/>
            <w:tcMar>
              <w:top w:w="80" w:type="dxa"/>
              <w:left w:w="100" w:type="dxa"/>
              <w:bottom w:w="80" w:type="dxa"/>
              <w:right w:w="100" w:type="dxa"/>
            </w:tcMar>
          </w:tcPr>
          <w:p w14:paraId="006A6369" w14:textId="77777777" w:rsidR="00BE1539" w:rsidRDefault="007C0E3E">
            <w:r>
              <w:rPr>
                <w:b/>
                <w:bCs/>
                <w:color w:val="FFFFFF"/>
                <w:sz w:val="20"/>
                <w:szCs w:val="20"/>
              </w:rPr>
              <w:t>AUC</w:t>
            </w:r>
          </w:p>
        </w:tc>
      </w:tr>
      <w:tr w:rsidR="00BE1539" w14:paraId="33D85BB6" w14:textId="77777777">
        <w:tblPrEx>
          <w:tblCellMar>
            <w:top w:w="0" w:type="dxa"/>
            <w:bottom w:w="0" w:type="dxa"/>
          </w:tblCellMar>
        </w:tblPrEx>
        <w:tc>
          <w:tcPr>
            <w:tcW w:w="4000" w:type="dxa"/>
            <w:tcMar>
              <w:top w:w="80" w:type="dxa"/>
              <w:left w:w="100" w:type="dxa"/>
              <w:bottom w:w="80" w:type="dxa"/>
              <w:right w:w="100" w:type="dxa"/>
            </w:tcMar>
          </w:tcPr>
          <w:p w14:paraId="6683AB19" w14:textId="77777777" w:rsidR="00BE1539" w:rsidRDefault="007C0E3E">
            <w:r>
              <w:rPr>
                <w:color w:val="000000"/>
                <w:sz w:val="20"/>
                <w:szCs w:val="20"/>
              </w:rPr>
              <w:t>No-features baseline</w:t>
            </w:r>
          </w:p>
        </w:tc>
        <w:tc>
          <w:tcPr>
            <w:tcW w:w="4400" w:type="dxa"/>
            <w:tcMar>
              <w:top w:w="80" w:type="dxa"/>
              <w:left w:w="100" w:type="dxa"/>
              <w:bottom w:w="80" w:type="dxa"/>
              <w:right w:w="100" w:type="dxa"/>
            </w:tcMar>
          </w:tcPr>
          <w:p w14:paraId="6447DC39" w14:textId="77777777" w:rsidR="00BE1539" w:rsidRDefault="007C0E3E">
            <w:r>
              <w:rPr>
                <w:color w:val="000000"/>
                <w:sz w:val="20"/>
                <w:szCs w:val="20"/>
              </w:rPr>
              <w:t>0.500</w:t>
            </w:r>
          </w:p>
        </w:tc>
      </w:tr>
      <w:tr w:rsidR="00BE1539" w14:paraId="3722DC8C" w14:textId="77777777">
        <w:tblPrEx>
          <w:tblCellMar>
            <w:top w:w="0" w:type="dxa"/>
            <w:bottom w:w="0" w:type="dxa"/>
          </w:tblCellMar>
        </w:tblPrEx>
        <w:tc>
          <w:tcPr>
            <w:tcW w:w="4000" w:type="dxa"/>
            <w:shd w:val="clear" w:color="auto" w:fill="F2F2F2"/>
            <w:tcMar>
              <w:top w:w="80" w:type="dxa"/>
              <w:left w:w="100" w:type="dxa"/>
              <w:bottom w:w="80" w:type="dxa"/>
              <w:right w:w="100" w:type="dxa"/>
            </w:tcMar>
          </w:tcPr>
          <w:p w14:paraId="0E432944" w14:textId="77777777" w:rsidR="00BE1539" w:rsidRDefault="007C0E3E">
            <w:proofErr w:type="spellStart"/>
            <w:r>
              <w:rPr>
                <w:color w:val="000000"/>
                <w:sz w:val="20"/>
                <w:szCs w:val="20"/>
              </w:rPr>
              <w:t>CatBoost</w:t>
            </w:r>
            <w:proofErr w:type="spellEnd"/>
            <w:r>
              <w:rPr>
                <w:color w:val="000000"/>
                <w:sz w:val="20"/>
                <w:szCs w:val="20"/>
              </w:rPr>
              <w:t xml:space="preserve"> (demographic predictors)</w:t>
            </w:r>
          </w:p>
        </w:tc>
        <w:tc>
          <w:tcPr>
            <w:tcW w:w="4400" w:type="dxa"/>
            <w:shd w:val="clear" w:color="auto" w:fill="F2F2F2"/>
            <w:tcMar>
              <w:top w:w="80" w:type="dxa"/>
              <w:left w:w="100" w:type="dxa"/>
              <w:bottom w:w="80" w:type="dxa"/>
              <w:right w:w="100" w:type="dxa"/>
            </w:tcMar>
          </w:tcPr>
          <w:p w14:paraId="4192C881" w14:textId="77777777" w:rsidR="00BE1539" w:rsidRDefault="007C0E3E">
            <w:r>
              <w:rPr>
                <w:color w:val="000000"/>
                <w:sz w:val="20"/>
                <w:szCs w:val="20"/>
              </w:rPr>
              <w:t>0.708</w:t>
            </w:r>
          </w:p>
        </w:tc>
      </w:tr>
    </w:tbl>
    <w:p w14:paraId="4F73BEF9" w14:textId="77777777" w:rsidR="00BE1539" w:rsidRDefault="00BE1539">
      <w:pPr>
        <w:spacing w:after="240"/>
      </w:pPr>
    </w:p>
    <w:p w14:paraId="267247AD" w14:textId="77777777" w:rsidR="00BE1539" w:rsidRDefault="007C0E3E">
      <w:pPr>
        <w:spacing w:after="180"/>
        <w:jc w:val="both"/>
      </w:pPr>
      <w:r>
        <w:t>SHAP analysis ranked the demographic drivers of activity: age was the dominant predictor, followed by ethnicity, education and social grade, with BMI and disability contributing comparatively less. This level of individual-level accuracy is modest but expected: whether a specific person meets the 150-minute threshold in a given week depends on factors a survey cannot capture (occupation, injury, motivation, even weather), so an AUC around 0.70 represents a genuinely useful signal at the population level eve</w:t>
      </w:r>
      <w:r>
        <w:t>n though it appears unremarkable at the individual level. This is precisely why the project's forecasting engine (Section 3.5) aggregates the propensity model to borough level rather than relying on individual-level prediction directly.</w:t>
      </w:r>
    </w:p>
    <w:p w14:paraId="09347CEF" w14:textId="77777777" w:rsidR="00BE1539" w:rsidRDefault="007C0E3E">
      <w:pPr>
        <w:spacing w:before="120" w:after="240"/>
        <w:jc w:val="center"/>
      </w:pPr>
      <w:r>
        <w:rPr>
          <w:b/>
          <w:bCs/>
          <w:i/>
          <w:iCs/>
          <w:color w:val="990000"/>
          <w:shd w:val="clear" w:color="auto" w:fill="FFFF00"/>
        </w:rPr>
        <w:t>[Figure 4.1: SHAP summary (</w:t>
      </w:r>
      <w:proofErr w:type="spellStart"/>
      <w:r>
        <w:rPr>
          <w:b/>
          <w:bCs/>
          <w:i/>
          <w:iCs/>
          <w:color w:val="990000"/>
          <w:shd w:val="clear" w:color="auto" w:fill="FFFF00"/>
        </w:rPr>
        <w:t>beeswarm</w:t>
      </w:r>
      <w:proofErr w:type="spellEnd"/>
      <w:r>
        <w:rPr>
          <w:b/>
          <w:bCs/>
          <w:i/>
          <w:iCs/>
          <w:color w:val="990000"/>
          <w:shd w:val="clear" w:color="auto" w:fill="FFFF00"/>
        </w:rPr>
        <w:t>) plot ranking demographic drivers of activity — insert from notebook]</w:t>
      </w:r>
    </w:p>
    <w:p w14:paraId="3DA9A26F" w14:textId="77777777" w:rsidR="00BE1539" w:rsidRDefault="007C0E3E">
      <w:pPr>
        <w:spacing w:before="120" w:after="240"/>
        <w:jc w:val="center"/>
      </w:pPr>
      <w:r>
        <w:rPr>
          <w:b/>
          <w:bCs/>
          <w:i/>
          <w:iCs/>
          <w:color w:val="990000"/>
          <w:shd w:val="clear" w:color="auto" w:fill="FFFF00"/>
        </w:rPr>
        <w:t xml:space="preserve">[Figure 4.2: ROC curve for the </w:t>
      </w:r>
      <w:proofErr w:type="spellStart"/>
      <w:r>
        <w:rPr>
          <w:b/>
          <w:bCs/>
          <w:i/>
          <w:iCs/>
          <w:color w:val="990000"/>
          <w:shd w:val="clear" w:color="auto" w:fill="FFFF00"/>
        </w:rPr>
        <w:t>CatBoost</w:t>
      </w:r>
      <w:proofErr w:type="spellEnd"/>
      <w:r>
        <w:rPr>
          <w:b/>
          <w:bCs/>
          <w:i/>
          <w:iCs/>
          <w:color w:val="990000"/>
          <w:shd w:val="clear" w:color="auto" w:fill="FFFF00"/>
        </w:rPr>
        <w:t xml:space="preserve"> model on the held-out 2022–23 wave — insert from notebook]</w:t>
      </w:r>
    </w:p>
    <w:p w14:paraId="2FC94C59" w14:textId="77777777" w:rsidR="00BE1539" w:rsidRDefault="007C0E3E">
      <w:pPr>
        <w:pStyle w:val="Heading3"/>
      </w:pPr>
      <w:proofErr w:type="spellStart"/>
      <w:r>
        <w:t>LightGBM</w:t>
      </w:r>
      <w:proofErr w:type="spellEnd"/>
      <w:r>
        <w:t xml:space="preserve"> results</w:t>
      </w:r>
    </w:p>
    <w:p w14:paraId="5882CBDF" w14:textId="77777777" w:rsidR="00BE1539" w:rsidRDefault="007C0E3E">
      <w:pPr>
        <w:spacing w:after="180"/>
        <w:jc w:val="both"/>
      </w:pPr>
      <w:r>
        <w:t xml:space="preserve">Both the ordinal logistic regression and </w:t>
      </w:r>
      <w:proofErr w:type="spellStart"/>
      <w:r>
        <w:t>LightGBM</w:t>
      </w:r>
      <w:proofErr w:type="spellEnd"/>
      <w:r>
        <w:t xml:space="preserve"> propensity models were evaluated on the same held-out wave. Performance was near-identical across all three metrics tracked:</w:t>
      </w:r>
    </w:p>
    <w:p w14:paraId="2CD4062D" w14:textId="77777777" w:rsidR="00BE1539" w:rsidRDefault="007C0E3E">
      <w:pPr>
        <w:spacing w:after="240"/>
        <w:jc w:val="center"/>
      </w:pPr>
      <w:r>
        <w:rPr>
          <w:i/>
          <w:iCs/>
          <w:color w:val="808080"/>
          <w:sz w:val="20"/>
          <w:szCs w:val="20"/>
        </w:rPr>
        <w:t>Table 4.4. Propensity model comparison, held-out wave.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2200"/>
        <w:gridCol w:w="1800"/>
      </w:tblGrid>
      <w:tr w:rsidR="00BE1539" w14:paraId="4D05B7ED"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5CFDAFDB" w14:textId="77777777" w:rsidR="00BE1539" w:rsidRDefault="007C0E3E">
            <w:r>
              <w:rPr>
                <w:b/>
                <w:bCs/>
                <w:color w:val="FFFFFF"/>
                <w:sz w:val="20"/>
                <w:szCs w:val="20"/>
              </w:rPr>
              <w:t>Model</w:t>
            </w:r>
          </w:p>
        </w:tc>
        <w:tc>
          <w:tcPr>
            <w:tcW w:w="1600" w:type="dxa"/>
            <w:shd w:val="clear" w:color="auto" w:fill="1F3864"/>
            <w:tcMar>
              <w:top w:w="80" w:type="dxa"/>
              <w:left w:w="100" w:type="dxa"/>
              <w:bottom w:w="80" w:type="dxa"/>
              <w:right w:w="100" w:type="dxa"/>
            </w:tcMar>
          </w:tcPr>
          <w:p w14:paraId="0B5057A7" w14:textId="77777777" w:rsidR="00BE1539" w:rsidRDefault="007C0E3E">
            <w:r>
              <w:rPr>
                <w:b/>
                <w:bCs/>
                <w:color w:val="FFFFFF"/>
                <w:sz w:val="20"/>
                <w:szCs w:val="20"/>
              </w:rPr>
              <w:t>AUC</w:t>
            </w:r>
          </w:p>
        </w:tc>
        <w:tc>
          <w:tcPr>
            <w:tcW w:w="2200" w:type="dxa"/>
            <w:shd w:val="clear" w:color="auto" w:fill="1F3864"/>
            <w:tcMar>
              <w:top w:w="80" w:type="dxa"/>
              <w:left w:w="100" w:type="dxa"/>
              <w:bottom w:w="80" w:type="dxa"/>
              <w:right w:w="100" w:type="dxa"/>
            </w:tcMar>
          </w:tcPr>
          <w:p w14:paraId="243F5525" w14:textId="77777777" w:rsidR="00BE1539" w:rsidRDefault="007C0E3E">
            <w:r>
              <w:rPr>
                <w:b/>
                <w:bCs/>
                <w:color w:val="FFFFFF"/>
                <w:sz w:val="20"/>
                <w:szCs w:val="20"/>
              </w:rPr>
              <w:t>Weighted Accuracy</w:t>
            </w:r>
          </w:p>
        </w:tc>
        <w:tc>
          <w:tcPr>
            <w:tcW w:w="1800" w:type="dxa"/>
            <w:shd w:val="clear" w:color="auto" w:fill="1F3864"/>
            <w:tcMar>
              <w:top w:w="80" w:type="dxa"/>
              <w:left w:w="100" w:type="dxa"/>
              <w:bottom w:w="80" w:type="dxa"/>
              <w:right w:w="100" w:type="dxa"/>
            </w:tcMar>
          </w:tcPr>
          <w:p w14:paraId="2CB23E1D" w14:textId="77777777" w:rsidR="00BE1539" w:rsidRDefault="007C0E3E">
            <w:r>
              <w:rPr>
                <w:b/>
                <w:bCs/>
                <w:color w:val="FFFFFF"/>
                <w:sz w:val="20"/>
                <w:szCs w:val="20"/>
              </w:rPr>
              <w:t>Borough Correlation</w:t>
            </w:r>
          </w:p>
        </w:tc>
      </w:tr>
      <w:tr w:rsidR="00BE1539" w14:paraId="4C2EFE55" w14:textId="77777777">
        <w:tblPrEx>
          <w:tblCellMar>
            <w:top w:w="0" w:type="dxa"/>
            <w:bottom w:w="0" w:type="dxa"/>
          </w:tblCellMar>
        </w:tblPrEx>
        <w:tc>
          <w:tcPr>
            <w:tcW w:w="3200" w:type="dxa"/>
            <w:tcMar>
              <w:top w:w="80" w:type="dxa"/>
              <w:left w:w="100" w:type="dxa"/>
              <w:bottom w:w="80" w:type="dxa"/>
              <w:right w:w="100" w:type="dxa"/>
            </w:tcMar>
          </w:tcPr>
          <w:p w14:paraId="6F6DCD52" w14:textId="77777777" w:rsidR="00BE1539" w:rsidRDefault="007C0E3E">
            <w:r>
              <w:rPr>
                <w:color w:val="000000"/>
                <w:sz w:val="20"/>
                <w:szCs w:val="20"/>
              </w:rPr>
              <w:t>No-features baseline</w:t>
            </w:r>
          </w:p>
        </w:tc>
        <w:tc>
          <w:tcPr>
            <w:tcW w:w="1600" w:type="dxa"/>
            <w:tcMar>
              <w:top w:w="80" w:type="dxa"/>
              <w:left w:w="100" w:type="dxa"/>
              <w:bottom w:w="80" w:type="dxa"/>
              <w:right w:w="100" w:type="dxa"/>
            </w:tcMar>
          </w:tcPr>
          <w:p w14:paraId="626AB4E7" w14:textId="77777777" w:rsidR="00BE1539" w:rsidRDefault="007C0E3E">
            <w:r>
              <w:rPr>
                <w:color w:val="000000"/>
                <w:sz w:val="20"/>
                <w:szCs w:val="20"/>
              </w:rPr>
              <w:t>0.500</w:t>
            </w:r>
          </w:p>
        </w:tc>
        <w:tc>
          <w:tcPr>
            <w:tcW w:w="2200" w:type="dxa"/>
            <w:tcMar>
              <w:top w:w="80" w:type="dxa"/>
              <w:left w:w="100" w:type="dxa"/>
              <w:bottom w:w="80" w:type="dxa"/>
              <w:right w:w="100" w:type="dxa"/>
            </w:tcMar>
          </w:tcPr>
          <w:p w14:paraId="32AAF456" w14:textId="77777777" w:rsidR="00BE1539" w:rsidRDefault="007C0E3E">
            <w:r>
              <w:rPr>
                <w:color w:val="000000"/>
                <w:sz w:val="20"/>
                <w:szCs w:val="20"/>
              </w:rPr>
              <w:t>0.643</w:t>
            </w:r>
          </w:p>
        </w:tc>
        <w:tc>
          <w:tcPr>
            <w:tcW w:w="1800" w:type="dxa"/>
            <w:tcMar>
              <w:top w:w="80" w:type="dxa"/>
              <w:left w:w="100" w:type="dxa"/>
              <w:bottom w:w="80" w:type="dxa"/>
              <w:right w:w="100" w:type="dxa"/>
            </w:tcMar>
          </w:tcPr>
          <w:p w14:paraId="636C48BA" w14:textId="77777777" w:rsidR="00BE1539" w:rsidRDefault="007C0E3E">
            <w:r>
              <w:rPr>
                <w:color w:val="000000"/>
                <w:sz w:val="20"/>
                <w:szCs w:val="20"/>
              </w:rPr>
              <w:t>—</w:t>
            </w:r>
          </w:p>
        </w:tc>
      </w:tr>
      <w:tr w:rsidR="00BE1539" w14:paraId="5ADAA119"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1DFD8E6" w14:textId="77777777" w:rsidR="00BE1539" w:rsidRDefault="007C0E3E">
            <w:r>
              <w:rPr>
                <w:color w:val="000000"/>
                <w:sz w:val="20"/>
                <w:szCs w:val="20"/>
              </w:rPr>
              <w:t>Ordinal logistic regression (selected)</w:t>
            </w:r>
          </w:p>
        </w:tc>
        <w:tc>
          <w:tcPr>
            <w:tcW w:w="1600" w:type="dxa"/>
            <w:shd w:val="clear" w:color="auto" w:fill="F2F2F2"/>
            <w:tcMar>
              <w:top w:w="80" w:type="dxa"/>
              <w:left w:w="100" w:type="dxa"/>
              <w:bottom w:w="80" w:type="dxa"/>
              <w:right w:w="100" w:type="dxa"/>
            </w:tcMar>
          </w:tcPr>
          <w:p w14:paraId="4390B71C" w14:textId="77777777" w:rsidR="00BE1539" w:rsidRDefault="007C0E3E">
            <w:r>
              <w:rPr>
                <w:color w:val="000000"/>
                <w:sz w:val="20"/>
                <w:szCs w:val="20"/>
              </w:rPr>
              <w:t>0.704</w:t>
            </w:r>
          </w:p>
        </w:tc>
        <w:tc>
          <w:tcPr>
            <w:tcW w:w="2200" w:type="dxa"/>
            <w:shd w:val="clear" w:color="auto" w:fill="F2F2F2"/>
            <w:tcMar>
              <w:top w:w="80" w:type="dxa"/>
              <w:left w:w="100" w:type="dxa"/>
              <w:bottom w:w="80" w:type="dxa"/>
              <w:right w:w="100" w:type="dxa"/>
            </w:tcMar>
          </w:tcPr>
          <w:p w14:paraId="21CD98EC" w14:textId="77777777" w:rsidR="00BE1539" w:rsidRDefault="007C0E3E">
            <w:r>
              <w:rPr>
                <w:color w:val="000000"/>
                <w:sz w:val="20"/>
                <w:szCs w:val="20"/>
              </w:rPr>
              <w:t>0.671</w:t>
            </w:r>
          </w:p>
        </w:tc>
        <w:tc>
          <w:tcPr>
            <w:tcW w:w="1800" w:type="dxa"/>
            <w:shd w:val="clear" w:color="auto" w:fill="F2F2F2"/>
            <w:tcMar>
              <w:top w:w="80" w:type="dxa"/>
              <w:left w:w="100" w:type="dxa"/>
              <w:bottom w:w="80" w:type="dxa"/>
              <w:right w:w="100" w:type="dxa"/>
            </w:tcMar>
          </w:tcPr>
          <w:p w14:paraId="677050DA" w14:textId="77777777" w:rsidR="00BE1539" w:rsidRDefault="007C0E3E">
            <w:r>
              <w:rPr>
                <w:color w:val="000000"/>
                <w:sz w:val="20"/>
                <w:szCs w:val="20"/>
              </w:rPr>
              <w:t>0.90</w:t>
            </w:r>
          </w:p>
        </w:tc>
      </w:tr>
      <w:tr w:rsidR="00BE1539" w14:paraId="1C989E47" w14:textId="77777777">
        <w:tblPrEx>
          <w:tblCellMar>
            <w:top w:w="0" w:type="dxa"/>
            <w:bottom w:w="0" w:type="dxa"/>
          </w:tblCellMar>
        </w:tblPrEx>
        <w:tc>
          <w:tcPr>
            <w:tcW w:w="3200" w:type="dxa"/>
            <w:tcMar>
              <w:top w:w="80" w:type="dxa"/>
              <w:left w:w="100" w:type="dxa"/>
              <w:bottom w:w="80" w:type="dxa"/>
              <w:right w:w="100" w:type="dxa"/>
            </w:tcMar>
          </w:tcPr>
          <w:p w14:paraId="10631720" w14:textId="77777777" w:rsidR="00BE1539" w:rsidRDefault="007C0E3E">
            <w:r>
              <w:rPr>
                <w:color w:val="000000"/>
                <w:sz w:val="20"/>
                <w:szCs w:val="20"/>
              </w:rPr>
              <w:t>Gradient boosting (</w:t>
            </w:r>
            <w:proofErr w:type="spellStart"/>
            <w:r>
              <w:rPr>
                <w:color w:val="000000"/>
                <w:sz w:val="20"/>
                <w:szCs w:val="20"/>
              </w:rPr>
              <w:t>LightGBM</w:t>
            </w:r>
            <w:proofErr w:type="spellEnd"/>
            <w:r>
              <w:rPr>
                <w:color w:val="000000"/>
                <w:sz w:val="20"/>
                <w:szCs w:val="20"/>
              </w:rPr>
              <w:t>)</w:t>
            </w:r>
          </w:p>
        </w:tc>
        <w:tc>
          <w:tcPr>
            <w:tcW w:w="1600" w:type="dxa"/>
            <w:tcMar>
              <w:top w:w="80" w:type="dxa"/>
              <w:left w:w="100" w:type="dxa"/>
              <w:bottom w:w="80" w:type="dxa"/>
              <w:right w:w="100" w:type="dxa"/>
            </w:tcMar>
          </w:tcPr>
          <w:p w14:paraId="447ACE56" w14:textId="77777777" w:rsidR="00BE1539" w:rsidRDefault="007C0E3E">
            <w:r>
              <w:rPr>
                <w:color w:val="000000"/>
                <w:sz w:val="20"/>
                <w:szCs w:val="20"/>
              </w:rPr>
              <w:t>0.707</w:t>
            </w:r>
          </w:p>
        </w:tc>
        <w:tc>
          <w:tcPr>
            <w:tcW w:w="2200" w:type="dxa"/>
            <w:tcMar>
              <w:top w:w="80" w:type="dxa"/>
              <w:left w:w="100" w:type="dxa"/>
              <w:bottom w:w="80" w:type="dxa"/>
              <w:right w:w="100" w:type="dxa"/>
            </w:tcMar>
          </w:tcPr>
          <w:p w14:paraId="364A9D6C" w14:textId="77777777" w:rsidR="00BE1539" w:rsidRDefault="007C0E3E">
            <w:r>
              <w:rPr>
                <w:color w:val="000000"/>
                <w:sz w:val="20"/>
                <w:szCs w:val="20"/>
              </w:rPr>
              <w:t>0.674</w:t>
            </w:r>
          </w:p>
        </w:tc>
        <w:tc>
          <w:tcPr>
            <w:tcW w:w="1800" w:type="dxa"/>
            <w:tcMar>
              <w:top w:w="80" w:type="dxa"/>
              <w:left w:w="100" w:type="dxa"/>
              <w:bottom w:w="80" w:type="dxa"/>
              <w:right w:w="100" w:type="dxa"/>
            </w:tcMar>
          </w:tcPr>
          <w:p w14:paraId="67860C74" w14:textId="77777777" w:rsidR="00BE1539" w:rsidRDefault="007C0E3E">
            <w:r>
              <w:rPr>
                <w:color w:val="000000"/>
                <w:sz w:val="20"/>
                <w:szCs w:val="20"/>
              </w:rPr>
              <w:t>0.90</w:t>
            </w:r>
          </w:p>
        </w:tc>
      </w:tr>
    </w:tbl>
    <w:p w14:paraId="25FCBEFE" w14:textId="77777777" w:rsidR="00BE1539" w:rsidRDefault="00BE1539">
      <w:pPr>
        <w:spacing w:after="240"/>
      </w:pPr>
    </w:p>
    <w:p w14:paraId="6C37EEC3" w14:textId="77777777" w:rsidR="00BE1539" w:rsidRDefault="007C0E3E">
      <w:pPr>
        <w:spacing w:before="120" w:after="240"/>
        <w:jc w:val="center"/>
      </w:pPr>
      <w:r>
        <w:rPr>
          <w:b/>
          <w:bCs/>
          <w:i/>
          <w:iCs/>
          <w:color w:val="990000"/>
          <w:shd w:val="clear" w:color="auto" w:fill="FFFF00"/>
        </w:rPr>
        <w:t>[Figure 4.3: grouped bar chart comparing the three models across AUC, weighted accuracy and borough correlation — insert from notebook]</w:t>
      </w:r>
    </w:p>
    <w:p w14:paraId="38CF9C89" w14:textId="77777777" w:rsidR="00BE1539" w:rsidRDefault="007C0E3E">
      <w:pPr>
        <w:spacing w:after="180"/>
        <w:jc w:val="both"/>
      </w:pPr>
      <w:proofErr w:type="spellStart"/>
      <w:r>
        <w:t>LightGBM's</w:t>
      </w:r>
      <w:proofErr w:type="spellEnd"/>
      <w:r>
        <w:t xml:space="preserve"> gain over the ordinal logistic regression was 0.003 AUC — not a meaningful advantage in practical terms. Leave-one-borough-out validation (Section 3.10) showed the ordinal model's borough correlation was essentially unchanged when a borough was excluded from training entirely (0.898, against 0.900 for boroughs the model had seen), evidence that the model has learned a transferable demographic relationship rather than memorising borough-specific levels.</w:t>
      </w:r>
    </w:p>
    <w:p w14:paraId="0FB50A9D" w14:textId="77777777" w:rsidR="00BE1539" w:rsidRDefault="007C0E3E">
      <w:pPr>
        <w:spacing w:before="120" w:after="240"/>
        <w:jc w:val="center"/>
      </w:pPr>
      <w:r>
        <w:rPr>
          <w:b/>
          <w:bCs/>
          <w:i/>
          <w:iCs/>
          <w:color w:val="990000"/>
          <w:shd w:val="clear" w:color="auto" w:fill="FFFF00"/>
        </w:rPr>
        <w:lastRenderedPageBreak/>
        <w:t>[Figure 4.4: reliability/calibration plot of predicted against observed probability of being Active, for both models — insert from notebook]</w:t>
      </w:r>
    </w:p>
    <w:p w14:paraId="2F64F085" w14:textId="77777777" w:rsidR="00BE1539" w:rsidRDefault="007C0E3E">
      <w:pPr>
        <w:pStyle w:val="Heading3"/>
      </w:pPr>
      <w:r>
        <w:t>Clustering results</w:t>
      </w:r>
    </w:p>
    <w:p w14:paraId="4E6BDCBB" w14:textId="77777777" w:rsidR="00BE1539" w:rsidRDefault="007C0E3E">
      <w:pPr>
        <w:spacing w:after="180"/>
        <w:jc w:val="both"/>
      </w:pPr>
      <w:r>
        <w:t xml:space="preserve">The K-Modes stage identified four demographic clusters from the six stable demographic predictors (Section 3.8.1). The supervised classification stage, predicting three-band </w:t>
      </w:r>
      <w:proofErr w:type="spellStart"/>
      <w:r>
        <w:t>Activity_Level</w:t>
      </w:r>
      <w:proofErr w:type="spellEnd"/>
      <w:r>
        <w:t xml:space="preserve"> from demographics, borough and cluster membership, compared four algorithms:</w:t>
      </w:r>
    </w:p>
    <w:p w14:paraId="1AFFD78A" w14:textId="77777777" w:rsidR="00BE1539" w:rsidRDefault="007C0E3E">
      <w:pPr>
        <w:spacing w:after="240"/>
        <w:jc w:val="center"/>
      </w:pPr>
      <w:r>
        <w:rPr>
          <w:i/>
          <w:iCs/>
          <w:color w:val="808080"/>
          <w:sz w:val="20"/>
          <w:szCs w:val="20"/>
        </w:rPr>
        <w:t>Table 4.5. Clustering-stage classifier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000"/>
      </w:tblGrid>
      <w:tr w:rsidR="00BE1539" w14:paraId="765E164C" w14:textId="77777777">
        <w:tblPrEx>
          <w:tblCellMar>
            <w:top w:w="0" w:type="dxa"/>
            <w:bottom w:w="0" w:type="dxa"/>
          </w:tblCellMar>
        </w:tblPrEx>
        <w:tc>
          <w:tcPr>
            <w:tcW w:w="4400" w:type="dxa"/>
            <w:shd w:val="clear" w:color="auto" w:fill="1F3864"/>
            <w:tcMar>
              <w:top w:w="80" w:type="dxa"/>
              <w:left w:w="100" w:type="dxa"/>
              <w:bottom w:w="80" w:type="dxa"/>
              <w:right w:w="100" w:type="dxa"/>
            </w:tcMar>
          </w:tcPr>
          <w:p w14:paraId="63FC884C" w14:textId="77777777" w:rsidR="00BE1539" w:rsidRDefault="007C0E3E">
            <w:r>
              <w:rPr>
                <w:b/>
                <w:bCs/>
                <w:color w:val="FFFFFF"/>
                <w:sz w:val="20"/>
                <w:szCs w:val="20"/>
              </w:rPr>
              <w:t>Model</w:t>
            </w:r>
          </w:p>
        </w:tc>
        <w:tc>
          <w:tcPr>
            <w:tcW w:w="4000" w:type="dxa"/>
            <w:shd w:val="clear" w:color="auto" w:fill="1F3864"/>
            <w:tcMar>
              <w:top w:w="80" w:type="dxa"/>
              <w:left w:w="100" w:type="dxa"/>
              <w:bottom w:w="80" w:type="dxa"/>
              <w:right w:w="100" w:type="dxa"/>
            </w:tcMar>
          </w:tcPr>
          <w:p w14:paraId="6A05AA2B" w14:textId="77777777" w:rsidR="00BE1539" w:rsidRDefault="007C0E3E">
            <w:r>
              <w:rPr>
                <w:b/>
                <w:bCs/>
                <w:color w:val="FFFFFF"/>
                <w:sz w:val="20"/>
                <w:szCs w:val="20"/>
              </w:rPr>
              <w:t>Accuracy</w:t>
            </w:r>
          </w:p>
        </w:tc>
      </w:tr>
      <w:tr w:rsidR="00BE1539" w14:paraId="45F6A6D5" w14:textId="77777777">
        <w:tblPrEx>
          <w:tblCellMar>
            <w:top w:w="0" w:type="dxa"/>
            <w:bottom w:w="0" w:type="dxa"/>
          </w:tblCellMar>
        </w:tblPrEx>
        <w:tc>
          <w:tcPr>
            <w:tcW w:w="4400" w:type="dxa"/>
            <w:tcMar>
              <w:top w:w="80" w:type="dxa"/>
              <w:left w:w="100" w:type="dxa"/>
              <w:bottom w:w="80" w:type="dxa"/>
              <w:right w:w="100" w:type="dxa"/>
            </w:tcMar>
          </w:tcPr>
          <w:p w14:paraId="128A6A48" w14:textId="77777777" w:rsidR="00BE1539" w:rsidRDefault="007C0E3E">
            <w:r>
              <w:rPr>
                <w:color w:val="000000"/>
                <w:sz w:val="20"/>
                <w:szCs w:val="20"/>
              </w:rPr>
              <w:t>Logistic Regression</w:t>
            </w:r>
          </w:p>
        </w:tc>
        <w:tc>
          <w:tcPr>
            <w:tcW w:w="4000" w:type="dxa"/>
            <w:tcMar>
              <w:top w:w="80" w:type="dxa"/>
              <w:left w:w="100" w:type="dxa"/>
              <w:bottom w:w="80" w:type="dxa"/>
              <w:right w:w="100" w:type="dxa"/>
            </w:tcMar>
          </w:tcPr>
          <w:p w14:paraId="631C0B9E" w14:textId="77777777" w:rsidR="00BE1539" w:rsidRDefault="007C0E3E">
            <w:r>
              <w:rPr>
                <w:color w:val="000000"/>
                <w:sz w:val="20"/>
                <w:szCs w:val="20"/>
              </w:rPr>
              <w:t>53.6%</w:t>
            </w:r>
          </w:p>
        </w:tc>
      </w:tr>
      <w:tr w:rsidR="00BE1539" w14:paraId="67D0CAFE"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226B0B94" w14:textId="77777777" w:rsidR="00BE1539" w:rsidRDefault="007C0E3E">
            <w:r>
              <w:rPr>
                <w:color w:val="000000"/>
                <w:sz w:val="20"/>
                <w:szCs w:val="20"/>
              </w:rPr>
              <w:t>Decision Tree</w:t>
            </w:r>
          </w:p>
        </w:tc>
        <w:tc>
          <w:tcPr>
            <w:tcW w:w="4000" w:type="dxa"/>
            <w:shd w:val="clear" w:color="auto" w:fill="F2F2F2"/>
            <w:tcMar>
              <w:top w:w="80" w:type="dxa"/>
              <w:left w:w="100" w:type="dxa"/>
              <w:bottom w:w="80" w:type="dxa"/>
              <w:right w:w="100" w:type="dxa"/>
            </w:tcMar>
          </w:tcPr>
          <w:p w14:paraId="7FA7EA34" w14:textId="77777777" w:rsidR="00BE1539" w:rsidRDefault="007C0E3E">
            <w:r>
              <w:rPr>
                <w:color w:val="000000"/>
                <w:sz w:val="20"/>
                <w:szCs w:val="20"/>
              </w:rPr>
              <w:t>47.9%</w:t>
            </w:r>
          </w:p>
        </w:tc>
      </w:tr>
      <w:tr w:rsidR="00BE1539" w14:paraId="3A31A148" w14:textId="77777777">
        <w:tblPrEx>
          <w:tblCellMar>
            <w:top w:w="0" w:type="dxa"/>
            <w:bottom w:w="0" w:type="dxa"/>
          </w:tblCellMar>
        </w:tblPrEx>
        <w:tc>
          <w:tcPr>
            <w:tcW w:w="4400" w:type="dxa"/>
            <w:tcMar>
              <w:top w:w="80" w:type="dxa"/>
              <w:left w:w="100" w:type="dxa"/>
              <w:bottom w:w="80" w:type="dxa"/>
              <w:right w:w="100" w:type="dxa"/>
            </w:tcMar>
          </w:tcPr>
          <w:p w14:paraId="50086716" w14:textId="77777777" w:rsidR="00BE1539" w:rsidRDefault="007C0E3E">
            <w:r>
              <w:rPr>
                <w:color w:val="000000"/>
                <w:sz w:val="20"/>
                <w:szCs w:val="20"/>
              </w:rPr>
              <w:t>Random Forest</w:t>
            </w:r>
          </w:p>
        </w:tc>
        <w:tc>
          <w:tcPr>
            <w:tcW w:w="4000" w:type="dxa"/>
            <w:tcMar>
              <w:top w:w="80" w:type="dxa"/>
              <w:left w:w="100" w:type="dxa"/>
              <w:bottom w:w="80" w:type="dxa"/>
              <w:right w:w="100" w:type="dxa"/>
            </w:tcMar>
          </w:tcPr>
          <w:p w14:paraId="6D6797A6" w14:textId="77777777" w:rsidR="00BE1539" w:rsidRDefault="007C0E3E">
            <w:r>
              <w:rPr>
                <w:color w:val="000000"/>
                <w:sz w:val="20"/>
                <w:szCs w:val="20"/>
              </w:rPr>
              <w:t>54.0%</w:t>
            </w:r>
          </w:p>
        </w:tc>
      </w:tr>
      <w:tr w:rsidR="00BE1539" w14:paraId="63BA380F"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1D05293D" w14:textId="77777777" w:rsidR="00BE1539" w:rsidRDefault="007C0E3E">
            <w:r>
              <w:rPr>
                <w:color w:val="000000"/>
                <w:sz w:val="20"/>
                <w:szCs w:val="20"/>
              </w:rPr>
              <w:t>Gradient Boosting</w:t>
            </w:r>
          </w:p>
        </w:tc>
        <w:tc>
          <w:tcPr>
            <w:tcW w:w="4000" w:type="dxa"/>
            <w:shd w:val="clear" w:color="auto" w:fill="F2F2F2"/>
            <w:tcMar>
              <w:top w:w="80" w:type="dxa"/>
              <w:left w:w="100" w:type="dxa"/>
              <w:bottom w:w="80" w:type="dxa"/>
              <w:right w:w="100" w:type="dxa"/>
            </w:tcMar>
          </w:tcPr>
          <w:p w14:paraId="6A0BDA15" w14:textId="77777777" w:rsidR="00BE1539" w:rsidRDefault="007C0E3E">
            <w:r>
              <w:rPr>
                <w:color w:val="000000"/>
                <w:sz w:val="20"/>
                <w:szCs w:val="20"/>
              </w:rPr>
              <w:t>67.9%</w:t>
            </w:r>
          </w:p>
        </w:tc>
      </w:tr>
    </w:tbl>
    <w:p w14:paraId="7A058EE2" w14:textId="77777777" w:rsidR="00BE1539" w:rsidRDefault="00BE1539">
      <w:pPr>
        <w:spacing w:after="240"/>
      </w:pPr>
    </w:p>
    <w:p w14:paraId="42476279" w14:textId="77777777" w:rsidR="00BE1539" w:rsidRDefault="007C0E3E">
      <w:pPr>
        <w:spacing w:after="180"/>
        <w:jc w:val="both"/>
      </w:pPr>
      <w:r>
        <w:t xml:space="preserve">Raw accuracy alone is misleading here: although Gradient Boosting achieved the highest overall accuracy, it almost completely ignored the minority Fairly Active class, with precision and recall of 0.00 for that class, producing a considerably lower Macro F1 score than its accuracy figure suggests. Random Forest achieved the best overall balance across all three classes, with stronger Macro F1 performance together with greater robustness and </w:t>
      </w:r>
      <w:proofErr w:type="gramStart"/>
      <w:r>
        <w:t>interpretability, and</w:t>
      </w:r>
      <w:proofErr w:type="gramEnd"/>
      <w:r>
        <w:t xml:space="preserve"> was therefore selected as the final prediction model for this strand.</w:t>
      </w:r>
    </w:p>
    <w:p w14:paraId="479984DD" w14:textId="77777777" w:rsidR="00BE1539" w:rsidRDefault="007C0E3E">
      <w:pPr>
        <w:spacing w:before="120" w:after="240"/>
      </w:pPr>
      <w:r>
        <w:rPr>
          <w:b/>
          <w:bCs/>
          <w:i/>
          <w:iCs/>
          <w:color w:val="990000"/>
          <w:shd w:val="clear" w:color="auto" w:fill="FFFF00"/>
        </w:rPr>
        <w:t>[TO BE COMPLETED: exact Macro F1 scores per model, and the full classification report, pending final notebook export]</w:t>
      </w:r>
    </w:p>
    <w:p w14:paraId="678AE202" w14:textId="77777777" w:rsidR="00BE1539" w:rsidRDefault="007C0E3E">
      <w:pPr>
        <w:spacing w:before="120" w:after="240"/>
        <w:jc w:val="center"/>
      </w:pPr>
      <w:r>
        <w:rPr>
          <w:b/>
          <w:bCs/>
          <w:i/>
          <w:iCs/>
          <w:color w:val="990000"/>
          <w:shd w:val="clear" w:color="auto" w:fill="FFFF00"/>
        </w:rPr>
        <w:t>[Figure 4.5: demographic profile of each of the four K-Modes clusters (age, gender, ethnicity, education, NS-SEC, disability composition) — insert from notebook]</w:t>
      </w:r>
    </w:p>
    <w:p w14:paraId="560D4AC1" w14:textId="77777777" w:rsidR="00BE1539" w:rsidRDefault="007C0E3E">
      <w:pPr>
        <w:spacing w:before="120" w:after="240"/>
        <w:jc w:val="center"/>
      </w:pPr>
      <w:r>
        <w:rPr>
          <w:b/>
          <w:bCs/>
          <w:i/>
          <w:iCs/>
          <w:color w:val="990000"/>
          <w:shd w:val="clear" w:color="auto" w:fill="FFFF00"/>
        </w:rPr>
        <w:t>[Figure 4.6: borough-wise distribution of cluster membership across London's 32 boroughs — insert from notebook]</w:t>
      </w:r>
    </w:p>
    <w:p w14:paraId="56F9BAC2" w14:textId="77777777" w:rsidR="00BE1539" w:rsidRDefault="007C0E3E">
      <w:pPr>
        <w:spacing w:before="120" w:after="240"/>
        <w:jc w:val="center"/>
      </w:pPr>
      <w:r>
        <w:rPr>
          <w:b/>
          <w:bCs/>
          <w:i/>
          <w:iCs/>
          <w:color w:val="990000"/>
          <w:shd w:val="clear" w:color="auto" w:fill="FFFF00"/>
        </w:rPr>
        <w:t>[Figure 4.7: confusion matrix for the selected Random Forest classifier on the held-out test set — insert from notebook]</w:t>
      </w:r>
    </w:p>
    <w:p w14:paraId="457E8CDA" w14:textId="77777777" w:rsidR="00BE1539" w:rsidRDefault="007C0E3E">
      <w:pPr>
        <w:pStyle w:val="Heading3"/>
      </w:pPr>
      <w:r>
        <w:t>Bayesian Hierarchical Model results</w:t>
      </w:r>
    </w:p>
    <w:p w14:paraId="22EE6203" w14:textId="77777777" w:rsidR="00BE1539" w:rsidRDefault="007C0E3E">
      <w:pPr>
        <w:spacing w:after="180"/>
        <w:jc w:val="both"/>
      </w:pPr>
      <w:r>
        <w:t>The Bayesian Hierarchical Ordinal Logistic Regression model, trained on waves 2015–16 through 2021–22 and tested on the held-out 2022–23 wave, converged successfully with no divergent transitions, indicating that the NUTS sampler explored the posterior distribution effectively. Trace plots showed satisfactory mixing between Markov chains, and the model required approximately 96 minutes to train on the available hardware — a figure that itself is a substantive finding about the computational cost of Bayesian</w:t>
      </w:r>
      <w:r>
        <w:t xml:space="preserve"> hierarchical modelling at this data scale (Section 4.4).</w:t>
      </w:r>
    </w:p>
    <w:p w14:paraId="2E32C643" w14:textId="77777777" w:rsidR="00BE1539" w:rsidRDefault="007C0E3E">
      <w:pPr>
        <w:spacing w:after="180"/>
        <w:jc w:val="both"/>
      </w:pPr>
      <w:r>
        <w:t xml:space="preserve">Some parameters exhibited R-hat values slightly above the ideal threshold of 1.0, indicating that additional sampling iterations could further improve convergence for those parameters specifically, although the model </w:t>
      </w:r>
      <w:proofErr w:type="gramStart"/>
      <w:r>
        <w:t>as a whole did</w:t>
      </w:r>
      <w:proofErr w:type="gramEnd"/>
      <w:r>
        <w:t xml:space="preserve"> not show divergences.</w:t>
      </w:r>
    </w:p>
    <w:p w14:paraId="6CECC284" w14:textId="77777777" w:rsidR="00BE1539" w:rsidRDefault="007C0E3E">
      <w:pPr>
        <w:spacing w:before="120" w:after="240"/>
      </w:pPr>
      <w:r>
        <w:rPr>
          <w:b/>
          <w:bCs/>
          <w:i/>
          <w:iCs/>
          <w:color w:val="990000"/>
          <w:shd w:val="clear" w:color="auto" w:fill="FFFF00"/>
        </w:rPr>
        <w:lastRenderedPageBreak/>
        <w:t>[TO BE COMPLETED: posterior coefficient estimates (age, gender, ethnicity, disability, education), borough random-effect estimates, and held-out predictive performance (accuracy / weighted accuracy on the 2022–23 wave) pending final model run]</w:t>
      </w:r>
    </w:p>
    <w:p w14:paraId="51EF3B69" w14:textId="77777777" w:rsidR="00BE1539" w:rsidRDefault="007C0E3E">
      <w:pPr>
        <w:spacing w:before="120" w:after="240"/>
        <w:jc w:val="center"/>
      </w:pPr>
      <w:r>
        <w:rPr>
          <w:b/>
          <w:bCs/>
          <w:i/>
          <w:iCs/>
          <w:color w:val="990000"/>
          <w:shd w:val="clear" w:color="auto" w:fill="FFFF00"/>
        </w:rPr>
        <w:t>[Figure 4.8: MCMC trace plots for the fixed-effect coefficients and the borough random-effect variance — insert from notebook]</w:t>
      </w:r>
    </w:p>
    <w:p w14:paraId="61C715EA" w14:textId="77777777" w:rsidR="00BE1539" w:rsidRDefault="007C0E3E">
      <w:pPr>
        <w:spacing w:before="120" w:after="240"/>
        <w:jc w:val="center"/>
      </w:pPr>
      <w:r>
        <w:rPr>
          <w:b/>
          <w:bCs/>
          <w:i/>
          <w:iCs/>
          <w:color w:val="990000"/>
          <w:shd w:val="clear" w:color="auto" w:fill="FFFF00"/>
        </w:rPr>
        <w:t>[Figure 4.9: forest plot of posterior borough random effects, ranked by magnitude — insert from notebook]</w:t>
      </w:r>
    </w:p>
    <w:p w14:paraId="2DA0ABFE" w14:textId="77777777" w:rsidR="00BE1539" w:rsidRDefault="007C0E3E">
      <w:pPr>
        <w:spacing w:before="120" w:after="240"/>
        <w:jc w:val="center"/>
      </w:pPr>
      <w:r>
        <w:rPr>
          <w:b/>
          <w:bCs/>
          <w:i/>
          <w:iCs/>
          <w:color w:val="990000"/>
          <w:shd w:val="clear" w:color="auto" w:fill="FFFF00"/>
        </w:rPr>
        <w:t>[Figure 4.10: posterior predictive check comparing observed and model-implied activity band proportions — insert from notebook]</w:t>
      </w:r>
    </w:p>
    <w:p w14:paraId="07F2FE07" w14:textId="77777777" w:rsidR="00BE1539" w:rsidRDefault="007C0E3E">
      <w:pPr>
        <w:pStyle w:val="Heading2"/>
      </w:pPr>
      <w:r>
        <w:t>4.3 Model Comparison</w:t>
      </w:r>
    </w:p>
    <w:p w14:paraId="1008025A" w14:textId="77777777" w:rsidR="00BE1539" w:rsidRDefault="007C0E3E">
      <w:pPr>
        <w:spacing w:after="180"/>
        <w:jc w:val="both"/>
      </w:pPr>
      <w:r>
        <w:t>Table 4.6 consolidates the results above into a single comparison across all modelling strands. Because the strands address different questions with different target formulations (Section 3.5), the table should be read as a summary of each model's role and demonstrated performance within its own strand, rather than as a single ranked leaderboard.</w:t>
      </w:r>
    </w:p>
    <w:p w14:paraId="1E4EE5D4" w14:textId="77777777" w:rsidR="00BE1539" w:rsidRDefault="007C0E3E">
      <w:pPr>
        <w:spacing w:after="240"/>
        <w:jc w:val="center"/>
      </w:pPr>
      <w:r>
        <w:rPr>
          <w:i/>
          <w:iCs/>
          <w:color w:val="808080"/>
          <w:sz w:val="20"/>
          <w:szCs w:val="20"/>
        </w:rPr>
        <w:t>Table 4.6. Consolidated model comparison across all strands.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1426"/>
        <w:gridCol w:w="1826"/>
        <w:gridCol w:w="991"/>
        <w:gridCol w:w="1468"/>
        <w:gridCol w:w="1374"/>
      </w:tblGrid>
      <w:tr w:rsidR="00BE1539" w14:paraId="57B869E1" w14:textId="77777777">
        <w:tblPrEx>
          <w:tblCellMar>
            <w:top w:w="0" w:type="dxa"/>
            <w:bottom w:w="0" w:type="dxa"/>
          </w:tblCellMar>
        </w:tblPrEx>
        <w:tc>
          <w:tcPr>
            <w:tcW w:w="2000" w:type="dxa"/>
            <w:shd w:val="clear" w:color="auto" w:fill="1F3864"/>
            <w:tcMar>
              <w:top w:w="80" w:type="dxa"/>
              <w:left w:w="100" w:type="dxa"/>
              <w:bottom w:w="80" w:type="dxa"/>
              <w:right w:w="100" w:type="dxa"/>
            </w:tcMar>
          </w:tcPr>
          <w:p w14:paraId="53D3B328" w14:textId="77777777" w:rsidR="00BE1539" w:rsidRDefault="007C0E3E">
            <w:r>
              <w:rPr>
                <w:b/>
                <w:bCs/>
                <w:color w:val="FFFFFF"/>
                <w:sz w:val="20"/>
                <w:szCs w:val="20"/>
              </w:rPr>
              <w:t>Model</w:t>
            </w:r>
          </w:p>
        </w:tc>
        <w:tc>
          <w:tcPr>
            <w:tcW w:w="1500" w:type="dxa"/>
            <w:shd w:val="clear" w:color="auto" w:fill="1F3864"/>
            <w:tcMar>
              <w:top w:w="80" w:type="dxa"/>
              <w:left w:w="100" w:type="dxa"/>
              <w:bottom w:w="80" w:type="dxa"/>
              <w:right w:w="100" w:type="dxa"/>
            </w:tcMar>
          </w:tcPr>
          <w:p w14:paraId="7B8CE7C2" w14:textId="77777777" w:rsidR="00BE1539" w:rsidRDefault="007C0E3E">
            <w:r>
              <w:rPr>
                <w:b/>
                <w:bCs/>
                <w:color w:val="FFFFFF"/>
                <w:sz w:val="20"/>
                <w:szCs w:val="20"/>
              </w:rPr>
              <w:t>Target</w:t>
            </w:r>
          </w:p>
        </w:tc>
        <w:tc>
          <w:tcPr>
            <w:tcW w:w="1900" w:type="dxa"/>
            <w:shd w:val="clear" w:color="auto" w:fill="1F3864"/>
            <w:tcMar>
              <w:top w:w="80" w:type="dxa"/>
              <w:left w:w="100" w:type="dxa"/>
              <w:bottom w:w="80" w:type="dxa"/>
              <w:right w:w="100" w:type="dxa"/>
            </w:tcMar>
          </w:tcPr>
          <w:p w14:paraId="67A402B2" w14:textId="77777777" w:rsidR="00BE1539" w:rsidRDefault="007C0E3E">
            <w:r>
              <w:rPr>
                <w:b/>
                <w:bCs/>
                <w:color w:val="FFFFFF"/>
                <w:sz w:val="20"/>
                <w:szCs w:val="20"/>
              </w:rPr>
              <w:t>Key Metric</w:t>
            </w:r>
          </w:p>
        </w:tc>
        <w:tc>
          <w:tcPr>
            <w:tcW w:w="1000" w:type="dxa"/>
            <w:shd w:val="clear" w:color="auto" w:fill="1F3864"/>
            <w:tcMar>
              <w:top w:w="80" w:type="dxa"/>
              <w:left w:w="100" w:type="dxa"/>
              <w:bottom w:w="80" w:type="dxa"/>
              <w:right w:w="100" w:type="dxa"/>
            </w:tcMar>
          </w:tcPr>
          <w:p w14:paraId="1A08655F" w14:textId="77777777" w:rsidR="00BE1539" w:rsidRDefault="007C0E3E">
            <w:r>
              <w:rPr>
                <w:b/>
                <w:bCs/>
                <w:color w:val="FFFFFF"/>
                <w:sz w:val="20"/>
                <w:szCs w:val="20"/>
              </w:rPr>
              <w:t>Borough Corr.</w:t>
            </w:r>
          </w:p>
        </w:tc>
        <w:tc>
          <w:tcPr>
            <w:tcW w:w="1400" w:type="dxa"/>
            <w:shd w:val="clear" w:color="auto" w:fill="1F3864"/>
            <w:tcMar>
              <w:top w:w="80" w:type="dxa"/>
              <w:left w:w="100" w:type="dxa"/>
              <w:bottom w:w="80" w:type="dxa"/>
              <w:right w:w="100" w:type="dxa"/>
            </w:tcMar>
          </w:tcPr>
          <w:p w14:paraId="4F25A6E8" w14:textId="77777777" w:rsidR="00BE1539" w:rsidRDefault="007C0E3E">
            <w:r>
              <w:rPr>
                <w:b/>
                <w:bCs/>
                <w:color w:val="FFFFFF"/>
                <w:sz w:val="20"/>
                <w:szCs w:val="20"/>
              </w:rPr>
              <w:t>Interpretability</w:t>
            </w:r>
          </w:p>
        </w:tc>
        <w:tc>
          <w:tcPr>
            <w:tcW w:w="1200" w:type="dxa"/>
            <w:shd w:val="clear" w:color="auto" w:fill="1F3864"/>
            <w:tcMar>
              <w:top w:w="80" w:type="dxa"/>
              <w:left w:w="100" w:type="dxa"/>
              <w:bottom w:w="80" w:type="dxa"/>
              <w:right w:w="100" w:type="dxa"/>
            </w:tcMar>
          </w:tcPr>
          <w:p w14:paraId="7280F15D" w14:textId="77777777" w:rsidR="00BE1539" w:rsidRDefault="007C0E3E">
            <w:r>
              <w:rPr>
                <w:b/>
                <w:bCs/>
                <w:color w:val="FFFFFF"/>
                <w:sz w:val="20"/>
                <w:szCs w:val="20"/>
              </w:rPr>
              <w:t>Status</w:t>
            </w:r>
          </w:p>
        </w:tc>
      </w:tr>
      <w:tr w:rsidR="00BE1539" w14:paraId="398741C5" w14:textId="77777777">
        <w:tblPrEx>
          <w:tblCellMar>
            <w:top w:w="0" w:type="dxa"/>
            <w:bottom w:w="0" w:type="dxa"/>
          </w:tblCellMar>
        </w:tblPrEx>
        <w:tc>
          <w:tcPr>
            <w:tcW w:w="2000" w:type="dxa"/>
            <w:tcMar>
              <w:top w:w="80" w:type="dxa"/>
              <w:left w:w="100" w:type="dxa"/>
              <w:bottom w:w="80" w:type="dxa"/>
              <w:right w:w="100" w:type="dxa"/>
            </w:tcMar>
          </w:tcPr>
          <w:p w14:paraId="58C2C88F" w14:textId="77777777" w:rsidR="00BE1539" w:rsidRDefault="007C0E3E">
            <w:proofErr w:type="spellStart"/>
            <w:r>
              <w:rPr>
                <w:color w:val="000000"/>
                <w:sz w:val="20"/>
                <w:szCs w:val="20"/>
              </w:rPr>
              <w:t>CatBoost</w:t>
            </w:r>
            <w:proofErr w:type="spellEnd"/>
            <w:r>
              <w:rPr>
                <w:color w:val="000000"/>
                <w:sz w:val="20"/>
                <w:szCs w:val="20"/>
              </w:rPr>
              <w:t xml:space="preserve"> + SHAP</w:t>
            </w:r>
          </w:p>
        </w:tc>
        <w:tc>
          <w:tcPr>
            <w:tcW w:w="1500" w:type="dxa"/>
            <w:tcMar>
              <w:top w:w="80" w:type="dxa"/>
              <w:left w:w="100" w:type="dxa"/>
              <w:bottom w:w="80" w:type="dxa"/>
              <w:right w:w="100" w:type="dxa"/>
            </w:tcMar>
          </w:tcPr>
          <w:p w14:paraId="4394FE66" w14:textId="77777777" w:rsidR="00BE1539" w:rsidRDefault="007C0E3E">
            <w:r>
              <w:rPr>
                <w:color w:val="000000"/>
                <w:sz w:val="20"/>
                <w:szCs w:val="20"/>
              </w:rPr>
              <w:t>Binary (150+ min)</w:t>
            </w:r>
          </w:p>
        </w:tc>
        <w:tc>
          <w:tcPr>
            <w:tcW w:w="1900" w:type="dxa"/>
            <w:tcMar>
              <w:top w:w="80" w:type="dxa"/>
              <w:left w:w="100" w:type="dxa"/>
              <w:bottom w:w="80" w:type="dxa"/>
              <w:right w:w="100" w:type="dxa"/>
            </w:tcMar>
          </w:tcPr>
          <w:p w14:paraId="45F070D6" w14:textId="77777777" w:rsidR="00BE1539" w:rsidRDefault="007C0E3E">
            <w:r>
              <w:rPr>
                <w:color w:val="000000"/>
                <w:sz w:val="20"/>
                <w:szCs w:val="20"/>
              </w:rPr>
              <w:t>AUC 0.708</w:t>
            </w:r>
          </w:p>
        </w:tc>
        <w:tc>
          <w:tcPr>
            <w:tcW w:w="1000" w:type="dxa"/>
            <w:tcMar>
              <w:top w:w="80" w:type="dxa"/>
              <w:left w:w="100" w:type="dxa"/>
              <w:bottom w:w="80" w:type="dxa"/>
              <w:right w:w="100" w:type="dxa"/>
            </w:tcMar>
          </w:tcPr>
          <w:p w14:paraId="34259D28" w14:textId="77777777" w:rsidR="00BE1539" w:rsidRDefault="007C0E3E">
            <w:r>
              <w:rPr>
                <w:color w:val="000000"/>
                <w:sz w:val="20"/>
                <w:szCs w:val="20"/>
              </w:rPr>
              <w:t>—</w:t>
            </w:r>
          </w:p>
        </w:tc>
        <w:tc>
          <w:tcPr>
            <w:tcW w:w="1400" w:type="dxa"/>
            <w:tcMar>
              <w:top w:w="80" w:type="dxa"/>
              <w:left w:w="100" w:type="dxa"/>
              <w:bottom w:w="80" w:type="dxa"/>
              <w:right w:w="100" w:type="dxa"/>
            </w:tcMar>
          </w:tcPr>
          <w:p w14:paraId="220AD216" w14:textId="77777777" w:rsidR="00BE1539" w:rsidRDefault="007C0E3E">
            <w:r>
              <w:rPr>
                <w:color w:val="000000"/>
                <w:sz w:val="20"/>
                <w:szCs w:val="20"/>
              </w:rPr>
              <w:t>High (SHAP)</w:t>
            </w:r>
          </w:p>
        </w:tc>
        <w:tc>
          <w:tcPr>
            <w:tcW w:w="1200" w:type="dxa"/>
            <w:tcMar>
              <w:top w:w="80" w:type="dxa"/>
              <w:left w:w="100" w:type="dxa"/>
              <w:bottom w:w="80" w:type="dxa"/>
              <w:right w:w="100" w:type="dxa"/>
            </w:tcMar>
          </w:tcPr>
          <w:p w14:paraId="142A6592" w14:textId="77777777" w:rsidR="00BE1539" w:rsidRDefault="007C0E3E">
            <w:r>
              <w:rPr>
                <w:color w:val="000000"/>
                <w:sz w:val="20"/>
                <w:szCs w:val="20"/>
              </w:rPr>
              <w:t>Complete</w:t>
            </w:r>
          </w:p>
        </w:tc>
      </w:tr>
      <w:tr w:rsidR="00BE1539" w14:paraId="7BB340F7"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4F2F118" w14:textId="77777777" w:rsidR="00BE1539" w:rsidRDefault="007C0E3E">
            <w:r>
              <w:rPr>
                <w:color w:val="000000"/>
                <w:sz w:val="20"/>
                <w:szCs w:val="20"/>
              </w:rPr>
              <w:t>Ordinal logistic regression</w:t>
            </w:r>
          </w:p>
        </w:tc>
        <w:tc>
          <w:tcPr>
            <w:tcW w:w="1500" w:type="dxa"/>
            <w:shd w:val="clear" w:color="auto" w:fill="F2F2F2"/>
            <w:tcMar>
              <w:top w:w="80" w:type="dxa"/>
              <w:left w:w="100" w:type="dxa"/>
              <w:bottom w:w="80" w:type="dxa"/>
              <w:right w:w="100" w:type="dxa"/>
            </w:tcMar>
          </w:tcPr>
          <w:p w14:paraId="4717E6FB" w14:textId="77777777" w:rsidR="00BE1539" w:rsidRDefault="007C0E3E">
            <w:r>
              <w:rPr>
                <w:color w:val="000000"/>
                <w:sz w:val="20"/>
                <w:szCs w:val="20"/>
              </w:rPr>
              <w:t>3-band ordinal</w:t>
            </w:r>
          </w:p>
        </w:tc>
        <w:tc>
          <w:tcPr>
            <w:tcW w:w="1900" w:type="dxa"/>
            <w:shd w:val="clear" w:color="auto" w:fill="F2F2F2"/>
            <w:tcMar>
              <w:top w:w="80" w:type="dxa"/>
              <w:left w:w="100" w:type="dxa"/>
              <w:bottom w:w="80" w:type="dxa"/>
              <w:right w:w="100" w:type="dxa"/>
            </w:tcMar>
          </w:tcPr>
          <w:p w14:paraId="7B050D09" w14:textId="77777777" w:rsidR="00BE1539" w:rsidRDefault="007C0E3E">
            <w:r>
              <w:rPr>
                <w:color w:val="000000"/>
                <w:sz w:val="20"/>
                <w:szCs w:val="20"/>
              </w:rPr>
              <w:t xml:space="preserve">AUC 0.704 / </w:t>
            </w:r>
            <w:proofErr w:type="spellStart"/>
            <w:r>
              <w:rPr>
                <w:color w:val="000000"/>
                <w:sz w:val="20"/>
                <w:szCs w:val="20"/>
              </w:rPr>
              <w:t>Acc</w:t>
            </w:r>
            <w:proofErr w:type="spellEnd"/>
            <w:r>
              <w:rPr>
                <w:color w:val="000000"/>
                <w:sz w:val="20"/>
                <w:szCs w:val="20"/>
              </w:rPr>
              <w:t xml:space="preserve"> 0.671</w:t>
            </w:r>
          </w:p>
        </w:tc>
        <w:tc>
          <w:tcPr>
            <w:tcW w:w="1000" w:type="dxa"/>
            <w:shd w:val="clear" w:color="auto" w:fill="F2F2F2"/>
            <w:tcMar>
              <w:top w:w="80" w:type="dxa"/>
              <w:left w:w="100" w:type="dxa"/>
              <w:bottom w:w="80" w:type="dxa"/>
              <w:right w:w="100" w:type="dxa"/>
            </w:tcMar>
          </w:tcPr>
          <w:p w14:paraId="0BD21B04" w14:textId="77777777" w:rsidR="00BE1539" w:rsidRDefault="007C0E3E">
            <w:r>
              <w:rPr>
                <w:color w:val="000000"/>
                <w:sz w:val="20"/>
                <w:szCs w:val="20"/>
              </w:rPr>
              <w:t>0.90</w:t>
            </w:r>
          </w:p>
        </w:tc>
        <w:tc>
          <w:tcPr>
            <w:tcW w:w="1400" w:type="dxa"/>
            <w:shd w:val="clear" w:color="auto" w:fill="F2F2F2"/>
            <w:tcMar>
              <w:top w:w="80" w:type="dxa"/>
              <w:left w:w="100" w:type="dxa"/>
              <w:bottom w:w="80" w:type="dxa"/>
              <w:right w:w="100" w:type="dxa"/>
            </w:tcMar>
          </w:tcPr>
          <w:p w14:paraId="16632EF7" w14:textId="77777777" w:rsidR="00BE1539" w:rsidRDefault="007C0E3E">
            <w:r>
              <w:rPr>
                <w:color w:val="000000"/>
                <w:sz w:val="20"/>
                <w:szCs w:val="20"/>
              </w:rPr>
              <w:t>High</w:t>
            </w:r>
          </w:p>
        </w:tc>
        <w:tc>
          <w:tcPr>
            <w:tcW w:w="1200" w:type="dxa"/>
            <w:shd w:val="clear" w:color="auto" w:fill="F2F2F2"/>
            <w:tcMar>
              <w:top w:w="80" w:type="dxa"/>
              <w:left w:w="100" w:type="dxa"/>
              <w:bottom w:w="80" w:type="dxa"/>
              <w:right w:w="100" w:type="dxa"/>
            </w:tcMar>
          </w:tcPr>
          <w:p w14:paraId="760D6A48" w14:textId="77777777" w:rsidR="00BE1539" w:rsidRDefault="007C0E3E">
            <w:r>
              <w:rPr>
                <w:color w:val="000000"/>
                <w:sz w:val="20"/>
                <w:szCs w:val="20"/>
              </w:rPr>
              <w:t>Selected (engine)</w:t>
            </w:r>
          </w:p>
        </w:tc>
      </w:tr>
      <w:tr w:rsidR="00BE1539" w14:paraId="70622BB3" w14:textId="77777777">
        <w:tblPrEx>
          <w:tblCellMar>
            <w:top w:w="0" w:type="dxa"/>
            <w:bottom w:w="0" w:type="dxa"/>
          </w:tblCellMar>
        </w:tblPrEx>
        <w:tc>
          <w:tcPr>
            <w:tcW w:w="2000" w:type="dxa"/>
            <w:tcMar>
              <w:top w:w="80" w:type="dxa"/>
              <w:left w:w="100" w:type="dxa"/>
              <w:bottom w:w="80" w:type="dxa"/>
              <w:right w:w="100" w:type="dxa"/>
            </w:tcMar>
          </w:tcPr>
          <w:p w14:paraId="26D04AD4" w14:textId="77777777" w:rsidR="00BE1539" w:rsidRDefault="007C0E3E">
            <w:proofErr w:type="spellStart"/>
            <w:r>
              <w:rPr>
                <w:color w:val="000000"/>
                <w:sz w:val="20"/>
                <w:szCs w:val="20"/>
              </w:rPr>
              <w:t>LightGBM</w:t>
            </w:r>
            <w:proofErr w:type="spellEnd"/>
          </w:p>
        </w:tc>
        <w:tc>
          <w:tcPr>
            <w:tcW w:w="1500" w:type="dxa"/>
            <w:tcMar>
              <w:top w:w="80" w:type="dxa"/>
              <w:left w:w="100" w:type="dxa"/>
              <w:bottom w:w="80" w:type="dxa"/>
              <w:right w:w="100" w:type="dxa"/>
            </w:tcMar>
          </w:tcPr>
          <w:p w14:paraId="1FD36DAD" w14:textId="77777777" w:rsidR="00BE1539" w:rsidRDefault="007C0E3E">
            <w:r>
              <w:rPr>
                <w:color w:val="000000"/>
                <w:sz w:val="20"/>
                <w:szCs w:val="20"/>
              </w:rPr>
              <w:t>3-band ordinal</w:t>
            </w:r>
          </w:p>
        </w:tc>
        <w:tc>
          <w:tcPr>
            <w:tcW w:w="1900" w:type="dxa"/>
            <w:tcMar>
              <w:top w:w="80" w:type="dxa"/>
              <w:left w:w="100" w:type="dxa"/>
              <w:bottom w:w="80" w:type="dxa"/>
              <w:right w:w="100" w:type="dxa"/>
            </w:tcMar>
          </w:tcPr>
          <w:p w14:paraId="0D234457" w14:textId="77777777" w:rsidR="00BE1539" w:rsidRDefault="007C0E3E">
            <w:r>
              <w:rPr>
                <w:color w:val="000000"/>
                <w:sz w:val="20"/>
                <w:szCs w:val="20"/>
              </w:rPr>
              <w:t xml:space="preserve">AUC 0.707 / </w:t>
            </w:r>
            <w:proofErr w:type="spellStart"/>
            <w:r>
              <w:rPr>
                <w:color w:val="000000"/>
                <w:sz w:val="20"/>
                <w:szCs w:val="20"/>
              </w:rPr>
              <w:t>Acc</w:t>
            </w:r>
            <w:proofErr w:type="spellEnd"/>
            <w:r>
              <w:rPr>
                <w:color w:val="000000"/>
                <w:sz w:val="20"/>
                <w:szCs w:val="20"/>
              </w:rPr>
              <w:t xml:space="preserve"> 0.674</w:t>
            </w:r>
          </w:p>
        </w:tc>
        <w:tc>
          <w:tcPr>
            <w:tcW w:w="1000" w:type="dxa"/>
            <w:tcMar>
              <w:top w:w="80" w:type="dxa"/>
              <w:left w:w="100" w:type="dxa"/>
              <w:bottom w:w="80" w:type="dxa"/>
              <w:right w:w="100" w:type="dxa"/>
            </w:tcMar>
          </w:tcPr>
          <w:p w14:paraId="1D0183D1" w14:textId="77777777" w:rsidR="00BE1539" w:rsidRDefault="007C0E3E">
            <w:r>
              <w:rPr>
                <w:color w:val="000000"/>
                <w:sz w:val="20"/>
                <w:szCs w:val="20"/>
              </w:rPr>
              <w:t>0.90</w:t>
            </w:r>
          </w:p>
        </w:tc>
        <w:tc>
          <w:tcPr>
            <w:tcW w:w="1400" w:type="dxa"/>
            <w:tcMar>
              <w:top w:w="80" w:type="dxa"/>
              <w:left w:w="100" w:type="dxa"/>
              <w:bottom w:w="80" w:type="dxa"/>
              <w:right w:w="100" w:type="dxa"/>
            </w:tcMar>
          </w:tcPr>
          <w:p w14:paraId="5E2AA3F8" w14:textId="77777777" w:rsidR="00BE1539" w:rsidRDefault="007C0E3E">
            <w:r>
              <w:rPr>
                <w:color w:val="000000"/>
                <w:sz w:val="20"/>
                <w:szCs w:val="20"/>
              </w:rPr>
              <w:t>Moderate</w:t>
            </w:r>
          </w:p>
        </w:tc>
        <w:tc>
          <w:tcPr>
            <w:tcW w:w="1200" w:type="dxa"/>
            <w:tcMar>
              <w:top w:w="80" w:type="dxa"/>
              <w:left w:w="100" w:type="dxa"/>
              <w:bottom w:w="80" w:type="dxa"/>
              <w:right w:w="100" w:type="dxa"/>
            </w:tcMar>
          </w:tcPr>
          <w:p w14:paraId="24E14008" w14:textId="77777777" w:rsidR="00BE1539" w:rsidRDefault="007C0E3E">
            <w:r>
              <w:rPr>
                <w:color w:val="000000"/>
                <w:sz w:val="20"/>
                <w:szCs w:val="20"/>
              </w:rPr>
              <w:t>Benchmarked, not selected</w:t>
            </w:r>
          </w:p>
        </w:tc>
      </w:tr>
      <w:tr w:rsidR="00BE1539" w14:paraId="49FA15F6"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1336618" w14:textId="77777777" w:rsidR="00BE1539" w:rsidRDefault="007C0E3E">
            <w:r>
              <w:rPr>
                <w:color w:val="000000"/>
                <w:sz w:val="20"/>
                <w:szCs w:val="20"/>
              </w:rPr>
              <w:t>Random Forest (clustering)</w:t>
            </w:r>
          </w:p>
        </w:tc>
        <w:tc>
          <w:tcPr>
            <w:tcW w:w="1500" w:type="dxa"/>
            <w:shd w:val="clear" w:color="auto" w:fill="F2F2F2"/>
            <w:tcMar>
              <w:top w:w="80" w:type="dxa"/>
              <w:left w:w="100" w:type="dxa"/>
              <w:bottom w:w="80" w:type="dxa"/>
              <w:right w:w="100" w:type="dxa"/>
            </w:tcMar>
          </w:tcPr>
          <w:p w14:paraId="2BE06822" w14:textId="77777777" w:rsidR="00BE1539" w:rsidRDefault="007C0E3E">
            <w:r>
              <w:rPr>
                <w:color w:val="000000"/>
                <w:sz w:val="20"/>
                <w:szCs w:val="20"/>
              </w:rPr>
              <w:t>3-band ordinal</w:t>
            </w:r>
          </w:p>
        </w:tc>
        <w:tc>
          <w:tcPr>
            <w:tcW w:w="1900" w:type="dxa"/>
            <w:shd w:val="clear" w:color="auto" w:fill="F2F2F2"/>
            <w:tcMar>
              <w:top w:w="80" w:type="dxa"/>
              <w:left w:w="100" w:type="dxa"/>
              <w:bottom w:w="80" w:type="dxa"/>
              <w:right w:w="100" w:type="dxa"/>
            </w:tcMar>
          </w:tcPr>
          <w:p w14:paraId="5B07A9C8" w14:textId="77777777" w:rsidR="00BE1539" w:rsidRDefault="007C0E3E">
            <w:proofErr w:type="spellStart"/>
            <w:r>
              <w:rPr>
                <w:color w:val="000000"/>
                <w:sz w:val="20"/>
                <w:szCs w:val="20"/>
              </w:rPr>
              <w:t>Acc</w:t>
            </w:r>
            <w:proofErr w:type="spellEnd"/>
            <w:r>
              <w:rPr>
                <w:color w:val="000000"/>
                <w:sz w:val="20"/>
                <w:szCs w:val="20"/>
              </w:rPr>
              <w:t xml:space="preserve"> 54.0%</w:t>
            </w:r>
          </w:p>
        </w:tc>
        <w:tc>
          <w:tcPr>
            <w:tcW w:w="1000" w:type="dxa"/>
            <w:shd w:val="clear" w:color="auto" w:fill="F2F2F2"/>
            <w:tcMar>
              <w:top w:w="80" w:type="dxa"/>
              <w:left w:w="100" w:type="dxa"/>
              <w:bottom w:w="80" w:type="dxa"/>
              <w:right w:w="100" w:type="dxa"/>
            </w:tcMar>
          </w:tcPr>
          <w:p w14:paraId="5009434C" w14:textId="77777777" w:rsidR="00BE1539" w:rsidRDefault="007C0E3E">
            <w:r>
              <w:rPr>
                <w:color w:val="000000"/>
                <w:sz w:val="20"/>
                <w:szCs w:val="20"/>
              </w:rPr>
              <w:t>—</w:t>
            </w:r>
          </w:p>
        </w:tc>
        <w:tc>
          <w:tcPr>
            <w:tcW w:w="1400" w:type="dxa"/>
            <w:shd w:val="clear" w:color="auto" w:fill="F2F2F2"/>
            <w:tcMar>
              <w:top w:w="80" w:type="dxa"/>
              <w:left w:w="100" w:type="dxa"/>
              <w:bottom w:w="80" w:type="dxa"/>
              <w:right w:w="100" w:type="dxa"/>
            </w:tcMar>
          </w:tcPr>
          <w:p w14:paraId="0E67907B" w14:textId="77777777" w:rsidR="00BE1539" w:rsidRDefault="007C0E3E">
            <w:r>
              <w:rPr>
                <w:color w:val="000000"/>
                <w:sz w:val="20"/>
                <w:szCs w:val="20"/>
              </w:rPr>
              <w:t>Moderate</w:t>
            </w:r>
          </w:p>
        </w:tc>
        <w:tc>
          <w:tcPr>
            <w:tcW w:w="1200" w:type="dxa"/>
            <w:shd w:val="clear" w:color="auto" w:fill="F2F2F2"/>
            <w:tcMar>
              <w:top w:w="80" w:type="dxa"/>
              <w:left w:w="100" w:type="dxa"/>
              <w:bottom w:w="80" w:type="dxa"/>
              <w:right w:w="100" w:type="dxa"/>
            </w:tcMar>
          </w:tcPr>
          <w:p w14:paraId="361E784E" w14:textId="77777777" w:rsidR="00BE1539" w:rsidRDefault="007C0E3E">
            <w:r>
              <w:rPr>
                <w:color w:val="000000"/>
                <w:sz w:val="20"/>
                <w:szCs w:val="20"/>
              </w:rPr>
              <w:t>Selected (strand)</w:t>
            </w:r>
          </w:p>
        </w:tc>
      </w:tr>
      <w:tr w:rsidR="00BE1539" w14:paraId="1C85C3A2" w14:textId="77777777">
        <w:tblPrEx>
          <w:tblCellMar>
            <w:top w:w="0" w:type="dxa"/>
            <w:bottom w:w="0" w:type="dxa"/>
          </w:tblCellMar>
        </w:tblPrEx>
        <w:tc>
          <w:tcPr>
            <w:tcW w:w="2000" w:type="dxa"/>
            <w:tcMar>
              <w:top w:w="80" w:type="dxa"/>
              <w:left w:w="100" w:type="dxa"/>
              <w:bottom w:w="80" w:type="dxa"/>
              <w:right w:w="100" w:type="dxa"/>
            </w:tcMar>
          </w:tcPr>
          <w:p w14:paraId="1A295F1A" w14:textId="77777777" w:rsidR="00BE1539" w:rsidRDefault="007C0E3E">
            <w:r>
              <w:rPr>
                <w:color w:val="000000"/>
                <w:sz w:val="20"/>
                <w:szCs w:val="20"/>
              </w:rPr>
              <w:t>Gradient Boosting (clustering)</w:t>
            </w:r>
          </w:p>
        </w:tc>
        <w:tc>
          <w:tcPr>
            <w:tcW w:w="1500" w:type="dxa"/>
            <w:tcMar>
              <w:top w:w="80" w:type="dxa"/>
              <w:left w:w="100" w:type="dxa"/>
              <w:bottom w:w="80" w:type="dxa"/>
              <w:right w:w="100" w:type="dxa"/>
            </w:tcMar>
          </w:tcPr>
          <w:p w14:paraId="40322F07" w14:textId="77777777" w:rsidR="00BE1539" w:rsidRDefault="007C0E3E">
            <w:r>
              <w:rPr>
                <w:color w:val="000000"/>
                <w:sz w:val="20"/>
                <w:szCs w:val="20"/>
              </w:rPr>
              <w:t>3-band ordinal</w:t>
            </w:r>
          </w:p>
        </w:tc>
        <w:tc>
          <w:tcPr>
            <w:tcW w:w="1900" w:type="dxa"/>
            <w:tcMar>
              <w:top w:w="80" w:type="dxa"/>
              <w:left w:w="100" w:type="dxa"/>
              <w:bottom w:w="80" w:type="dxa"/>
              <w:right w:w="100" w:type="dxa"/>
            </w:tcMar>
          </w:tcPr>
          <w:p w14:paraId="6042FD6D" w14:textId="77777777" w:rsidR="00BE1539" w:rsidRDefault="007C0E3E">
            <w:proofErr w:type="spellStart"/>
            <w:r>
              <w:rPr>
                <w:color w:val="000000"/>
                <w:sz w:val="20"/>
                <w:szCs w:val="20"/>
              </w:rPr>
              <w:t>Acc</w:t>
            </w:r>
            <w:proofErr w:type="spellEnd"/>
            <w:r>
              <w:rPr>
                <w:color w:val="000000"/>
                <w:sz w:val="20"/>
                <w:szCs w:val="20"/>
              </w:rPr>
              <w:t xml:space="preserve"> 67.9% (weak Macro F1)</w:t>
            </w:r>
          </w:p>
        </w:tc>
        <w:tc>
          <w:tcPr>
            <w:tcW w:w="1000" w:type="dxa"/>
            <w:tcMar>
              <w:top w:w="80" w:type="dxa"/>
              <w:left w:w="100" w:type="dxa"/>
              <w:bottom w:w="80" w:type="dxa"/>
              <w:right w:w="100" w:type="dxa"/>
            </w:tcMar>
          </w:tcPr>
          <w:p w14:paraId="05012F4B" w14:textId="77777777" w:rsidR="00BE1539" w:rsidRDefault="007C0E3E">
            <w:r>
              <w:rPr>
                <w:color w:val="000000"/>
                <w:sz w:val="20"/>
                <w:szCs w:val="20"/>
              </w:rPr>
              <w:t>—</w:t>
            </w:r>
          </w:p>
        </w:tc>
        <w:tc>
          <w:tcPr>
            <w:tcW w:w="1400" w:type="dxa"/>
            <w:tcMar>
              <w:top w:w="80" w:type="dxa"/>
              <w:left w:w="100" w:type="dxa"/>
              <w:bottom w:w="80" w:type="dxa"/>
              <w:right w:w="100" w:type="dxa"/>
            </w:tcMar>
          </w:tcPr>
          <w:p w14:paraId="19800AEB" w14:textId="77777777" w:rsidR="00BE1539" w:rsidRDefault="007C0E3E">
            <w:r>
              <w:rPr>
                <w:color w:val="000000"/>
                <w:sz w:val="20"/>
                <w:szCs w:val="20"/>
              </w:rPr>
              <w:t>Low</w:t>
            </w:r>
          </w:p>
        </w:tc>
        <w:tc>
          <w:tcPr>
            <w:tcW w:w="1200" w:type="dxa"/>
            <w:tcMar>
              <w:top w:w="80" w:type="dxa"/>
              <w:left w:w="100" w:type="dxa"/>
              <w:bottom w:w="80" w:type="dxa"/>
              <w:right w:w="100" w:type="dxa"/>
            </w:tcMar>
          </w:tcPr>
          <w:p w14:paraId="602F9576" w14:textId="77777777" w:rsidR="00BE1539" w:rsidRDefault="007C0E3E">
            <w:r>
              <w:rPr>
                <w:color w:val="000000"/>
                <w:sz w:val="20"/>
                <w:szCs w:val="20"/>
              </w:rPr>
              <w:t>Rejected — ignores minority class</w:t>
            </w:r>
          </w:p>
        </w:tc>
      </w:tr>
      <w:tr w:rsidR="00BE1539" w14:paraId="3AF5ABA6"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52AEE9AE" w14:textId="77777777" w:rsidR="00BE1539" w:rsidRDefault="007C0E3E">
            <w:r>
              <w:rPr>
                <w:color w:val="000000"/>
                <w:sz w:val="20"/>
                <w:szCs w:val="20"/>
              </w:rPr>
              <w:t>Bayesian Hierarchical Ordinal</w:t>
            </w:r>
          </w:p>
        </w:tc>
        <w:tc>
          <w:tcPr>
            <w:tcW w:w="1500" w:type="dxa"/>
            <w:shd w:val="clear" w:color="auto" w:fill="F2F2F2"/>
            <w:tcMar>
              <w:top w:w="80" w:type="dxa"/>
              <w:left w:w="100" w:type="dxa"/>
              <w:bottom w:w="80" w:type="dxa"/>
              <w:right w:w="100" w:type="dxa"/>
            </w:tcMar>
          </w:tcPr>
          <w:p w14:paraId="1B478B29" w14:textId="77777777" w:rsidR="00BE1539" w:rsidRDefault="007C0E3E">
            <w:r>
              <w:rPr>
                <w:color w:val="000000"/>
                <w:sz w:val="20"/>
                <w:szCs w:val="20"/>
              </w:rPr>
              <w:t>3-band ordinal</w:t>
            </w:r>
          </w:p>
        </w:tc>
        <w:tc>
          <w:tcPr>
            <w:tcW w:w="1900" w:type="dxa"/>
            <w:shd w:val="clear" w:color="auto" w:fill="F2F2F2"/>
            <w:tcMar>
              <w:top w:w="80" w:type="dxa"/>
              <w:left w:w="100" w:type="dxa"/>
              <w:bottom w:w="80" w:type="dxa"/>
              <w:right w:w="100" w:type="dxa"/>
            </w:tcMar>
          </w:tcPr>
          <w:p w14:paraId="22B25A4B" w14:textId="77777777" w:rsidR="00BE1539" w:rsidRDefault="007C0E3E">
            <w:r>
              <w:rPr>
                <w:color w:val="000000"/>
                <w:sz w:val="20"/>
                <w:szCs w:val="20"/>
              </w:rPr>
              <w:t>Converged, no divergences</w:t>
            </w:r>
          </w:p>
        </w:tc>
        <w:tc>
          <w:tcPr>
            <w:tcW w:w="1000" w:type="dxa"/>
            <w:shd w:val="clear" w:color="auto" w:fill="F2F2F2"/>
            <w:tcMar>
              <w:top w:w="80" w:type="dxa"/>
              <w:left w:w="100" w:type="dxa"/>
              <w:bottom w:w="80" w:type="dxa"/>
              <w:right w:w="100" w:type="dxa"/>
            </w:tcMar>
          </w:tcPr>
          <w:p w14:paraId="2F3EC424" w14:textId="77777777" w:rsidR="00BE1539" w:rsidRDefault="007C0E3E">
            <w:r>
              <w:rPr>
                <w:color w:val="000000"/>
                <w:sz w:val="20"/>
                <w:szCs w:val="20"/>
              </w:rPr>
              <w:t>—</w:t>
            </w:r>
          </w:p>
        </w:tc>
        <w:tc>
          <w:tcPr>
            <w:tcW w:w="1400" w:type="dxa"/>
            <w:shd w:val="clear" w:color="auto" w:fill="F2F2F2"/>
            <w:tcMar>
              <w:top w:w="80" w:type="dxa"/>
              <w:left w:w="100" w:type="dxa"/>
              <w:bottom w:w="80" w:type="dxa"/>
              <w:right w:w="100" w:type="dxa"/>
            </w:tcMar>
          </w:tcPr>
          <w:p w14:paraId="15F76B34" w14:textId="77777777" w:rsidR="00BE1539" w:rsidRDefault="007C0E3E">
            <w:r>
              <w:rPr>
                <w:color w:val="000000"/>
                <w:sz w:val="20"/>
                <w:szCs w:val="20"/>
              </w:rPr>
              <w:t>Very high (full posterior)</w:t>
            </w:r>
          </w:p>
        </w:tc>
        <w:tc>
          <w:tcPr>
            <w:tcW w:w="1200" w:type="dxa"/>
            <w:shd w:val="clear" w:color="auto" w:fill="F2F2F2"/>
            <w:tcMar>
              <w:top w:w="80" w:type="dxa"/>
              <w:left w:w="100" w:type="dxa"/>
              <w:bottom w:w="80" w:type="dxa"/>
              <w:right w:w="100" w:type="dxa"/>
            </w:tcMar>
          </w:tcPr>
          <w:p w14:paraId="4FD8605D" w14:textId="77777777" w:rsidR="00BE1539" w:rsidRDefault="007C0E3E">
            <w:r>
              <w:rPr>
                <w:color w:val="000000"/>
                <w:sz w:val="20"/>
                <w:szCs w:val="20"/>
              </w:rPr>
              <w:t>Diagnostics complete; predictive metrics pending</w:t>
            </w:r>
          </w:p>
        </w:tc>
      </w:tr>
    </w:tbl>
    <w:p w14:paraId="7DC6CD4D" w14:textId="77777777" w:rsidR="00BE1539" w:rsidRDefault="00BE1539">
      <w:pPr>
        <w:spacing w:after="240"/>
      </w:pPr>
    </w:p>
    <w:p w14:paraId="4EBF068C" w14:textId="77777777" w:rsidR="00BE1539" w:rsidRDefault="007C0E3E">
      <w:pPr>
        <w:spacing w:before="120" w:after="240"/>
        <w:jc w:val="center"/>
      </w:pPr>
      <w:r>
        <w:rPr>
          <w:b/>
          <w:bCs/>
          <w:i/>
          <w:iCs/>
          <w:color w:val="990000"/>
          <w:shd w:val="clear" w:color="auto" w:fill="FFFF00"/>
        </w:rPr>
        <w:t>[Figure 4.11: consolidated bar or radar chart comparing all modelling strands on their respective key metrics — insert from notebook]</w:t>
      </w:r>
    </w:p>
    <w:p w14:paraId="116B0134" w14:textId="77777777" w:rsidR="00BE1539" w:rsidRDefault="007C0E3E">
      <w:pPr>
        <w:spacing w:after="180"/>
        <w:jc w:val="both"/>
      </w:pPr>
      <w:r>
        <w:t>A related but conceptually prior result underpins the legitimacy of the entire forecasting approach: an ablation comparing demographics-only, borough-only, and combined models found that demographic composition alone reproduces 48% of the between-borough variation in activity, borough identity alone reproduces 86%, and the combination reproduces 88%. Critically, the demographics-only model retains 47% explanatory power when evaluated leave-one-borough-out — almost identical to its in-</w:t>
      </w:r>
      <w:r>
        <w:lastRenderedPageBreak/>
        <w:t>sample performance — confirming that the propensity model (Section 3.7) generalises to demographic compositions it has never seen, which is precisely the property required to forecast a borough's future population.</w:t>
      </w:r>
    </w:p>
    <w:p w14:paraId="5119E149" w14:textId="77777777" w:rsidR="00BE1539" w:rsidRDefault="007C0E3E">
      <w:pPr>
        <w:spacing w:after="240"/>
        <w:jc w:val="center"/>
      </w:pPr>
      <w:r>
        <w:rPr>
          <w:i/>
          <w:iCs/>
          <w:color w:val="808080"/>
          <w:sz w:val="20"/>
          <w:szCs w:val="20"/>
        </w:rPr>
        <w:t>Table 4.7. Composition versus place ablation: share of between-borough variation reproduced.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000"/>
      </w:tblGrid>
      <w:tr w:rsidR="00BE1539" w14:paraId="5A16B474" w14:textId="77777777">
        <w:tblPrEx>
          <w:tblCellMar>
            <w:top w:w="0" w:type="dxa"/>
            <w:bottom w:w="0" w:type="dxa"/>
          </w:tblCellMar>
        </w:tblPrEx>
        <w:tc>
          <w:tcPr>
            <w:tcW w:w="5400" w:type="dxa"/>
            <w:shd w:val="clear" w:color="auto" w:fill="1F3864"/>
            <w:tcMar>
              <w:top w:w="80" w:type="dxa"/>
              <w:left w:w="100" w:type="dxa"/>
              <w:bottom w:w="80" w:type="dxa"/>
              <w:right w:w="100" w:type="dxa"/>
            </w:tcMar>
          </w:tcPr>
          <w:p w14:paraId="68E48C9A" w14:textId="77777777" w:rsidR="00BE1539" w:rsidRDefault="007C0E3E">
            <w:r>
              <w:rPr>
                <w:b/>
                <w:bCs/>
                <w:color w:val="FFFFFF"/>
                <w:sz w:val="20"/>
                <w:szCs w:val="20"/>
              </w:rPr>
              <w:t>Model</w:t>
            </w:r>
          </w:p>
        </w:tc>
        <w:tc>
          <w:tcPr>
            <w:tcW w:w="3000" w:type="dxa"/>
            <w:shd w:val="clear" w:color="auto" w:fill="1F3864"/>
            <w:tcMar>
              <w:top w:w="80" w:type="dxa"/>
              <w:left w:w="100" w:type="dxa"/>
              <w:bottom w:w="80" w:type="dxa"/>
              <w:right w:w="100" w:type="dxa"/>
            </w:tcMar>
          </w:tcPr>
          <w:p w14:paraId="22F2DD0B" w14:textId="77777777" w:rsidR="00BE1539" w:rsidRDefault="007C0E3E">
            <w:r>
              <w:rPr>
                <w:b/>
                <w:bCs/>
                <w:color w:val="FFFFFF"/>
                <w:sz w:val="20"/>
                <w:szCs w:val="20"/>
              </w:rPr>
              <w:t>Share of Between-Borough Spread Reproduced</w:t>
            </w:r>
          </w:p>
        </w:tc>
      </w:tr>
      <w:tr w:rsidR="00BE1539" w14:paraId="74D320A0" w14:textId="77777777">
        <w:tblPrEx>
          <w:tblCellMar>
            <w:top w:w="0" w:type="dxa"/>
            <w:bottom w:w="0" w:type="dxa"/>
          </w:tblCellMar>
        </w:tblPrEx>
        <w:tc>
          <w:tcPr>
            <w:tcW w:w="5400" w:type="dxa"/>
            <w:tcMar>
              <w:top w:w="80" w:type="dxa"/>
              <w:left w:w="100" w:type="dxa"/>
              <w:bottom w:w="80" w:type="dxa"/>
              <w:right w:w="100" w:type="dxa"/>
            </w:tcMar>
          </w:tcPr>
          <w:p w14:paraId="3415AE97" w14:textId="77777777" w:rsidR="00BE1539" w:rsidRDefault="007C0E3E">
            <w:r>
              <w:rPr>
                <w:color w:val="000000"/>
                <w:sz w:val="20"/>
                <w:szCs w:val="20"/>
              </w:rPr>
              <w:t>Demographics only</w:t>
            </w:r>
          </w:p>
        </w:tc>
        <w:tc>
          <w:tcPr>
            <w:tcW w:w="3000" w:type="dxa"/>
            <w:tcMar>
              <w:top w:w="80" w:type="dxa"/>
              <w:left w:w="100" w:type="dxa"/>
              <w:bottom w:w="80" w:type="dxa"/>
              <w:right w:w="100" w:type="dxa"/>
            </w:tcMar>
          </w:tcPr>
          <w:p w14:paraId="3ED7B8A3" w14:textId="77777777" w:rsidR="00BE1539" w:rsidRDefault="007C0E3E">
            <w:r>
              <w:rPr>
                <w:color w:val="000000"/>
                <w:sz w:val="20"/>
                <w:szCs w:val="20"/>
              </w:rPr>
              <w:t>48%</w:t>
            </w:r>
          </w:p>
        </w:tc>
      </w:tr>
      <w:tr w:rsidR="00BE1539" w14:paraId="145F3B01" w14:textId="77777777">
        <w:tblPrEx>
          <w:tblCellMar>
            <w:top w:w="0" w:type="dxa"/>
            <w:bottom w:w="0" w:type="dxa"/>
          </w:tblCellMar>
        </w:tblPrEx>
        <w:tc>
          <w:tcPr>
            <w:tcW w:w="5400" w:type="dxa"/>
            <w:shd w:val="clear" w:color="auto" w:fill="F2F2F2"/>
            <w:tcMar>
              <w:top w:w="80" w:type="dxa"/>
              <w:left w:w="100" w:type="dxa"/>
              <w:bottom w:w="80" w:type="dxa"/>
              <w:right w:w="100" w:type="dxa"/>
            </w:tcMar>
          </w:tcPr>
          <w:p w14:paraId="62978B0A" w14:textId="77777777" w:rsidR="00BE1539" w:rsidRDefault="007C0E3E">
            <w:r>
              <w:rPr>
                <w:color w:val="000000"/>
                <w:sz w:val="20"/>
                <w:szCs w:val="20"/>
              </w:rPr>
              <w:t>Borough identity only</w:t>
            </w:r>
          </w:p>
        </w:tc>
        <w:tc>
          <w:tcPr>
            <w:tcW w:w="3000" w:type="dxa"/>
            <w:shd w:val="clear" w:color="auto" w:fill="F2F2F2"/>
            <w:tcMar>
              <w:top w:w="80" w:type="dxa"/>
              <w:left w:w="100" w:type="dxa"/>
              <w:bottom w:w="80" w:type="dxa"/>
              <w:right w:w="100" w:type="dxa"/>
            </w:tcMar>
          </w:tcPr>
          <w:p w14:paraId="6ABDF4A5" w14:textId="77777777" w:rsidR="00BE1539" w:rsidRDefault="007C0E3E">
            <w:r>
              <w:rPr>
                <w:color w:val="000000"/>
                <w:sz w:val="20"/>
                <w:szCs w:val="20"/>
              </w:rPr>
              <w:t>86%</w:t>
            </w:r>
          </w:p>
        </w:tc>
      </w:tr>
      <w:tr w:rsidR="00BE1539" w14:paraId="07470B3B" w14:textId="77777777">
        <w:tblPrEx>
          <w:tblCellMar>
            <w:top w:w="0" w:type="dxa"/>
            <w:bottom w:w="0" w:type="dxa"/>
          </w:tblCellMar>
        </w:tblPrEx>
        <w:tc>
          <w:tcPr>
            <w:tcW w:w="5400" w:type="dxa"/>
            <w:tcMar>
              <w:top w:w="80" w:type="dxa"/>
              <w:left w:w="100" w:type="dxa"/>
              <w:bottom w:w="80" w:type="dxa"/>
              <w:right w:w="100" w:type="dxa"/>
            </w:tcMar>
          </w:tcPr>
          <w:p w14:paraId="24675FC5" w14:textId="77777777" w:rsidR="00BE1539" w:rsidRDefault="007C0E3E">
            <w:r>
              <w:rPr>
                <w:color w:val="000000"/>
                <w:sz w:val="20"/>
                <w:szCs w:val="20"/>
              </w:rPr>
              <w:t>Demographics and borough together</w:t>
            </w:r>
          </w:p>
        </w:tc>
        <w:tc>
          <w:tcPr>
            <w:tcW w:w="3000" w:type="dxa"/>
            <w:tcMar>
              <w:top w:w="80" w:type="dxa"/>
              <w:left w:w="100" w:type="dxa"/>
              <w:bottom w:w="80" w:type="dxa"/>
              <w:right w:w="100" w:type="dxa"/>
            </w:tcMar>
          </w:tcPr>
          <w:p w14:paraId="2CD1CA35" w14:textId="77777777" w:rsidR="00BE1539" w:rsidRDefault="007C0E3E">
            <w:r>
              <w:rPr>
                <w:color w:val="000000"/>
                <w:sz w:val="20"/>
                <w:szCs w:val="20"/>
              </w:rPr>
              <w:t>88%</w:t>
            </w:r>
          </w:p>
        </w:tc>
      </w:tr>
      <w:tr w:rsidR="00BE1539" w14:paraId="0DD6416C" w14:textId="77777777">
        <w:tblPrEx>
          <w:tblCellMar>
            <w:top w:w="0" w:type="dxa"/>
            <w:bottom w:w="0" w:type="dxa"/>
          </w:tblCellMar>
        </w:tblPrEx>
        <w:tc>
          <w:tcPr>
            <w:tcW w:w="5400" w:type="dxa"/>
            <w:shd w:val="clear" w:color="auto" w:fill="F2F2F2"/>
            <w:tcMar>
              <w:top w:w="80" w:type="dxa"/>
              <w:left w:w="100" w:type="dxa"/>
              <w:bottom w:w="80" w:type="dxa"/>
              <w:right w:w="100" w:type="dxa"/>
            </w:tcMar>
          </w:tcPr>
          <w:p w14:paraId="4B867DD8" w14:textId="77777777" w:rsidR="00BE1539" w:rsidRDefault="007C0E3E">
            <w:r>
              <w:rPr>
                <w:color w:val="000000"/>
                <w:sz w:val="20"/>
                <w:szCs w:val="20"/>
              </w:rPr>
              <w:t>Demographics only, boroughs never seen in training</w:t>
            </w:r>
          </w:p>
        </w:tc>
        <w:tc>
          <w:tcPr>
            <w:tcW w:w="3000" w:type="dxa"/>
            <w:shd w:val="clear" w:color="auto" w:fill="F2F2F2"/>
            <w:tcMar>
              <w:top w:w="80" w:type="dxa"/>
              <w:left w:w="100" w:type="dxa"/>
              <w:bottom w:w="80" w:type="dxa"/>
              <w:right w:w="100" w:type="dxa"/>
            </w:tcMar>
          </w:tcPr>
          <w:p w14:paraId="0196B624" w14:textId="77777777" w:rsidR="00BE1539" w:rsidRDefault="007C0E3E">
            <w:r>
              <w:rPr>
                <w:color w:val="000000"/>
                <w:sz w:val="20"/>
                <w:szCs w:val="20"/>
              </w:rPr>
              <w:t>47%</w:t>
            </w:r>
          </w:p>
        </w:tc>
      </w:tr>
    </w:tbl>
    <w:p w14:paraId="6F988481" w14:textId="77777777" w:rsidR="00BE1539" w:rsidRDefault="00BE1539">
      <w:pPr>
        <w:spacing w:after="240"/>
      </w:pPr>
    </w:p>
    <w:p w14:paraId="49203E03" w14:textId="77777777" w:rsidR="00BE1539" w:rsidRDefault="007C0E3E">
      <w:pPr>
        <w:pStyle w:val="Heading2"/>
      </w:pPr>
      <w:r>
        <w:t>4.4 Critical Analysis and Model Selection</w:t>
      </w:r>
    </w:p>
    <w:p w14:paraId="74F7E5F5" w14:textId="77777777" w:rsidR="00BE1539" w:rsidRDefault="007C0E3E">
      <w:pPr>
        <w:spacing w:after="180"/>
        <w:jc w:val="both"/>
      </w:pPr>
      <w:r>
        <w:t xml:space="preserve">Two independent lines of evidence in this project converge on the same broad conclusion: additional model complexity was tested </w:t>
      </w:r>
      <w:proofErr w:type="gramStart"/>
      <w:r>
        <w:t>honestly, and</w:t>
      </w:r>
      <w:proofErr w:type="gramEnd"/>
      <w:r>
        <w:t xml:space="preserve"> adopted only where it demonstrated a material benefit.</w:t>
      </w:r>
    </w:p>
    <w:p w14:paraId="653DE548" w14:textId="77777777" w:rsidR="00BE1539" w:rsidRDefault="007C0E3E">
      <w:pPr>
        <w:spacing w:after="180"/>
        <w:jc w:val="both"/>
      </w:pPr>
      <w:r>
        <w:t xml:space="preserve">For the propensity model underlying the borough forecasting engine, </w:t>
      </w:r>
      <w:proofErr w:type="spellStart"/>
      <w:r>
        <w:t>LightGBM's</w:t>
      </w:r>
      <w:proofErr w:type="spellEnd"/>
      <w:r>
        <w:t xml:space="preserve"> 0.003 AUC improvement over the ordinal logistic regression was judged not meaningful, and the simpler, more interpretable model was selected instead. This decision is defensible on three grounds beyond the marginal accuracy difference: the ordinal logistic regression's coefficients are directly interpretable in relation to the demographic drivers of interest to London Sport; it extrapolates more sensibly when projected future populations are pushed through it, since gradient-boosted trees can beh</w:t>
      </w:r>
      <w:r>
        <w:t>ave unpredictably outside the range of their training data; and it is straightforward to defend methodologically to a non-technical stakeholder audience. Testing a more flexible method and reporting honestly that it did not help is a stronger methodological position than adopting complexity unexamined.</w:t>
      </w:r>
    </w:p>
    <w:p w14:paraId="1291EFF9" w14:textId="77777777" w:rsidR="00BE1539" w:rsidRDefault="007C0E3E">
      <w:pPr>
        <w:spacing w:after="180"/>
        <w:jc w:val="both"/>
      </w:pPr>
      <w:r>
        <w:t>The same pattern recurs independently in the clustering strand: Gradient Boosting achieved the highest raw accuracy (67.9%) but was rejected in favour of Random Forest (54.0%) because it effectively ignored the minority Fairly Active class. This is a deliberate and defensible choice to prioritise balanced performance across all three activity bands — directly relevant to a brief concerned with the full spectrum of participation, not just the extremes — over a headline accuracy figure that a naive reading wo</w:t>
      </w:r>
      <w:r>
        <w:t>uld otherwise favour.</w:t>
      </w:r>
    </w:p>
    <w:p w14:paraId="03AFDDC1" w14:textId="77777777" w:rsidR="00BE1539" w:rsidRDefault="007C0E3E">
      <w:pPr>
        <w:spacing w:after="180"/>
        <w:jc w:val="both"/>
      </w:pPr>
      <w:r>
        <w:t xml:space="preserve">The </w:t>
      </w:r>
      <w:proofErr w:type="spellStart"/>
      <w:r>
        <w:t>CatBoost</w:t>
      </w:r>
      <w:proofErr w:type="spellEnd"/>
      <w:r>
        <w:t xml:space="preserve"> + SHAP model was not designed to compete with the propensity model on forecasting accuracy; its role is individual-level interpretability. Its modest AUC (0.708) is expected given that individual behaviour is only weakly predictable from demographics alone — a property of the phenomenon, not a modelling deficiency — and is precisely why the project's central forecasting logic (Section 3.5) relies on aggregation to borough level, where individual-level noise averages out and the demographic signal b</w:t>
      </w:r>
      <w:r>
        <w:t>ecomes the dominant source of variation.</w:t>
      </w:r>
    </w:p>
    <w:p w14:paraId="0CDAF4BB" w14:textId="77777777" w:rsidR="00BE1539" w:rsidRDefault="007C0E3E">
      <w:pPr>
        <w:spacing w:after="180"/>
        <w:jc w:val="both"/>
      </w:pPr>
      <w:r>
        <w:t>The Bayesian Hierarchical Ordinal Model occupies a distinct position in this comparison. Its explicit borough random effects and full posterior uncertainty quantification make it the most statistically complete specification of the four, and its partial-pooling structure is particularly well suited to boroughs with thinner cell counts (Section 3.3). However, its ~96-minute training time is a genuine practical constraint relative to the ordinal logistic regression's near-instant fit, and the R-hat values sli</w:t>
      </w:r>
      <w:r>
        <w:t xml:space="preserve">ghtly above 1.0 for some parameters indicate that its posterior has not yet fully converged. Taken together, these findings support using the Bayesian model as an interpretable probabilistic baseline </w:t>
      </w:r>
      <w:r>
        <w:lastRenderedPageBreak/>
        <w:t xml:space="preserve">that quantifies parameter uncertainty explicitly, rather than as the primary forecasting engine — a conclusion reached on independent grounds from, but fully consistent with, the </w:t>
      </w:r>
      <w:proofErr w:type="spellStart"/>
      <w:r>
        <w:t>LightGBM</w:t>
      </w:r>
      <w:proofErr w:type="spellEnd"/>
      <w:r>
        <w:t xml:space="preserve">-versus-ordinal-logistic comparison above: across two separately-developed modelling strands, added model complexity did not </w:t>
      </w:r>
      <w:r>
        <w:t>translate into a decisive practical advantage.</w:t>
      </w:r>
    </w:p>
    <w:p w14:paraId="46EB6594" w14:textId="77777777" w:rsidR="00BE1539" w:rsidRDefault="007C0E3E">
      <w:pPr>
        <w:spacing w:before="120" w:after="240"/>
      </w:pPr>
      <w:r>
        <w:rPr>
          <w:b/>
          <w:bCs/>
          <w:i/>
          <w:iCs/>
          <w:color w:val="990000"/>
          <w:shd w:val="clear" w:color="auto" w:fill="FFFF00"/>
        </w:rPr>
        <w:t xml:space="preserve">[TO BE COMPLETED: final selection rationale should be revisited once the Bayesian </w:t>
      </w:r>
      <w:proofErr w:type="gramStart"/>
      <w:r>
        <w:rPr>
          <w:b/>
          <w:bCs/>
          <w:i/>
          <w:iCs/>
          <w:color w:val="990000"/>
          <w:shd w:val="clear" w:color="auto" w:fill="FFFF00"/>
        </w:rPr>
        <w:t>model's</w:t>
      </w:r>
      <w:proofErr w:type="gramEnd"/>
      <w:r>
        <w:rPr>
          <w:b/>
          <w:bCs/>
          <w:i/>
          <w:iCs/>
          <w:color w:val="990000"/>
          <w:shd w:val="clear" w:color="auto" w:fill="FFFF00"/>
        </w:rPr>
        <w:t xml:space="preserve"> held-out predictive accuracy is available, to confirm whether its uncertainty quantification comes at a cost to raw predictive performance or is obtained essentially for free]</w:t>
      </w:r>
    </w:p>
    <w:p w14:paraId="4FA4A8B8" w14:textId="77777777" w:rsidR="00BE1539" w:rsidRDefault="007C0E3E">
      <w:pPr>
        <w:pStyle w:val="Heading2"/>
      </w:pPr>
      <w:r>
        <w:t>4.5 Limitations</w:t>
      </w:r>
    </w:p>
    <w:p w14:paraId="7AE97F65" w14:textId="77777777" w:rsidR="00BE1539" w:rsidRDefault="007C0E3E">
      <w:pPr>
        <w:spacing w:after="180"/>
        <w:jc w:val="both"/>
      </w:pPr>
      <w:r>
        <w:t>Each limitation below is stated explicitly because it affects how the corresponding results should be used and interpreted.</w:t>
      </w:r>
    </w:p>
    <w:p w14:paraId="6AC93CC0" w14:textId="77777777" w:rsidR="00BE1539" w:rsidRDefault="007C0E3E">
      <w:pPr>
        <w:pStyle w:val="ListParagraph"/>
        <w:numPr>
          <w:ilvl w:val="0"/>
          <w:numId w:val="1"/>
        </w:numPr>
        <w:spacing w:after="100"/>
      </w:pPr>
      <w:r>
        <w:t>The survey is not a panel. No individual is followed over time, so every model in this chapter describes how the population changes, not how particular people change over their lives.</w:t>
      </w:r>
    </w:p>
    <w:p w14:paraId="452C83B7" w14:textId="77777777" w:rsidR="00BE1539" w:rsidRDefault="007C0E3E">
      <w:pPr>
        <w:pStyle w:val="ListParagraph"/>
        <w:numPr>
          <w:ilvl w:val="0"/>
          <w:numId w:val="1"/>
        </w:numPr>
        <w:spacing w:after="100"/>
      </w:pPr>
      <w:r>
        <w:t>The behavioural trend component of the forecasting engine (Section 3.5) rests on six genuinely usable non-pandemic years out of eight. Over a three-year horizon this is a modest limitation; over the brief's full ten-year horizon it is the least robust element of the framework, which is why long-run forecasts are presented as scenario ranges rather than point estimates, and why each additional future survey year will materially strengthen this component.</w:t>
      </w:r>
    </w:p>
    <w:p w14:paraId="57C5E7F5" w14:textId="77777777" w:rsidR="00BE1539" w:rsidRDefault="007C0E3E">
      <w:pPr>
        <w:pStyle w:val="ListParagraph"/>
        <w:numPr>
          <w:ilvl w:val="0"/>
          <w:numId w:val="1"/>
        </w:numPr>
        <w:spacing w:after="100"/>
      </w:pPr>
      <w:r>
        <w:t xml:space="preserve">The place effect is measured, not explained. The composition–place ablation (Table 4.7) establishes that roughly half of between-borough variation is not explained by demographic </w:t>
      </w:r>
      <w:proofErr w:type="gramStart"/>
      <w:r>
        <w:t>composition, but</w:t>
      </w:r>
      <w:proofErr w:type="gramEnd"/>
      <w:r>
        <w:t xml:space="preserve"> does not identify what does explain it. Testing the borough residuals against external data — cycling infrastructure, sports-facility supply, green-space coverage — is a natural extension but was outside the scope of the data available for this project.</w:t>
      </w:r>
    </w:p>
    <w:p w14:paraId="5E609218" w14:textId="77777777" w:rsidR="00BE1539" w:rsidRDefault="007C0E3E">
      <w:pPr>
        <w:pStyle w:val="ListParagraph"/>
        <w:numPr>
          <w:ilvl w:val="0"/>
          <w:numId w:val="1"/>
        </w:numPr>
        <w:spacing w:after="100"/>
      </w:pPr>
      <w:r>
        <w:t xml:space="preserve">Several questions are single-year or subsample by construction: free-time constraints were asked in one wave only, indoor/outdoor setting questions are asked of a rotating third of respondents, and the volunteering question base changed twice across the series (Section 3.4). Each of these is described rather than forecast where the data cannot support a </w:t>
      </w:r>
      <w:proofErr w:type="gramStart"/>
      <w:r>
        <w:t>forecast, and</w:t>
      </w:r>
      <w:proofErr w:type="gramEnd"/>
      <w:r>
        <w:t xml:space="preserve"> is labelled accordingly in Section 4.2.</w:t>
      </w:r>
    </w:p>
    <w:p w14:paraId="39D198BB" w14:textId="77777777" w:rsidR="00BE1539" w:rsidRDefault="007C0E3E">
      <w:pPr>
        <w:pStyle w:val="ListParagraph"/>
        <w:numPr>
          <w:ilvl w:val="0"/>
          <w:numId w:val="1"/>
        </w:numPr>
        <w:spacing w:after="100"/>
      </w:pPr>
      <w:r>
        <w:t>Borough-by-demographic detail is thin: a typical borough-demographic cell contains only around six respondents in a single wave, so such detail can only be reported pooled across all eight waves, with the thinnest cells suppressed.</w:t>
      </w:r>
    </w:p>
    <w:p w14:paraId="38DD1AFF" w14:textId="77777777" w:rsidR="00BE1539" w:rsidRDefault="007C0E3E">
      <w:pPr>
        <w:pStyle w:val="ListParagraph"/>
        <w:numPr>
          <w:ilvl w:val="0"/>
          <w:numId w:val="1"/>
        </w:numPr>
        <w:spacing w:after="100"/>
      </w:pPr>
      <w:r>
        <w:t>Group forecasts for dimensions that are not themselves projection dimensions (socio-economic group, disability status) are approximations — the group's propensity is scaled by its observed activity ratio rather than fully re-projected — and should not be over-interpreted as precise as the age, gender and ethnicity forecasts, which are projected directly.</w:t>
      </w:r>
    </w:p>
    <w:p w14:paraId="1561730B" w14:textId="77777777" w:rsidR="00BE1539" w:rsidRDefault="007C0E3E">
      <w:pPr>
        <w:pStyle w:val="ListParagraph"/>
        <w:numPr>
          <w:ilvl w:val="0"/>
          <w:numId w:val="1"/>
        </w:numPr>
        <w:spacing w:after="100"/>
      </w:pPr>
      <w:r>
        <w:t>The Bayesian Hierarchical Model's R-hat convergence for some parameters remains slightly above the ideal threshold, and its ~96-minute training time constrains rapid iteration; both should be revisited before the model is relied upon for any final reported figure.</w:t>
      </w:r>
    </w:p>
    <w:p w14:paraId="56872EA2" w14:textId="77777777" w:rsidR="00BE1539" w:rsidRDefault="007C0E3E">
      <w:pPr>
        <w:pStyle w:val="ListParagraph"/>
        <w:numPr>
          <w:ilvl w:val="0"/>
          <w:numId w:val="1"/>
        </w:numPr>
        <w:spacing w:after="100"/>
      </w:pPr>
      <w:r>
        <w:t>The perturbation-based reweighting step for P2 (using ONS 2035 population projections) was still in development at the time of writing and is not yet reflected in the results above.</w:t>
      </w:r>
    </w:p>
    <w:p w14:paraId="1B14DB30" w14:textId="77777777" w:rsidR="00BE1539" w:rsidRDefault="007C0E3E">
      <w:pPr>
        <w:pStyle w:val="ListParagraph"/>
        <w:numPr>
          <w:ilvl w:val="0"/>
          <w:numId w:val="1"/>
        </w:numPr>
        <w:spacing w:after="100"/>
      </w:pPr>
      <w:r>
        <w:t xml:space="preserve">The borough-level activity-type ‘signature’ analysis (examining whether over- and under-performing boroughs rely on </w:t>
      </w:r>
      <w:proofErr w:type="gramStart"/>
      <w:r>
        <w:t>particular activities</w:t>
      </w:r>
      <w:proofErr w:type="gramEnd"/>
      <w:r>
        <w:t xml:space="preserve">) produced early indicative results but has not yet been confirmed against the reliability filter applied to thinner </w:t>
      </w:r>
      <w:proofErr w:type="gramStart"/>
      <w:r>
        <w:t>cells, and</w:t>
      </w:r>
      <w:proofErr w:type="gramEnd"/>
      <w:r>
        <w:t xml:space="preserve"> should be treated as provisional until finalised.</w:t>
      </w:r>
    </w:p>
    <w:sectPr w:rsidR="00BE15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D4287"/>
    <w:multiLevelType w:val="hybridMultilevel"/>
    <w:tmpl w:val="FBBE5678"/>
    <w:lvl w:ilvl="0" w:tplc="B9D6E38A">
      <w:start w:val="1"/>
      <w:numFmt w:val="bullet"/>
      <w:lvlText w:val="●"/>
      <w:lvlJc w:val="left"/>
      <w:pPr>
        <w:ind w:left="720" w:hanging="360"/>
      </w:pPr>
    </w:lvl>
    <w:lvl w:ilvl="1" w:tplc="B028A0D4">
      <w:start w:val="1"/>
      <w:numFmt w:val="bullet"/>
      <w:lvlText w:val="○"/>
      <w:lvlJc w:val="left"/>
      <w:pPr>
        <w:ind w:left="1440" w:hanging="360"/>
      </w:pPr>
    </w:lvl>
    <w:lvl w:ilvl="2" w:tplc="8E34C70A">
      <w:start w:val="1"/>
      <w:numFmt w:val="bullet"/>
      <w:lvlText w:val="■"/>
      <w:lvlJc w:val="left"/>
      <w:pPr>
        <w:ind w:left="2160" w:hanging="360"/>
      </w:pPr>
    </w:lvl>
    <w:lvl w:ilvl="3" w:tplc="62281F30">
      <w:start w:val="1"/>
      <w:numFmt w:val="bullet"/>
      <w:lvlText w:val="●"/>
      <w:lvlJc w:val="left"/>
      <w:pPr>
        <w:ind w:left="2880" w:hanging="360"/>
      </w:pPr>
    </w:lvl>
    <w:lvl w:ilvl="4" w:tplc="E526A380">
      <w:start w:val="1"/>
      <w:numFmt w:val="bullet"/>
      <w:lvlText w:val="○"/>
      <w:lvlJc w:val="left"/>
      <w:pPr>
        <w:ind w:left="3600" w:hanging="360"/>
      </w:pPr>
    </w:lvl>
    <w:lvl w:ilvl="5" w:tplc="E4B827E8">
      <w:start w:val="1"/>
      <w:numFmt w:val="bullet"/>
      <w:lvlText w:val="■"/>
      <w:lvlJc w:val="left"/>
      <w:pPr>
        <w:ind w:left="4320" w:hanging="360"/>
      </w:pPr>
    </w:lvl>
    <w:lvl w:ilvl="6" w:tplc="43D0F420">
      <w:start w:val="1"/>
      <w:numFmt w:val="bullet"/>
      <w:lvlText w:val="●"/>
      <w:lvlJc w:val="left"/>
      <w:pPr>
        <w:ind w:left="5040" w:hanging="360"/>
      </w:pPr>
    </w:lvl>
    <w:lvl w:ilvl="7" w:tplc="1A98C084">
      <w:start w:val="1"/>
      <w:numFmt w:val="bullet"/>
      <w:lvlText w:val="●"/>
      <w:lvlJc w:val="left"/>
      <w:pPr>
        <w:ind w:left="5760" w:hanging="360"/>
      </w:pPr>
    </w:lvl>
    <w:lvl w:ilvl="8" w:tplc="275C3BC2">
      <w:start w:val="1"/>
      <w:numFmt w:val="bullet"/>
      <w:lvlText w:val="●"/>
      <w:lvlJc w:val="left"/>
      <w:pPr>
        <w:ind w:left="6480" w:hanging="360"/>
      </w:pPr>
    </w:lvl>
  </w:abstractNum>
  <w:num w:numId="1" w16cid:durableId="473836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39"/>
    <w:rsid w:val="00767CA1"/>
    <w:rsid w:val="007C0E3E"/>
    <w:rsid w:val="00BE1539"/>
    <w:rsid w:val="00F6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4657"/>
  <w15:docId w15:val="{5D999726-F744-486D-82FF-5BDD9435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7231</Words>
  <Characters>41220</Characters>
  <Application>Microsoft Office Word</Application>
  <DocSecurity>0</DocSecurity>
  <Lines>343</Lines>
  <Paragraphs>96</Paragraphs>
  <ScaleCrop>false</ScaleCrop>
  <Company/>
  <LinksUpToDate>false</LinksUpToDate>
  <CharactersWithSpaces>48355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2026-08-06T00:10:00Z</dcterms:created>
  <dcterms:modified xsi:type="dcterms:W3CDTF">2026-08-06T00:10:00Z</dcterms:modified>
</cp:coreProperties>
</file>