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DC4D4" w14:textId="77777777" w:rsidR="004C1010" w:rsidRDefault="002378A4">
      <w:pPr>
        <w:pStyle w:val="Heading1"/>
      </w:pPr>
      <w:r>
        <w:t>P1 — Overall Participation Forecasts</w:t>
      </w:r>
    </w:p>
    <w:p w14:paraId="1124F1A7" w14:textId="77777777" w:rsidR="004C1010" w:rsidRDefault="002378A4">
      <w:pPr>
        <w:spacing w:after="180"/>
        <w:jc w:val="both"/>
      </w:pPr>
      <w:r>
        <w:t xml:space="preserve">This section reports the London Sport brief's first pillar: overall participation forecasts. All figures below derive from the forecasting framework set out in Section 3.5 and the </w:t>
      </w:r>
      <w:proofErr w:type="spellStart"/>
      <w:r>
        <w:t>LightGBM</w:t>
      </w:r>
      <w:proofErr w:type="spellEnd"/>
      <w:r>
        <w:t xml:space="preserve"> propensity model selected in Section 4.4 — individual-level propensities combined with a projected demographic composition and an estimated behavioural trend, decomposed into composition and behaviour effects. Rather than a single point estimate for the ten-year horizon, three bounded scenarios are shown throughout: recent gains continuing, behaviour holding flat while only the population's demographic mix changes ('Population change only'), and a COVID-scale reversal of recent gains. This reflects</w:t>
      </w:r>
      <w:r>
        <w:t xml:space="preserve"> genuine long-run uncertainty rather than false precision (Section 4.5).</w:t>
      </w:r>
    </w:p>
    <w:p w14:paraId="51575814" w14:textId="77777777" w:rsidR="004C1010" w:rsidRDefault="002378A4">
      <w:pPr>
        <w:pStyle w:val="Heading2"/>
      </w:pPr>
      <w:r>
        <w:t>Physical activity across London as a whole</w:t>
      </w:r>
    </w:p>
    <w:p w14:paraId="1EDACAE3" w14:textId="77777777" w:rsidR="004C1010" w:rsidRDefault="002378A4">
      <w:pPr>
        <w:spacing w:after="180"/>
        <w:jc w:val="both"/>
      </w:pPr>
      <w:r>
        <w:t>The near-term model output projects broad stability in the Active share through 2025–26, alongside the continued erosion of the Fairly Active band identified in the EDA (Section 3.4): Active is projected at 64.9%, Inactive at 26.0%, and Fairly Active falling further to 9.1%.</w:t>
      </w:r>
    </w:p>
    <w:p w14:paraId="4AA63537" w14:textId="77777777" w:rsidR="004C1010" w:rsidRDefault="002378A4">
      <w:pPr>
        <w:spacing w:before="120" w:after="60"/>
        <w:jc w:val="center"/>
      </w:pPr>
      <w:r>
        <w:rPr>
          <w:noProof/>
        </w:rPr>
        <w:drawing>
          <wp:inline distT="0" distB="0" distL="0" distR="0" wp14:anchorId="180394D1" wp14:editId="5C70DDB5">
            <wp:extent cx="5486400" cy="3714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486400" cy="3714750"/>
                    </a:xfrm>
                    <a:prstGeom prst="rect">
                      <a:avLst/>
                    </a:prstGeom>
                  </pic:spPr>
                </pic:pic>
              </a:graphicData>
            </a:graphic>
          </wp:inline>
        </w:drawing>
      </w:r>
    </w:p>
    <w:p w14:paraId="65545525" w14:textId="77777777" w:rsidR="004C1010" w:rsidRDefault="002378A4">
      <w:pPr>
        <w:spacing w:after="240"/>
        <w:jc w:val="center"/>
      </w:pPr>
      <w:r>
        <w:rPr>
          <w:i/>
          <w:iCs/>
          <w:color w:val="808080"/>
          <w:sz w:val="20"/>
          <w:szCs w:val="20"/>
        </w:rPr>
        <w:t xml:space="preserve">Figure P1.1. </w:t>
      </w:r>
      <w:proofErr w:type="gramStart"/>
      <w:r>
        <w:rPr>
          <w:i/>
          <w:iCs/>
          <w:color w:val="808080"/>
          <w:sz w:val="20"/>
          <w:szCs w:val="20"/>
        </w:rPr>
        <w:t>London-wide activity bands,</w:t>
      </w:r>
      <w:proofErr w:type="gramEnd"/>
      <w:r>
        <w:rPr>
          <w:i/>
          <w:iCs/>
          <w:color w:val="808080"/>
          <w:sz w:val="20"/>
          <w:szCs w:val="20"/>
        </w:rPr>
        <w:t xml:space="preserve"> observed 2015–16 to 2022–23 and projected to 2025–26.</w:t>
      </w:r>
    </w:p>
    <w:p w14:paraId="6F53684C" w14:textId="77777777" w:rsidR="004C1010" w:rsidRDefault="002378A4">
      <w:pPr>
        <w:spacing w:after="180"/>
        <w:jc w:val="both"/>
      </w:pPr>
      <w:r>
        <w:t>Over the full ten-year horizon, the three scenarios diverge from 61.0% (if recent gains reverse) to 65.4% (if the current trend continues) — a roughly four-point range around the current 64.3%. This spread is the decomposition from Section 3.5 made visible: the 'Population change only' path isolates the effect of London's changing demographic mix alone, holding behaviour fixed.</w:t>
      </w:r>
    </w:p>
    <w:p w14:paraId="6DD50F1D" w14:textId="77777777" w:rsidR="004C1010" w:rsidRDefault="002378A4">
      <w:pPr>
        <w:spacing w:before="120" w:after="60"/>
        <w:jc w:val="center"/>
      </w:pPr>
      <w:r>
        <w:rPr>
          <w:noProof/>
        </w:rPr>
        <w:lastRenderedPageBreak/>
        <w:drawing>
          <wp:inline distT="0" distB="0" distL="0" distR="0" wp14:anchorId="70F6430A" wp14:editId="3276D21E">
            <wp:extent cx="5486400" cy="2771775"/>
            <wp:effectExtent l="0" t="0" r="0" b="0"/>
            <wp:docPr id="12046446" name="Picture 12046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486400" cy="2771775"/>
                    </a:xfrm>
                    <a:prstGeom prst="rect">
                      <a:avLst/>
                    </a:prstGeom>
                  </pic:spPr>
                </pic:pic>
              </a:graphicData>
            </a:graphic>
          </wp:inline>
        </w:drawing>
      </w:r>
    </w:p>
    <w:p w14:paraId="21B1ADC5" w14:textId="77777777" w:rsidR="004C1010" w:rsidRDefault="002378A4">
      <w:pPr>
        <w:spacing w:after="240"/>
        <w:jc w:val="center"/>
      </w:pPr>
      <w:r>
        <w:rPr>
          <w:i/>
          <w:iCs/>
          <w:color w:val="808080"/>
          <w:sz w:val="20"/>
          <w:szCs w:val="20"/>
        </w:rPr>
        <w:t>Figure P1.2. Ten-year scenario range for London-wide activity, 2022–2032.</w:t>
      </w:r>
    </w:p>
    <w:p w14:paraId="38641723" w14:textId="77777777" w:rsidR="004C1010" w:rsidRDefault="002378A4">
      <w:pPr>
        <w:pStyle w:val="Heading2"/>
      </w:pPr>
      <w:r>
        <w:t>Likelihood of participating in specific activities</w:t>
      </w:r>
    </w:p>
    <w:p w14:paraId="72D878DF" w14:textId="77777777" w:rsidR="004C1010" w:rsidRDefault="002378A4">
      <w:pPr>
        <w:spacing w:after="180"/>
        <w:jc w:val="both"/>
      </w:pPr>
      <w:r>
        <w:t>Ten-year scenario ranges were produced for seven individual activities and three club-membership measures. Table P1.1 reports the central figure for each scenario; the two most illustrative are shown as figures below, with the remaining eight in the Supplementary Figures at the end of this section.</w:t>
      </w:r>
    </w:p>
    <w:p w14:paraId="75A1F713" w14:textId="77777777" w:rsidR="004C1010" w:rsidRDefault="002378A4">
      <w:pPr>
        <w:spacing w:after="240"/>
        <w:jc w:val="center"/>
      </w:pPr>
      <w:r>
        <w:rPr>
          <w:i/>
          <w:iCs/>
          <w:color w:val="808080"/>
          <w:sz w:val="20"/>
          <w:szCs w:val="20"/>
        </w:rPr>
        <w:t>Table P1.1. Ten-year scenario range by activity/club type (% of London adults).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300"/>
        <w:gridCol w:w="1700"/>
        <w:gridCol w:w="1900"/>
        <w:gridCol w:w="1500"/>
      </w:tblGrid>
      <w:tr w:rsidR="004C1010" w14:paraId="36BA89DF" w14:textId="77777777">
        <w:tblPrEx>
          <w:tblCellMar>
            <w:top w:w="0" w:type="dxa"/>
            <w:bottom w:w="0" w:type="dxa"/>
          </w:tblCellMar>
        </w:tblPrEx>
        <w:tc>
          <w:tcPr>
            <w:tcW w:w="2600" w:type="dxa"/>
            <w:shd w:val="clear" w:color="auto" w:fill="1F3864"/>
            <w:tcMar>
              <w:top w:w="80" w:type="dxa"/>
              <w:left w:w="100" w:type="dxa"/>
              <w:bottom w:w="80" w:type="dxa"/>
              <w:right w:w="100" w:type="dxa"/>
            </w:tcMar>
          </w:tcPr>
          <w:p w14:paraId="61907BAD" w14:textId="77777777" w:rsidR="004C1010" w:rsidRDefault="002378A4">
            <w:r>
              <w:rPr>
                <w:b/>
                <w:bCs/>
                <w:color w:val="FFFFFF"/>
                <w:sz w:val="20"/>
                <w:szCs w:val="20"/>
              </w:rPr>
              <w:t>Activity / Club Type</w:t>
            </w:r>
          </w:p>
        </w:tc>
        <w:tc>
          <w:tcPr>
            <w:tcW w:w="1300" w:type="dxa"/>
            <w:shd w:val="clear" w:color="auto" w:fill="1F3864"/>
            <w:tcMar>
              <w:top w:w="80" w:type="dxa"/>
              <w:left w:w="100" w:type="dxa"/>
              <w:bottom w:w="80" w:type="dxa"/>
              <w:right w:w="100" w:type="dxa"/>
            </w:tcMar>
          </w:tcPr>
          <w:p w14:paraId="7EE58BB6" w14:textId="77777777" w:rsidR="004C1010" w:rsidRDefault="002378A4">
            <w:r>
              <w:rPr>
                <w:b/>
                <w:bCs/>
                <w:color w:val="FFFFFF"/>
                <w:sz w:val="20"/>
                <w:szCs w:val="20"/>
              </w:rPr>
              <w:t>Today</w:t>
            </w:r>
          </w:p>
        </w:tc>
        <w:tc>
          <w:tcPr>
            <w:tcW w:w="1700" w:type="dxa"/>
            <w:shd w:val="clear" w:color="auto" w:fill="1F3864"/>
            <w:tcMar>
              <w:top w:w="80" w:type="dxa"/>
              <w:left w:w="100" w:type="dxa"/>
              <w:bottom w:w="80" w:type="dxa"/>
              <w:right w:w="100" w:type="dxa"/>
            </w:tcMar>
          </w:tcPr>
          <w:p w14:paraId="472DCC96" w14:textId="77777777" w:rsidR="004C1010" w:rsidRDefault="002378A4">
            <w:r>
              <w:rPr>
                <w:b/>
                <w:bCs/>
                <w:color w:val="FFFFFF"/>
                <w:sz w:val="20"/>
                <w:szCs w:val="20"/>
              </w:rPr>
              <w:t>If Gains Continue</w:t>
            </w:r>
          </w:p>
        </w:tc>
        <w:tc>
          <w:tcPr>
            <w:tcW w:w="1900" w:type="dxa"/>
            <w:shd w:val="clear" w:color="auto" w:fill="1F3864"/>
            <w:tcMar>
              <w:top w:w="80" w:type="dxa"/>
              <w:left w:w="100" w:type="dxa"/>
              <w:bottom w:w="80" w:type="dxa"/>
              <w:right w:w="100" w:type="dxa"/>
            </w:tcMar>
          </w:tcPr>
          <w:p w14:paraId="430E7FEB" w14:textId="77777777" w:rsidR="004C1010" w:rsidRDefault="002378A4">
            <w:r>
              <w:rPr>
                <w:b/>
                <w:bCs/>
                <w:color w:val="FFFFFF"/>
                <w:sz w:val="20"/>
                <w:szCs w:val="20"/>
              </w:rPr>
              <w:t>Population Change Only</w:t>
            </w:r>
          </w:p>
        </w:tc>
        <w:tc>
          <w:tcPr>
            <w:tcW w:w="1500" w:type="dxa"/>
            <w:shd w:val="clear" w:color="auto" w:fill="1F3864"/>
            <w:tcMar>
              <w:top w:w="80" w:type="dxa"/>
              <w:left w:w="100" w:type="dxa"/>
              <w:bottom w:w="80" w:type="dxa"/>
              <w:right w:w="100" w:type="dxa"/>
            </w:tcMar>
          </w:tcPr>
          <w:p w14:paraId="1E4E23A7" w14:textId="77777777" w:rsidR="004C1010" w:rsidRDefault="002378A4">
            <w:r>
              <w:rPr>
                <w:b/>
                <w:bCs/>
                <w:color w:val="FFFFFF"/>
                <w:sz w:val="20"/>
                <w:szCs w:val="20"/>
              </w:rPr>
              <w:t>If Gains Reverse</w:t>
            </w:r>
          </w:p>
        </w:tc>
      </w:tr>
      <w:tr w:rsidR="004C1010" w14:paraId="6CEED7D4" w14:textId="77777777">
        <w:tblPrEx>
          <w:tblCellMar>
            <w:top w:w="0" w:type="dxa"/>
            <w:bottom w:w="0" w:type="dxa"/>
          </w:tblCellMar>
        </w:tblPrEx>
        <w:tc>
          <w:tcPr>
            <w:tcW w:w="2600" w:type="dxa"/>
            <w:tcMar>
              <w:top w:w="80" w:type="dxa"/>
              <w:left w:w="100" w:type="dxa"/>
              <w:bottom w:w="80" w:type="dxa"/>
              <w:right w:w="100" w:type="dxa"/>
            </w:tcMar>
          </w:tcPr>
          <w:p w14:paraId="2D47FF70" w14:textId="77777777" w:rsidR="004C1010" w:rsidRDefault="002378A4">
            <w:r>
              <w:rPr>
                <w:color w:val="000000"/>
                <w:sz w:val="20"/>
                <w:szCs w:val="20"/>
              </w:rPr>
              <w:t>Walking</w:t>
            </w:r>
          </w:p>
        </w:tc>
        <w:tc>
          <w:tcPr>
            <w:tcW w:w="1300" w:type="dxa"/>
            <w:tcMar>
              <w:top w:w="80" w:type="dxa"/>
              <w:left w:w="100" w:type="dxa"/>
              <w:bottom w:w="80" w:type="dxa"/>
              <w:right w:w="100" w:type="dxa"/>
            </w:tcMar>
          </w:tcPr>
          <w:p w14:paraId="3E1F33D8" w14:textId="77777777" w:rsidR="004C1010" w:rsidRDefault="002378A4">
            <w:r>
              <w:rPr>
                <w:color w:val="000000"/>
                <w:sz w:val="20"/>
                <w:szCs w:val="20"/>
              </w:rPr>
              <w:t>76.2%</w:t>
            </w:r>
          </w:p>
        </w:tc>
        <w:tc>
          <w:tcPr>
            <w:tcW w:w="1700" w:type="dxa"/>
            <w:tcMar>
              <w:top w:w="80" w:type="dxa"/>
              <w:left w:w="100" w:type="dxa"/>
              <w:bottom w:w="80" w:type="dxa"/>
              <w:right w:w="100" w:type="dxa"/>
            </w:tcMar>
          </w:tcPr>
          <w:p w14:paraId="4E14BC3C" w14:textId="77777777" w:rsidR="004C1010" w:rsidRDefault="002378A4">
            <w:r>
              <w:rPr>
                <w:color w:val="000000"/>
                <w:sz w:val="20"/>
                <w:szCs w:val="20"/>
              </w:rPr>
              <w:t>71.9%</w:t>
            </w:r>
          </w:p>
        </w:tc>
        <w:tc>
          <w:tcPr>
            <w:tcW w:w="1900" w:type="dxa"/>
            <w:tcMar>
              <w:top w:w="80" w:type="dxa"/>
              <w:left w:w="100" w:type="dxa"/>
              <w:bottom w:w="80" w:type="dxa"/>
              <w:right w:w="100" w:type="dxa"/>
            </w:tcMar>
          </w:tcPr>
          <w:p w14:paraId="0C8630AD" w14:textId="77777777" w:rsidR="004C1010" w:rsidRDefault="002378A4">
            <w:r>
              <w:rPr>
                <w:color w:val="000000"/>
                <w:sz w:val="20"/>
                <w:szCs w:val="20"/>
              </w:rPr>
              <w:t>75.1%</w:t>
            </w:r>
          </w:p>
        </w:tc>
        <w:tc>
          <w:tcPr>
            <w:tcW w:w="1500" w:type="dxa"/>
            <w:tcMar>
              <w:top w:w="80" w:type="dxa"/>
              <w:left w:w="100" w:type="dxa"/>
              <w:bottom w:w="80" w:type="dxa"/>
              <w:right w:w="100" w:type="dxa"/>
            </w:tcMar>
          </w:tcPr>
          <w:p w14:paraId="13061F63" w14:textId="77777777" w:rsidR="004C1010" w:rsidRDefault="002378A4">
            <w:r>
              <w:rPr>
                <w:color w:val="000000"/>
                <w:sz w:val="20"/>
                <w:szCs w:val="20"/>
              </w:rPr>
              <w:t>72.1%</w:t>
            </w:r>
          </w:p>
        </w:tc>
      </w:tr>
      <w:tr w:rsidR="004C1010" w14:paraId="3989957F"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21DAC911" w14:textId="77777777" w:rsidR="004C1010" w:rsidRDefault="002378A4">
            <w:r>
              <w:rPr>
                <w:color w:val="000000"/>
                <w:sz w:val="20"/>
                <w:szCs w:val="20"/>
              </w:rPr>
              <w:t>Active travel</w:t>
            </w:r>
          </w:p>
        </w:tc>
        <w:tc>
          <w:tcPr>
            <w:tcW w:w="1300" w:type="dxa"/>
            <w:shd w:val="clear" w:color="auto" w:fill="F2F2F2"/>
            <w:tcMar>
              <w:top w:w="80" w:type="dxa"/>
              <w:left w:w="100" w:type="dxa"/>
              <w:bottom w:w="80" w:type="dxa"/>
              <w:right w:w="100" w:type="dxa"/>
            </w:tcMar>
          </w:tcPr>
          <w:p w14:paraId="61605E20" w14:textId="77777777" w:rsidR="004C1010" w:rsidRDefault="002378A4">
            <w:r>
              <w:rPr>
                <w:color w:val="000000"/>
                <w:sz w:val="20"/>
                <w:szCs w:val="20"/>
              </w:rPr>
              <w:t>59.6%</w:t>
            </w:r>
          </w:p>
        </w:tc>
        <w:tc>
          <w:tcPr>
            <w:tcW w:w="1700" w:type="dxa"/>
            <w:shd w:val="clear" w:color="auto" w:fill="F2F2F2"/>
            <w:tcMar>
              <w:top w:w="80" w:type="dxa"/>
              <w:left w:w="100" w:type="dxa"/>
              <w:bottom w:w="80" w:type="dxa"/>
              <w:right w:w="100" w:type="dxa"/>
            </w:tcMar>
          </w:tcPr>
          <w:p w14:paraId="4907E05E" w14:textId="77777777" w:rsidR="004C1010" w:rsidRDefault="002378A4">
            <w:r>
              <w:rPr>
                <w:color w:val="000000"/>
                <w:sz w:val="20"/>
                <w:szCs w:val="20"/>
              </w:rPr>
              <w:t>48.5%</w:t>
            </w:r>
          </w:p>
        </w:tc>
        <w:tc>
          <w:tcPr>
            <w:tcW w:w="1900" w:type="dxa"/>
            <w:shd w:val="clear" w:color="auto" w:fill="F2F2F2"/>
            <w:tcMar>
              <w:top w:w="80" w:type="dxa"/>
              <w:left w:w="100" w:type="dxa"/>
              <w:bottom w:w="80" w:type="dxa"/>
              <w:right w:w="100" w:type="dxa"/>
            </w:tcMar>
          </w:tcPr>
          <w:p w14:paraId="4E3761D2" w14:textId="77777777" w:rsidR="004C1010" w:rsidRDefault="002378A4">
            <w:r>
              <w:rPr>
                <w:color w:val="000000"/>
                <w:sz w:val="20"/>
                <w:szCs w:val="20"/>
              </w:rPr>
              <w:t>58.0%</w:t>
            </w:r>
          </w:p>
        </w:tc>
        <w:tc>
          <w:tcPr>
            <w:tcW w:w="1500" w:type="dxa"/>
            <w:shd w:val="clear" w:color="auto" w:fill="F2F2F2"/>
            <w:tcMar>
              <w:top w:w="80" w:type="dxa"/>
              <w:left w:w="100" w:type="dxa"/>
              <w:bottom w:w="80" w:type="dxa"/>
              <w:right w:w="100" w:type="dxa"/>
            </w:tcMar>
          </w:tcPr>
          <w:p w14:paraId="3DB08FCE" w14:textId="77777777" w:rsidR="004C1010" w:rsidRDefault="002378A4">
            <w:r>
              <w:rPr>
                <w:color w:val="000000"/>
                <w:sz w:val="20"/>
                <w:szCs w:val="20"/>
              </w:rPr>
              <w:t>44.4%</w:t>
            </w:r>
          </w:p>
        </w:tc>
      </w:tr>
      <w:tr w:rsidR="004C1010" w14:paraId="65F07E9F" w14:textId="77777777">
        <w:tblPrEx>
          <w:tblCellMar>
            <w:top w:w="0" w:type="dxa"/>
            <w:bottom w:w="0" w:type="dxa"/>
          </w:tblCellMar>
        </w:tblPrEx>
        <w:tc>
          <w:tcPr>
            <w:tcW w:w="2600" w:type="dxa"/>
            <w:tcMar>
              <w:top w:w="80" w:type="dxa"/>
              <w:left w:w="100" w:type="dxa"/>
              <w:bottom w:w="80" w:type="dxa"/>
              <w:right w:w="100" w:type="dxa"/>
            </w:tcMar>
          </w:tcPr>
          <w:p w14:paraId="6E3903CC" w14:textId="77777777" w:rsidR="004C1010" w:rsidRDefault="002378A4">
            <w:r>
              <w:rPr>
                <w:color w:val="000000"/>
                <w:sz w:val="20"/>
                <w:szCs w:val="20"/>
              </w:rPr>
              <w:t>Fitness activities</w:t>
            </w:r>
          </w:p>
        </w:tc>
        <w:tc>
          <w:tcPr>
            <w:tcW w:w="1300" w:type="dxa"/>
            <w:tcMar>
              <w:top w:w="80" w:type="dxa"/>
              <w:left w:w="100" w:type="dxa"/>
              <w:bottom w:w="80" w:type="dxa"/>
              <w:right w:w="100" w:type="dxa"/>
            </w:tcMar>
          </w:tcPr>
          <w:p w14:paraId="1C53A112" w14:textId="77777777" w:rsidR="004C1010" w:rsidRDefault="002378A4">
            <w:r>
              <w:rPr>
                <w:color w:val="000000"/>
                <w:sz w:val="20"/>
                <w:szCs w:val="20"/>
              </w:rPr>
              <w:t>32.5%</w:t>
            </w:r>
          </w:p>
        </w:tc>
        <w:tc>
          <w:tcPr>
            <w:tcW w:w="1700" w:type="dxa"/>
            <w:tcMar>
              <w:top w:w="80" w:type="dxa"/>
              <w:left w:w="100" w:type="dxa"/>
              <w:bottom w:w="80" w:type="dxa"/>
              <w:right w:w="100" w:type="dxa"/>
            </w:tcMar>
          </w:tcPr>
          <w:p w14:paraId="4F570209" w14:textId="77777777" w:rsidR="004C1010" w:rsidRDefault="002378A4">
            <w:r>
              <w:rPr>
                <w:color w:val="000000"/>
                <w:sz w:val="20"/>
                <w:szCs w:val="20"/>
              </w:rPr>
              <w:t>28.9%</w:t>
            </w:r>
          </w:p>
        </w:tc>
        <w:tc>
          <w:tcPr>
            <w:tcW w:w="1900" w:type="dxa"/>
            <w:tcMar>
              <w:top w:w="80" w:type="dxa"/>
              <w:left w:w="100" w:type="dxa"/>
              <w:bottom w:w="80" w:type="dxa"/>
              <w:right w:w="100" w:type="dxa"/>
            </w:tcMar>
          </w:tcPr>
          <w:p w14:paraId="57F5EC95" w14:textId="77777777" w:rsidR="004C1010" w:rsidRDefault="002378A4">
            <w:r>
              <w:rPr>
                <w:color w:val="000000"/>
                <w:sz w:val="20"/>
                <w:szCs w:val="20"/>
              </w:rPr>
              <w:t>31.6%</w:t>
            </w:r>
          </w:p>
        </w:tc>
        <w:tc>
          <w:tcPr>
            <w:tcW w:w="1500" w:type="dxa"/>
            <w:tcMar>
              <w:top w:w="80" w:type="dxa"/>
              <w:left w:w="100" w:type="dxa"/>
              <w:bottom w:w="80" w:type="dxa"/>
              <w:right w:w="100" w:type="dxa"/>
            </w:tcMar>
          </w:tcPr>
          <w:p w14:paraId="1081FDC1" w14:textId="77777777" w:rsidR="004C1010" w:rsidRDefault="002378A4">
            <w:r>
              <w:rPr>
                <w:color w:val="000000"/>
                <w:sz w:val="20"/>
                <w:szCs w:val="20"/>
              </w:rPr>
              <w:t>26.6%</w:t>
            </w:r>
          </w:p>
        </w:tc>
      </w:tr>
      <w:tr w:rsidR="004C1010" w14:paraId="67F63A72"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56368BBA" w14:textId="77777777" w:rsidR="004C1010" w:rsidRDefault="002378A4">
            <w:r>
              <w:rPr>
                <w:color w:val="000000"/>
                <w:sz w:val="20"/>
                <w:szCs w:val="20"/>
              </w:rPr>
              <w:t>Cycling</w:t>
            </w:r>
          </w:p>
        </w:tc>
        <w:tc>
          <w:tcPr>
            <w:tcW w:w="1300" w:type="dxa"/>
            <w:shd w:val="clear" w:color="auto" w:fill="F2F2F2"/>
            <w:tcMar>
              <w:top w:w="80" w:type="dxa"/>
              <w:left w:w="100" w:type="dxa"/>
              <w:bottom w:w="80" w:type="dxa"/>
              <w:right w:w="100" w:type="dxa"/>
            </w:tcMar>
          </w:tcPr>
          <w:p w14:paraId="059B42FA" w14:textId="77777777" w:rsidR="004C1010" w:rsidRDefault="002378A4">
            <w:r>
              <w:rPr>
                <w:color w:val="000000"/>
                <w:sz w:val="20"/>
                <w:szCs w:val="20"/>
              </w:rPr>
              <w:t>19.1%</w:t>
            </w:r>
          </w:p>
        </w:tc>
        <w:tc>
          <w:tcPr>
            <w:tcW w:w="1700" w:type="dxa"/>
            <w:shd w:val="clear" w:color="auto" w:fill="F2F2F2"/>
            <w:tcMar>
              <w:top w:w="80" w:type="dxa"/>
              <w:left w:w="100" w:type="dxa"/>
              <w:bottom w:w="80" w:type="dxa"/>
              <w:right w:w="100" w:type="dxa"/>
            </w:tcMar>
          </w:tcPr>
          <w:p w14:paraId="30653395" w14:textId="77777777" w:rsidR="004C1010" w:rsidRDefault="002378A4">
            <w:r>
              <w:rPr>
                <w:color w:val="000000"/>
                <w:sz w:val="20"/>
                <w:szCs w:val="20"/>
              </w:rPr>
              <w:t>19.6%</w:t>
            </w:r>
          </w:p>
        </w:tc>
        <w:tc>
          <w:tcPr>
            <w:tcW w:w="1900" w:type="dxa"/>
            <w:shd w:val="clear" w:color="auto" w:fill="F2F2F2"/>
            <w:tcMar>
              <w:top w:w="80" w:type="dxa"/>
              <w:left w:w="100" w:type="dxa"/>
              <w:bottom w:w="80" w:type="dxa"/>
              <w:right w:w="100" w:type="dxa"/>
            </w:tcMar>
          </w:tcPr>
          <w:p w14:paraId="3578AEE6" w14:textId="77777777" w:rsidR="004C1010" w:rsidRDefault="002378A4">
            <w:r>
              <w:rPr>
                <w:color w:val="000000"/>
                <w:sz w:val="20"/>
                <w:szCs w:val="20"/>
              </w:rPr>
              <w:t>18.3%</w:t>
            </w:r>
          </w:p>
        </w:tc>
        <w:tc>
          <w:tcPr>
            <w:tcW w:w="1500" w:type="dxa"/>
            <w:shd w:val="clear" w:color="auto" w:fill="F2F2F2"/>
            <w:tcMar>
              <w:top w:w="80" w:type="dxa"/>
              <w:left w:w="100" w:type="dxa"/>
              <w:bottom w:w="80" w:type="dxa"/>
              <w:right w:w="100" w:type="dxa"/>
            </w:tcMar>
          </w:tcPr>
          <w:p w14:paraId="71DA8A3D" w14:textId="77777777" w:rsidR="004C1010" w:rsidRDefault="002378A4">
            <w:r>
              <w:rPr>
                <w:color w:val="000000"/>
                <w:sz w:val="20"/>
                <w:szCs w:val="20"/>
              </w:rPr>
              <w:t>16.6%</w:t>
            </w:r>
          </w:p>
        </w:tc>
      </w:tr>
      <w:tr w:rsidR="004C1010" w14:paraId="2B11BF2D" w14:textId="77777777">
        <w:tblPrEx>
          <w:tblCellMar>
            <w:top w:w="0" w:type="dxa"/>
            <w:bottom w:w="0" w:type="dxa"/>
          </w:tblCellMar>
        </w:tblPrEx>
        <w:tc>
          <w:tcPr>
            <w:tcW w:w="2600" w:type="dxa"/>
            <w:tcMar>
              <w:top w:w="80" w:type="dxa"/>
              <w:left w:w="100" w:type="dxa"/>
              <w:bottom w:w="80" w:type="dxa"/>
              <w:right w:w="100" w:type="dxa"/>
            </w:tcMar>
          </w:tcPr>
          <w:p w14:paraId="6C2D2404" w14:textId="77777777" w:rsidR="004C1010" w:rsidRDefault="002378A4">
            <w:r>
              <w:rPr>
                <w:color w:val="000000"/>
                <w:sz w:val="20"/>
                <w:szCs w:val="20"/>
              </w:rPr>
              <w:t>Team sports</w:t>
            </w:r>
          </w:p>
        </w:tc>
        <w:tc>
          <w:tcPr>
            <w:tcW w:w="1300" w:type="dxa"/>
            <w:tcMar>
              <w:top w:w="80" w:type="dxa"/>
              <w:left w:w="100" w:type="dxa"/>
              <w:bottom w:w="80" w:type="dxa"/>
              <w:right w:w="100" w:type="dxa"/>
            </w:tcMar>
          </w:tcPr>
          <w:p w14:paraId="1ACBB048" w14:textId="77777777" w:rsidR="004C1010" w:rsidRDefault="002378A4">
            <w:r>
              <w:rPr>
                <w:color w:val="000000"/>
                <w:sz w:val="20"/>
                <w:szCs w:val="20"/>
              </w:rPr>
              <w:t>7.1%</w:t>
            </w:r>
          </w:p>
        </w:tc>
        <w:tc>
          <w:tcPr>
            <w:tcW w:w="1700" w:type="dxa"/>
            <w:tcMar>
              <w:top w:w="80" w:type="dxa"/>
              <w:left w:w="100" w:type="dxa"/>
              <w:bottom w:w="80" w:type="dxa"/>
              <w:right w:w="100" w:type="dxa"/>
            </w:tcMar>
          </w:tcPr>
          <w:p w14:paraId="13367354" w14:textId="77777777" w:rsidR="004C1010" w:rsidRDefault="002378A4">
            <w:r>
              <w:rPr>
                <w:color w:val="000000"/>
                <w:sz w:val="20"/>
                <w:szCs w:val="20"/>
              </w:rPr>
              <w:t>5.4%</w:t>
            </w:r>
          </w:p>
        </w:tc>
        <w:tc>
          <w:tcPr>
            <w:tcW w:w="1900" w:type="dxa"/>
            <w:tcMar>
              <w:top w:w="80" w:type="dxa"/>
              <w:left w:w="100" w:type="dxa"/>
              <w:bottom w:w="80" w:type="dxa"/>
              <w:right w:w="100" w:type="dxa"/>
            </w:tcMar>
          </w:tcPr>
          <w:p w14:paraId="2AF327B2" w14:textId="77777777" w:rsidR="004C1010" w:rsidRDefault="002378A4">
            <w:r>
              <w:rPr>
                <w:color w:val="000000"/>
                <w:sz w:val="20"/>
                <w:szCs w:val="20"/>
              </w:rPr>
              <w:t>6.6%</w:t>
            </w:r>
          </w:p>
        </w:tc>
        <w:tc>
          <w:tcPr>
            <w:tcW w:w="1500" w:type="dxa"/>
            <w:tcMar>
              <w:top w:w="80" w:type="dxa"/>
              <w:left w:w="100" w:type="dxa"/>
              <w:bottom w:w="80" w:type="dxa"/>
              <w:right w:w="100" w:type="dxa"/>
            </w:tcMar>
          </w:tcPr>
          <w:p w14:paraId="4D46AAC2" w14:textId="77777777" w:rsidR="004C1010" w:rsidRDefault="002378A4">
            <w:r>
              <w:rPr>
                <w:color w:val="000000"/>
                <w:sz w:val="20"/>
                <w:szCs w:val="20"/>
              </w:rPr>
              <w:t>3.8%</w:t>
            </w:r>
          </w:p>
        </w:tc>
      </w:tr>
      <w:tr w:rsidR="004C1010" w14:paraId="0780C0EA"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62DFEDFF" w14:textId="77777777" w:rsidR="004C1010" w:rsidRDefault="002378A4">
            <w:r>
              <w:rPr>
                <w:color w:val="000000"/>
                <w:sz w:val="20"/>
                <w:szCs w:val="20"/>
              </w:rPr>
              <w:t>Dance</w:t>
            </w:r>
          </w:p>
        </w:tc>
        <w:tc>
          <w:tcPr>
            <w:tcW w:w="1300" w:type="dxa"/>
            <w:shd w:val="clear" w:color="auto" w:fill="F2F2F2"/>
            <w:tcMar>
              <w:top w:w="80" w:type="dxa"/>
              <w:left w:w="100" w:type="dxa"/>
              <w:bottom w:w="80" w:type="dxa"/>
              <w:right w:w="100" w:type="dxa"/>
            </w:tcMar>
          </w:tcPr>
          <w:p w14:paraId="43BA48DF" w14:textId="77777777" w:rsidR="004C1010" w:rsidRDefault="002378A4">
            <w:r>
              <w:rPr>
                <w:color w:val="000000"/>
                <w:sz w:val="20"/>
                <w:szCs w:val="20"/>
              </w:rPr>
              <w:t>8.7%</w:t>
            </w:r>
          </w:p>
        </w:tc>
        <w:tc>
          <w:tcPr>
            <w:tcW w:w="1700" w:type="dxa"/>
            <w:shd w:val="clear" w:color="auto" w:fill="F2F2F2"/>
            <w:tcMar>
              <w:top w:w="80" w:type="dxa"/>
              <w:left w:w="100" w:type="dxa"/>
              <w:bottom w:w="80" w:type="dxa"/>
              <w:right w:w="100" w:type="dxa"/>
            </w:tcMar>
          </w:tcPr>
          <w:p w14:paraId="5C8A68CE" w14:textId="77777777" w:rsidR="004C1010" w:rsidRDefault="002378A4">
            <w:r>
              <w:rPr>
                <w:color w:val="000000"/>
                <w:sz w:val="20"/>
                <w:szCs w:val="20"/>
              </w:rPr>
              <w:t>5.0%</w:t>
            </w:r>
          </w:p>
        </w:tc>
        <w:tc>
          <w:tcPr>
            <w:tcW w:w="1900" w:type="dxa"/>
            <w:shd w:val="clear" w:color="auto" w:fill="F2F2F2"/>
            <w:tcMar>
              <w:top w:w="80" w:type="dxa"/>
              <w:left w:w="100" w:type="dxa"/>
              <w:bottom w:w="80" w:type="dxa"/>
              <w:right w:w="100" w:type="dxa"/>
            </w:tcMar>
          </w:tcPr>
          <w:p w14:paraId="44E37FDA" w14:textId="77777777" w:rsidR="004C1010" w:rsidRDefault="002378A4">
            <w:r>
              <w:rPr>
                <w:color w:val="000000"/>
                <w:sz w:val="20"/>
                <w:szCs w:val="20"/>
              </w:rPr>
              <w:t>8.5%</w:t>
            </w:r>
          </w:p>
        </w:tc>
        <w:tc>
          <w:tcPr>
            <w:tcW w:w="1500" w:type="dxa"/>
            <w:shd w:val="clear" w:color="auto" w:fill="F2F2F2"/>
            <w:tcMar>
              <w:top w:w="80" w:type="dxa"/>
              <w:left w:w="100" w:type="dxa"/>
              <w:bottom w:w="80" w:type="dxa"/>
              <w:right w:w="100" w:type="dxa"/>
            </w:tcMar>
          </w:tcPr>
          <w:p w14:paraId="66AC9FF1" w14:textId="77777777" w:rsidR="004C1010" w:rsidRDefault="002378A4">
            <w:r>
              <w:rPr>
                <w:color w:val="000000"/>
                <w:sz w:val="20"/>
                <w:szCs w:val="20"/>
              </w:rPr>
              <w:t>6.8%</w:t>
            </w:r>
          </w:p>
        </w:tc>
      </w:tr>
      <w:tr w:rsidR="004C1010" w14:paraId="58DD8930" w14:textId="77777777">
        <w:tblPrEx>
          <w:tblCellMar>
            <w:top w:w="0" w:type="dxa"/>
            <w:bottom w:w="0" w:type="dxa"/>
          </w:tblCellMar>
        </w:tblPrEx>
        <w:tc>
          <w:tcPr>
            <w:tcW w:w="2600" w:type="dxa"/>
            <w:tcMar>
              <w:top w:w="80" w:type="dxa"/>
              <w:left w:w="100" w:type="dxa"/>
              <w:bottom w:w="80" w:type="dxa"/>
              <w:right w:w="100" w:type="dxa"/>
            </w:tcMar>
          </w:tcPr>
          <w:p w14:paraId="717574BF" w14:textId="77777777" w:rsidR="004C1010" w:rsidRDefault="002378A4">
            <w:r>
              <w:rPr>
                <w:color w:val="000000"/>
                <w:sz w:val="20"/>
                <w:szCs w:val="20"/>
              </w:rPr>
              <w:t>Racket sports</w:t>
            </w:r>
          </w:p>
        </w:tc>
        <w:tc>
          <w:tcPr>
            <w:tcW w:w="1300" w:type="dxa"/>
            <w:tcMar>
              <w:top w:w="80" w:type="dxa"/>
              <w:left w:w="100" w:type="dxa"/>
              <w:bottom w:w="80" w:type="dxa"/>
              <w:right w:w="100" w:type="dxa"/>
            </w:tcMar>
          </w:tcPr>
          <w:p w14:paraId="420CB5E1" w14:textId="77777777" w:rsidR="004C1010" w:rsidRDefault="002378A4">
            <w:r>
              <w:rPr>
                <w:color w:val="000000"/>
                <w:sz w:val="20"/>
                <w:szCs w:val="20"/>
              </w:rPr>
              <w:t>5.9%</w:t>
            </w:r>
          </w:p>
        </w:tc>
        <w:tc>
          <w:tcPr>
            <w:tcW w:w="1700" w:type="dxa"/>
            <w:tcMar>
              <w:top w:w="80" w:type="dxa"/>
              <w:left w:w="100" w:type="dxa"/>
              <w:bottom w:w="80" w:type="dxa"/>
              <w:right w:w="100" w:type="dxa"/>
            </w:tcMar>
          </w:tcPr>
          <w:p w14:paraId="7CAA4131" w14:textId="77777777" w:rsidR="004C1010" w:rsidRDefault="002378A4">
            <w:r>
              <w:rPr>
                <w:color w:val="000000"/>
                <w:sz w:val="20"/>
                <w:szCs w:val="20"/>
              </w:rPr>
              <w:t>5.0%</w:t>
            </w:r>
          </w:p>
        </w:tc>
        <w:tc>
          <w:tcPr>
            <w:tcW w:w="1900" w:type="dxa"/>
            <w:tcMar>
              <w:top w:w="80" w:type="dxa"/>
              <w:left w:w="100" w:type="dxa"/>
              <w:bottom w:w="80" w:type="dxa"/>
              <w:right w:w="100" w:type="dxa"/>
            </w:tcMar>
          </w:tcPr>
          <w:p w14:paraId="2A93E771" w14:textId="77777777" w:rsidR="004C1010" w:rsidRDefault="002378A4">
            <w:r>
              <w:rPr>
                <w:color w:val="000000"/>
                <w:sz w:val="20"/>
                <w:szCs w:val="20"/>
              </w:rPr>
              <w:t>5.8%</w:t>
            </w:r>
          </w:p>
        </w:tc>
        <w:tc>
          <w:tcPr>
            <w:tcW w:w="1500" w:type="dxa"/>
            <w:tcMar>
              <w:top w:w="80" w:type="dxa"/>
              <w:left w:w="100" w:type="dxa"/>
              <w:bottom w:w="80" w:type="dxa"/>
              <w:right w:w="100" w:type="dxa"/>
            </w:tcMar>
          </w:tcPr>
          <w:p w14:paraId="0722B099" w14:textId="77777777" w:rsidR="004C1010" w:rsidRDefault="002378A4">
            <w:r>
              <w:rPr>
                <w:color w:val="000000"/>
                <w:sz w:val="20"/>
                <w:szCs w:val="20"/>
              </w:rPr>
              <w:t>3.9%</w:t>
            </w:r>
          </w:p>
        </w:tc>
      </w:tr>
      <w:tr w:rsidR="004C1010" w14:paraId="22E0FC63"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45E4EBB3" w14:textId="77777777" w:rsidR="004C1010" w:rsidRDefault="002378A4">
            <w:r>
              <w:rPr>
                <w:color w:val="000000"/>
                <w:sz w:val="20"/>
                <w:szCs w:val="20"/>
              </w:rPr>
              <w:t>Club membership (any sport)</w:t>
            </w:r>
          </w:p>
        </w:tc>
        <w:tc>
          <w:tcPr>
            <w:tcW w:w="1300" w:type="dxa"/>
            <w:shd w:val="clear" w:color="auto" w:fill="F2F2F2"/>
            <w:tcMar>
              <w:top w:w="80" w:type="dxa"/>
              <w:left w:w="100" w:type="dxa"/>
              <w:bottom w:w="80" w:type="dxa"/>
              <w:right w:w="100" w:type="dxa"/>
            </w:tcMar>
          </w:tcPr>
          <w:p w14:paraId="7A331621" w14:textId="77777777" w:rsidR="004C1010" w:rsidRDefault="002378A4">
            <w:r>
              <w:rPr>
                <w:color w:val="000000"/>
                <w:sz w:val="20"/>
                <w:szCs w:val="20"/>
              </w:rPr>
              <w:t>15.5%</w:t>
            </w:r>
          </w:p>
        </w:tc>
        <w:tc>
          <w:tcPr>
            <w:tcW w:w="1700" w:type="dxa"/>
            <w:shd w:val="clear" w:color="auto" w:fill="F2F2F2"/>
            <w:tcMar>
              <w:top w:w="80" w:type="dxa"/>
              <w:left w:w="100" w:type="dxa"/>
              <w:bottom w:w="80" w:type="dxa"/>
              <w:right w:w="100" w:type="dxa"/>
            </w:tcMar>
          </w:tcPr>
          <w:p w14:paraId="14E4E39B" w14:textId="77777777" w:rsidR="004C1010" w:rsidRDefault="002378A4">
            <w:r>
              <w:rPr>
                <w:color w:val="000000"/>
                <w:sz w:val="20"/>
                <w:szCs w:val="20"/>
              </w:rPr>
              <w:t>19.3%</w:t>
            </w:r>
          </w:p>
        </w:tc>
        <w:tc>
          <w:tcPr>
            <w:tcW w:w="1900" w:type="dxa"/>
            <w:shd w:val="clear" w:color="auto" w:fill="F2F2F2"/>
            <w:tcMar>
              <w:top w:w="80" w:type="dxa"/>
              <w:left w:w="100" w:type="dxa"/>
              <w:bottom w:w="80" w:type="dxa"/>
              <w:right w:w="100" w:type="dxa"/>
            </w:tcMar>
          </w:tcPr>
          <w:p w14:paraId="2BFC6F47" w14:textId="77777777" w:rsidR="004C1010" w:rsidRDefault="002378A4">
            <w:r>
              <w:rPr>
                <w:color w:val="000000"/>
                <w:sz w:val="20"/>
                <w:szCs w:val="20"/>
              </w:rPr>
              <w:t>14.8%</w:t>
            </w:r>
          </w:p>
        </w:tc>
        <w:tc>
          <w:tcPr>
            <w:tcW w:w="1500" w:type="dxa"/>
            <w:shd w:val="clear" w:color="auto" w:fill="F2F2F2"/>
            <w:tcMar>
              <w:top w:w="80" w:type="dxa"/>
              <w:left w:w="100" w:type="dxa"/>
              <w:bottom w:w="80" w:type="dxa"/>
              <w:right w:w="100" w:type="dxa"/>
            </w:tcMar>
          </w:tcPr>
          <w:p w14:paraId="0E45B297" w14:textId="77777777" w:rsidR="004C1010" w:rsidRDefault="002378A4">
            <w:r>
              <w:rPr>
                <w:color w:val="000000"/>
                <w:sz w:val="20"/>
                <w:szCs w:val="20"/>
              </w:rPr>
              <w:t>15.7%</w:t>
            </w:r>
          </w:p>
        </w:tc>
      </w:tr>
      <w:tr w:rsidR="004C1010" w14:paraId="407E6A88" w14:textId="77777777">
        <w:tblPrEx>
          <w:tblCellMar>
            <w:top w:w="0" w:type="dxa"/>
            <w:bottom w:w="0" w:type="dxa"/>
          </w:tblCellMar>
        </w:tblPrEx>
        <w:tc>
          <w:tcPr>
            <w:tcW w:w="2600" w:type="dxa"/>
            <w:tcMar>
              <w:top w:w="80" w:type="dxa"/>
              <w:left w:w="100" w:type="dxa"/>
              <w:bottom w:w="80" w:type="dxa"/>
              <w:right w:w="100" w:type="dxa"/>
            </w:tcMar>
          </w:tcPr>
          <w:p w14:paraId="2C3F17EA" w14:textId="77777777" w:rsidR="004C1010" w:rsidRDefault="002378A4">
            <w:r>
              <w:rPr>
                <w:color w:val="000000"/>
                <w:sz w:val="20"/>
                <w:szCs w:val="20"/>
              </w:rPr>
              <w:t>Fitness club / gym</w:t>
            </w:r>
          </w:p>
        </w:tc>
        <w:tc>
          <w:tcPr>
            <w:tcW w:w="1300" w:type="dxa"/>
            <w:tcMar>
              <w:top w:w="80" w:type="dxa"/>
              <w:left w:w="100" w:type="dxa"/>
              <w:bottom w:w="80" w:type="dxa"/>
              <w:right w:w="100" w:type="dxa"/>
            </w:tcMar>
          </w:tcPr>
          <w:p w14:paraId="0B853D75" w14:textId="77777777" w:rsidR="004C1010" w:rsidRDefault="002378A4">
            <w:r>
              <w:rPr>
                <w:color w:val="000000"/>
                <w:sz w:val="20"/>
                <w:szCs w:val="20"/>
              </w:rPr>
              <w:t>8.9%</w:t>
            </w:r>
          </w:p>
        </w:tc>
        <w:tc>
          <w:tcPr>
            <w:tcW w:w="1700" w:type="dxa"/>
            <w:tcMar>
              <w:top w:w="80" w:type="dxa"/>
              <w:left w:w="100" w:type="dxa"/>
              <w:bottom w:w="80" w:type="dxa"/>
              <w:right w:w="100" w:type="dxa"/>
            </w:tcMar>
          </w:tcPr>
          <w:p w14:paraId="119375FE" w14:textId="77777777" w:rsidR="004C1010" w:rsidRDefault="002378A4">
            <w:r>
              <w:rPr>
                <w:color w:val="000000"/>
                <w:sz w:val="20"/>
                <w:szCs w:val="20"/>
              </w:rPr>
              <w:t>8.4%</w:t>
            </w:r>
          </w:p>
        </w:tc>
        <w:tc>
          <w:tcPr>
            <w:tcW w:w="1900" w:type="dxa"/>
            <w:tcMar>
              <w:top w:w="80" w:type="dxa"/>
              <w:left w:w="100" w:type="dxa"/>
              <w:bottom w:w="80" w:type="dxa"/>
              <w:right w:w="100" w:type="dxa"/>
            </w:tcMar>
          </w:tcPr>
          <w:p w14:paraId="6122457F" w14:textId="77777777" w:rsidR="004C1010" w:rsidRDefault="002378A4">
            <w:r>
              <w:rPr>
                <w:color w:val="000000"/>
                <w:sz w:val="20"/>
                <w:szCs w:val="20"/>
              </w:rPr>
              <w:t>8.5%</w:t>
            </w:r>
          </w:p>
        </w:tc>
        <w:tc>
          <w:tcPr>
            <w:tcW w:w="1500" w:type="dxa"/>
            <w:tcMar>
              <w:top w:w="80" w:type="dxa"/>
              <w:left w:w="100" w:type="dxa"/>
              <w:bottom w:w="80" w:type="dxa"/>
              <w:right w:w="100" w:type="dxa"/>
            </w:tcMar>
          </w:tcPr>
          <w:p w14:paraId="7AD10A20" w14:textId="77777777" w:rsidR="004C1010" w:rsidRDefault="002378A4">
            <w:r>
              <w:rPr>
                <w:color w:val="000000"/>
                <w:sz w:val="20"/>
                <w:szCs w:val="20"/>
              </w:rPr>
              <w:t>8.4%</w:t>
            </w:r>
          </w:p>
        </w:tc>
      </w:tr>
      <w:tr w:rsidR="004C1010" w14:paraId="3FA7A7F3"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4CC9B574" w14:textId="77777777" w:rsidR="004C1010" w:rsidRDefault="002378A4">
            <w:r>
              <w:rPr>
                <w:color w:val="000000"/>
                <w:sz w:val="20"/>
                <w:szCs w:val="20"/>
              </w:rPr>
              <w:t>Team-sport club</w:t>
            </w:r>
          </w:p>
        </w:tc>
        <w:tc>
          <w:tcPr>
            <w:tcW w:w="1300" w:type="dxa"/>
            <w:shd w:val="clear" w:color="auto" w:fill="F2F2F2"/>
            <w:tcMar>
              <w:top w:w="80" w:type="dxa"/>
              <w:left w:w="100" w:type="dxa"/>
              <w:bottom w:w="80" w:type="dxa"/>
              <w:right w:w="100" w:type="dxa"/>
            </w:tcMar>
          </w:tcPr>
          <w:p w14:paraId="7142F901" w14:textId="77777777" w:rsidR="004C1010" w:rsidRDefault="002378A4">
            <w:r>
              <w:rPr>
                <w:color w:val="000000"/>
                <w:sz w:val="20"/>
                <w:szCs w:val="20"/>
              </w:rPr>
              <w:t>4.5%</w:t>
            </w:r>
          </w:p>
        </w:tc>
        <w:tc>
          <w:tcPr>
            <w:tcW w:w="1700" w:type="dxa"/>
            <w:shd w:val="clear" w:color="auto" w:fill="F2F2F2"/>
            <w:tcMar>
              <w:top w:w="80" w:type="dxa"/>
              <w:left w:w="100" w:type="dxa"/>
              <w:bottom w:w="80" w:type="dxa"/>
              <w:right w:w="100" w:type="dxa"/>
            </w:tcMar>
          </w:tcPr>
          <w:p w14:paraId="3157A1B6" w14:textId="77777777" w:rsidR="004C1010" w:rsidRDefault="002378A4">
            <w:r>
              <w:rPr>
                <w:color w:val="000000"/>
                <w:sz w:val="20"/>
                <w:szCs w:val="20"/>
              </w:rPr>
              <w:t>6.9%</w:t>
            </w:r>
          </w:p>
        </w:tc>
        <w:tc>
          <w:tcPr>
            <w:tcW w:w="1900" w:type="dxa"/>
            <w:shd w:val="clear" w:color="auto" w:fill="F2F2F2"/>
            <w:tcMar>
              <w:top w:w="80" w:type="dxa"/>
              <w:left w:w="100" w:type="dxa"/>
              <w:bottom w:w="80" w:type="dxa"/>
              <w:right w:w="100" w:type="dxa"/>
            </w:tcMar>
          </w:tcPr>
          <w:p w14:paraId="09E390D2" w14:textId="77777777" w:rsidR="004C1010" w:rsidRDefault="002378A4">
            <w:r>
              <w:rPr>
                <w:color w:val="000000"/>
                <w:sz w:val="20"/>
                <w:szCs w:val="20"/>
              </w:rPr>
              <w:t>4.2%</w:t>
            </w:r>
          </w:p>
        </w:tc>
        <w:tc>
          <w:tcPr>
            <w:tcW w:w="1500" w:type="dxa"/>
            <w:shd w:val="clear" w:color="auto" w:fill="F2F2F2"/>
            <w:tcMar>
              <w:top w:w="80" w:type="dxa"/>
              <w:left w:w="100" w:type="dxa"/>
              <w:bottom w:w="80" w:type="dxa"/>
              <w:right w:w="100" w:type="dxa"/>
            </w:tcMar>
          </w:tcPr>
          <w:p w14:paraId="7A3789A0" w14:textId="77777777" w:rsidR="004C1010" w:rsidRDefault="002378A4">
            <w:r>
              <w:rPr>
                <w:color w:val="000000"/>
                <w:sz w:val="20"/>
                <w:szCs w:val="20"/>
              </w:rPr>
              <w:t>4.5%</w:t>
            </w:r>
          </w:p>
        </w:tc>
      </w:tr>
    </w:tbl>
    <w:p w14:paraId="1DE2F39D" w14:textId="77777777" w:rsidR="004C1010" w:rsidRDefault="004C1010">
      <w:pPr>
        <w:spacing w:after="240"/>
      </w:pPr>
    </w:p>
    <w:p w14:paraId="26A89BD0" w14:textId="77777777" w:rsidR="004C1010" w:rsidRDefault="002378A4">
      <w:pPr>
        <w:spacing w:after="180"/>
        <w:jc w:val="both"/>
      </w:pPr>
      <w:r>
        <w:t xml:space="preserve">Club membership figures are separate, possibly overlapping breakdowns rather than components of a single total — </w:t>
      </w:r>
      <w:r>
        <w:rPr>
          <w:i/>
          <w:iCs/>
        </w:rPr>
        <w:t>'fitness club/gym' and 'team-sport club' do not sum to 'club membership (any sport)', since a person could belong to both, or to a club type not itemised here.</w:t>
      </w:r>
    </w:p>
    <w:p w14:paraId="2D6E42DF" w14:textId="77777777" w:rsidR="004C1010" w:rsidRDefault="002378A4">
      <w:pPr>
        <w:spacing w:after="180"/>
        <w:jc w:val="both"/>
      </w:pPr>
      <w:r>
        <w:t>A consistent pattern emerges across the 'if recent gains continue' column: for every individual activity except cycling, continuing the recent trend implies a decline over the decade — but for all three club-</w:t>
      </w:r>
      <w:r>
        <w:lastRenderedPageBreak/>
        <w:t>membership measures, continuing the recent trend implies growth. This suggests informal, unstructured activity (walking, dance, casual team sport) has been trending down since its pre-COVID level, while formal, club-based participation has been recovering upward. This divergence is directly relevant to the club-membership bullet below.</w:t>
      </w:r>
    </w:p>
    <w:p w14:paraId="7A082359" w14:textId="77777777" w:rsidR="004C1010" w:rsidRDefault="002378A4">
      <w:pPr>
        <w:spacing w:before="120" w:after="60"/>
        <w:jc w:val="center"/>
      </w:pPr>
      <w:r>
        <w:rPr>
          <w:noProof/>
        </w:rPr>
        <w:drawing>
          <wp:inline distT="0" distB="0" distL="0" distR="0" wp14:anchorId="13678991" wp14:editId="061529CA">
            <wp:extent cx="5486400" cy="2886075"/>
            <wp:effectExtent l="0" t="0" r="0" b="0"/>
            <wp:docPr id="861997227" name="Picture 861997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2886075"/>
                    </a:xfrm>
                    <a:prstGeom prst="rect">
                      <a:avLst/>
                    </a:prstGeom>
                  </pic:spPr>
                </pic:pic>
              </a:graphicData>
            </a:graphic>
          </wp:inline>
        </w:drawing>
      </w:r>
    </w:p>
    <w:p w14:paraId="25411255" w14:textId="77777777" w:rsidR="004C1010" w:rsidRDefault="002378A4">
      <w:pPr>
        <w:spacing w:after="240"/>
        <w:jc w:val="center"/>
      </w:pPr>
      <w:r>
        <w:rPr>
          <w:i/>
          <w:iCs/>
          <w:color w:val="808080"/>
          <w:sz w:val="20"/>
          <w:szCs w:val="20"/>
        </w:rPr>
        <w:t>Figure P1.3. Active travel: ten-year scenarios (widest scenario spread of any activity measured).</w:t>
      </w:r>
    </w:p>
    <w:p w14:paraId="4C690A3D" w14:textId="77777777" w:rsidR="004C1010" w:rsidRDefault="002378A4">
      <w:pPr>
        <w:spacing w:before="120" w:after="60"/>
        <w:jc w:val="center"/>
      </w:pPr>
      <w:r>
        <w:rPr>
          <w:noProof/>
        </w:rPr>
        <w:drawing>
          <wp:inline distT="0" distB="0" distL="0" distR="0" wp14:anchorId="74F0E101" wp14:editId="57F4CD29">
            <wp:extent cx="5486400" cy="2886075"/>
            <wp:effectExtent l="0" t="0" r="0" b="0"/>
            <wp:docPr id="110439912" name="Picture 110439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2886075"/>
                    </a:xfrm>
                    <a:prstGeom prst="rect">
                      <a:avLst/>
                    </a:prstGeom>
                  </pic:spPr>
                </pic:pic>
              </a:graphicData>
            </a:graphic>
          </wp:inline>
        </w:drawing>
      </w:r>
    </w:p>
    <w:p w14:paraId="74BAAB4F" w14:textId="77777777" w:rsidR="004C1010" w:rsidRDefault="002378A4">
      <w:pPr>
        <w:spacing w:after="240"/>
        <w:jc w:val="center"/>
      </w:pPr>
      <w:r>
        <w:rPr>
          <w:i/>
          <w:iCs/>
          <w:color w:val="808080"/>
          <w:sz w:val="20"/>
          <w:szCs w:val="20"/>
        </w:rPr>
        <w:t>Figure P1.4. Walking: ten-year scenarios (largest-base activity measured).</w:t>
      </w:r>
    </w:p>
    <w:p w14:paraId="384AFE25" w14:textId="77777777" w:rsidR="004C1010" w:rsidRDefault="002378A4">
      <w:pPr>
        <w:spacing w:after="180"/>
        <w:jc w:val="both"/>
      </w:pPr>
      <w:r>
        <w:t>The remaining five individual activities (cycling, fitness activities, team sports, dance, racket sports) follow the same scenario structure and are provided in full in the Supplementary Figures below.</w:t>
      </w:r>
    </w:p>
    <w:p w14:paraId="3004A271" w14:textId="77777777" w:rsidR="004C1010" w:rsidRDefault="002378A4">
      <w:pPr>
        <w:pStyle w:val="Heading2"/>
      </w:pPr>
      <w:r>
        <w:t>Sport-specific club membership</w:t>
      </w:r>
    </w:p>
    <w:p w14:paraId="3CD88A17" w14:textId="77777777" w:rsidR="004C1010" w:rsidRDefault="002378A4">
      <w:pPr>
        <w:spacing w:after="180"/>
        <w:jc w:val="both"/>
      </w:pPr>
      <w:r>
        <w:t xml:space="preserve">Club membership is the one area of Table P1.1 </w:t>
      </w:r>
      <w:proofErr w:type="gramStart"/>
      <w:r>
        <w:t>where</w:t>
      </w:r>
      <w:proofErr w:type="gramEnd"/>
      <w:r>
        <w:t xml:space="preserve"> continuing the recent trend points upward rather than downward. Club membership (any sport) is projected to reach 19.3% under the 'gains continue' scenario, against 14.8% if behaviour flattens and only the population changes — a wider and more favourable scenario range than almost any individual activity measured.</w:t>
      </w:r>
    </w:p>
    <w:p w14:paraId="5A36614E" w14:textId="77777777" w:rsidR="004C1010" w:rsidRDefault="002378A4">
      <w:pPr>
        <w:spacing w:before="120" w:after="60"/>
        <w:jc w:val="center"/>
      </w:pPr>
      <w:r>
        <w:rPr>
          <w:noProof/>
        </w:rPr>
        <w:lastRenderedPageBreak/>
        <w:drawing>
          <wp:inline distT="0" distB="0" distL="0" distR="0" wp14:anchorId="656F8A04" wp14:editId="030E996B">
            <wp:extent cx="5486400" cy="2886075"/>
            <wp:effectExtent l="0" t="0" r="0" b="0"/>
            <wp:docPr id="1964564831" name="Picture 1964564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2886075"/>
                    </a:xfrm>
                    <a:prstGeom prst="rect">
                      <a:avLst/>
                    </a:prstGeom>
                  </pic:spPr>
                </pic:pic>
              </a:graphicData>
            </a:graphic>
          </wp:inline>
        </w:drawing>
      </w:r>
    </w:p>
    <w:p w14:paraId="733FDC14" w14:textId="77777777" w:rsidR="004C1010" w:rsidRDefault="002378A4">
      <w:pPr>
        <w:spacing w:after="240"/>
        <w:jc w:val="center"/>
      </w:pPr>
      <w:r>
        <w:rPr>
          <w:i/>
          <w:iCs/>
          <w:color w:val="808080"/>
          <w:sz w:val="20"/>
          <w:szCs w:val="20"/>
        </w:rPr>
        <w:t>Figure P1.5. Club membership (any sport): ten-year scenarios.</w:t>
      </w:r>
    </w:p>
    <w:p w14:paraId="73EAD6EF" w14:textId="77777777" w:rsidR="004C1010" w:rsidRDefault="002378A4">
      <w:pPr>
        <w:spacing w:after="180"/>
        <w:jc w:val="both"/>
      </w:pPr>
      <w:r>
        <w:t>Fitness club/gym and team-sport club membership (Table P1.1) show more modest movement individually, but both sit within the same general recovery pattern as overall club membership, reinforcing that the post-pandemic rebound in participation has been concentrated in structured, club-based settings rather than informal activity.</w:t>
      </w:r>
    </w:p>
    <w:p w14:paraId="13448FC7" w14:textId="77777777" w:rsidR="004C1010" w:rsidRDefault="002378A4">
      <w:pPr>
        <w:pStyle w:val="Heading2"/>
      </w:pPr>
      <w:r>
        <w:t>Forecasts of activity levels for each London borough</w:t>
      </w:r>
    </w:p>
    <w:p w14:paraId="484C8FFF" w14:textId="77777777" w:rsidR="004C1010" w:rsidRDefault="002378A4">
      <w:pPr>
        <w:spacing w:after="180"/>
        <w:jc w:val="both"/>
      </w:pPr>
      <w:r>
        <w:t>Applying the propensity model to each borough's projected demographic composition produces a 2025 borough-level forecast ranging from 51.3% (Barking and Dagenham) to 75.4% (Wandsworth) — a spread consistent with the borough variation already established in the EDA (Section 3.4). Boroughs in inner south-west and central London remain projected to lead; outer east and north-east London boroughs remain projected to lag.</w:t>
      </w:r>
    </w:p>
    <w:p w14:paraId="3C3D0726" w14:textId="77777777" w:rsidR="004C1010" w:rsidRDefault="002378A4">
      <w:pPr>
        <w:spacing w:before="120" w:after="60"/>
        <w:jc w:val="center"/>
      </w:pPr>
      <w:r>
        <w:rPr>
          <w:noProof/>
        </w:rPr>
        <w:lastRenderedPageBreak/>
        <w:drawing>
          <wp:inline distT="0" distB="0" distL="0" distR="0" wp14:anchorId="622048CE" wp14:editId="0B95E3C1">
            <wp:extent cx="5486400" cy="4210050"/>
            <wp:effectExtent l="0" t="0" r="0" b="0"/>
            <wp:docPr id="1136636240" name="Picture 1136636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4210050"/>
                    </a:xfrm>
                    <a:prstGeom prst="rect">
                      <a:avLst/>
                    </a:prstGeom>
                  </pic:spPr>
                </pic:pic>
              </a:graphicData>
            </a:graphic>
          </wp:inline>
        </w:drawing>
      </w:r>
    </w:p>
    <w:p w14:paraId="0C480AA9" w14:textId="77777777" w:rsidR="004C1010" w:rsidRDefault="002378A4">
      <w:pPr>
        <w:spacing w:after="240"/>
        <w:jc w:val="center"/>
      </w:pPr>
      <w:r>
        <w:rPr>
          <w:i/>
          <w:iCs/>
          <w:color w:val="808080"/>
          <w:sz w:val="20"/>
          <w:szCs w:val="20"/>
        </w:rPr>
        <w:t>Figure P1.6. Ten most active boroughs, projected share of adults meeting the guideline, 2025.</w:t>
      </w:r>
    </w:p>
    <w:p w14:paraId="42CD9E4E" w14:textId="77777777" w:rsidR="004C1010" w:rsidRDefault="002378A4">
      <w:pPr>
        <w:spacing w:before="120" w:after="60"/>
        <w:jc w:val="center"/>
      </w:pPr>
      <w:r>
        <w:rPr>
          <w:noProof/>
        </w:rPr>
        <w:drawing>
          <wp:inline distT="0" distB="0" distL="0" distR="0" wp14:anchorId="104F1039" wp14:editId="442E1B85">
            <wp:extent cx="5486400" cy="3067050"/>
            <wp:effectExtent l="0" t="0" r="0" b="0"/>
            <wp:docPr id="1568220658" name="Picture 1568220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3067050"/>
                    </a:xfrm>
                    <a:prstGeom prst="rect">
                      <a:avLst/>
                    </a:prstGeom>
                  </pic:spPr>
                </pic:pic>
              </a:graphicData>
            </a:graphic>
          </wp:inline>
        </w:drawing>
      </w:r>
    </w:p>
    <w:p w14:paraId="653EF6EB" w14:textId="77777777" w:rsidR="004C1010" w:rsidRDefault="002378A4">
      <w:pPr>
        <w:spacing w:after="240"/>
        <w:jc w:val="center"/>
      </w:pPr>
      <w:r>
        <w:rPr>
          <w:i/>
          <w:iCs/>
          <w:color w:val="808080"/>
          <w:sz w:val="20"/>
          <w:szCs w:val="20"/>
        </w:rPr>
        <w:t>Figure P1.7. Five least active boroughs, projected share of adults meeting the guideline, 2025.</w:t>
      </w:r>
    </w:p>
    <w:p w14:paraId="3B937461" w14:textId="77777777" w:rsidR="004C1010" w:rsidRDefault="002378A4">
      <w:pPr>
        <w:spacing w:after="180"/>
        <w:jc w:val="both"/>
      </w:pPr>
      <w:r>
        <w:t>Barking and Dagenham's projected 51.3% sits noticeably below the next-lowest borough (Hounslow, 57.8%), a gap consistent with its position as an outlier in the underlying EDA (Section 3.4) rather than a modelling artefact.</w:t>
      </w:r>
    </w:p>
    <w:p w14:paraId="22E4935E" w14:textId="77777777" w:rsidR="004C1010" w:rsidRDefault="002378A4">
      <w:pPr>
        <w:pStyle w:val="Heading2"/>
      </w:pPr>
      <w:r>
        <w:lastRenderedPageBreak/>
        <w:t>Key factors that may reduce free time and affect participation</w:t>
      </w:r>
    </w:p>
    <w:p w14:paraId="35F646BB" w14:textId="77777777" w:rsidR="004C1010" w:rsidRDefault="002378A4">
      <w:pPr>
        <w:spacing w:after="180"/>
        <w:jc w:val="both"/>
      </w:pPr>
      <w:r>
        <w:t>Free-time constraint questions were asked once, in the 2022–23 wave only, of approximately a third of respondents. This bullet is therefore necessarily a cross-sectional snapshot rather than a ten-year forecast; no trend or projection is available for this measure.</w:t>
      </w:r>
    </w:p>
    <w:p w14:paraId="440435A5" w14:textId="77777777" w:rsidR="004C1010" w:rsidRDefault="002378A4">
      <w:pPr>
        <w:spacing w:after="180"/>
        <w:jc w:val="both"/>
      </w:pPr>
      <w:r>
        <w:t xml:space="preserve">Looking after children is the </w:t>
      </w:r>
      <w:proofErr w:type="gramStart"/>
      <w:r>
        <w:t>most commonly reported</w:t>
      </w:r>
      <w:proofErr w:type="gramEnd"/>
      <w:r>
        <w:t xml:space="preserve"> constraint for adults aged 16–24 (66%) and 25–44 (52%), while work and study commitments dominate for the youngest and middle age groups respectively. Health or disability becomes a more prominent constraint from age 45 onwards, consistent with the demographic patterns established in Section 3.4.</w:t>
      </w:r>
    </w:p>
    <w:p w14:paraId="708AE03E" w14:textId="77777777" w:rsidR="004C1010" w:rsidRDefault="002378A4">
      <w:pPr>
        <w:spacing w:before="120" w:after="60"/>
        <w:jc w:val="center"/>
      </w:pPr>
      <w:r>
        <w:rPr>
          <w:noProof/>
        </w:rPr>
        <w:drawing>
          <wp:inline distT="0" distB="0" distL="0" distR="0" wp14:anchorId="37E29BBA" wp14:editId="0B7D0351">
            <wp:extent cx="5486400" cy="3600450"/>
            <wp:effectExtent l="0" t="0" r="0" b="0"/>
            <wp:docPr id="1514250321" name="Picture 1514250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3600450"/>
                    </a:xfrm>
                    <a:prstGeom prst="rect">
                      <a:avLst/>
                    </a:prstGeom>
                  </pic:spPr>
                </pic:pic>
              </a:graphicData>
            </a:graphic>
          </wp:inline>
        </w:drawing>
      </w:r>
    </w:p>
    <w:p w14:paraId="1AC99A8B" w14:textId="77777777" w:rsidR="004C1010" w:rsidRDefault="002378A4">
      <w:pPr>
        <w:spacing w:after="240"/>
        <w:jc w:val="center"/>
      </w:pPr>
      <w:r>
        <w:rPr>
          <w:i/>
          <w:iCs/>
          <w:color w:val="808080"/>
          <w:sz w:val="20"/>
          <w:szCs w:val="20"/>
        </w:rPr>
        <w:t>Figure P1.8. Reasons free time for activity is limited, by age group (London adults, 2022–23).</w:t>
      </w:r>
    </w:p>
    <w:p w14:paraId="433A8F40" w14:textId="77777777" w:rsidR="004C1010" w:rsidRDefault="002378A4">
      <w:pPr>
        <w:spacing w:before="120" w:after="60"/>
        <w:jc w:val="center"/>
      </w:pPr>
      <w:r>
        <w:rPr>
          <w:noProof/>
        </w:rPr>
        <w:lastRenderedPageBreak/>
        <w:drawing>
          <wp:inline distT="0" distB="0" distL="0" distR="0" wp14:anchorId="55F4FE9C" wp14:editId="32D88BC0">
            <wp:extent cx="5486400" cy="3638550"/>
            <wp:effectExtent l="0" t="0" r="0" b="0"/>
            <wp:docPr id="622693631" name="Picture 622693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3638550"/>
                    </a:xfrm>
                    <a:prstGeom prst="rect">
                      <a:avLst/>
                    </a:prstGeom>
                  </pic:spPr>
                </pic:pic>
              </a:graphicData>
            </a:graphic>
          </wp:inline>
        </w:drawing>
      </w:r>
    </w:p>
    <w:p w14:paraId="38967267" w14:textId="77777777" w:rsidR="004C1010" w:rsidRDefault="002378A4">
      <w:pPr>
        <w:spacing w:after="240"/>
        <w:jc w:val="center"/>
      </w:pPr>
      <w:r>
        <w:rPr>
          <w:i/>
          <w:iCs/>
          <w:color w:val="808080"/>
          <w:sz w:val="20"/>
          <w:szCs w:val="20"/>
        </w:rPr>
        <w:t>Figure P1.9. Reasons free time for activity is limited, by gender (London adults, 2022–23).</w:t>
      </w:r>
    </w:p>
    <w:p w14:paraId="7EAF9F53" w14:textId="77777777" w:rsidR="004C1010" w:rsidRDefault="002378A4">
      <w:pPr>
        <w:spacing w:after="180"/>
        <w:jc w:val="both"/>
      </w:pPr>
      <w:r>
        <w:t>Reporting a free-time constraint does not correspond to lower activity — if anything, the opposite holds. Adults who report at least one constraint on their free time are, in every age group and both genders, slightly more likely to be Active than those who report no constraint at all. The gap is largest for 16–24-year-olds (74% against 67%) and persists, at a smaller margin, across every other group shown.</w:t>
      </w:r>
    </w:p>
    <w:p w14:paraId="32801F0D" w14:textId="77777777" w:rsidR="004C1010" w:rsidRDefault="002378A4">
      <w:pPr>
        <w:spacing w:before="120" w:after="60"/>
        <w:jc w:val="center"/>
      </w:pPr>
      <w:r>
        <w:rPr>
          <w:noProof/>
        </w:rPr>
        <w:drawing>
          <wp:inline distT="0" distB="0" distL="0" distR="0" wp14:anchorId="38761FDD" wp14:editId="26B13655">
            <wp:extent cx="5486400" cy="3895725"/>
            <wp:effectExtent l="0" t="0" r="0" b="0"/>
            <wp:docPr id="650618472" name="Picture 650618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3895725"/>
                    </a:xfrm>
                    <a:prstGeom prst="rect">
                      <a:avLst/>
                    </a:prstGeom>
                  </pic:spPr>
                </pic:pic>
              </a:graphicData>
            </a:graphic>
          </wp:inline>
        </w:drawing>
      </w:r>
    </w:p>
    <w:p w14:paraId="7833FEC6" w14:textId="77777777" w:rsidR="004C1010" w:rsidRDefault="002378A4">
      <w:pPr>
        <w:spacing w:after="240"/>
        <w:jc w:val="center"/>
      </w:pPr>
      <w:r>
        <w:rPr>
          <w:i/>
          <w:iCs/>
          <w:color w:val="808080"/>
          <w:sz w:val="20"/>
          <w:szCs w:val="20"/>
        </w:rPr>
        <w:lastRenderedPageBreak/>
        <w:t>Figure P1.10. Activity rate by whether free time is constrained, by age group.</w:t>
      </w:r>
    </w:p>
    <w:p w14:paraId="7DC1F5F3" w14:textId="77777777" w:rsidR="004C1010" w:rsidRDefault="002378A4">
      <w:pPr>
        <w:spacing w:before="120" w:after="60"/>
        <w:jc w:val="center"/>
      </w:pPr>
      <w:r>
        <w:rPr>
          <w:noProof/>
        </w:rPr>
        <w:drawing>
          <wp:inline distT="0" distB="0" distL="0" distR="0" wp14:anchorId="777E1492" wp14:editId="3AE81FFF">
            <wp:extent cx="5486400" cy="3895725"/>
            <wp:effectExtent l="0" t="0" r="0" b="0"/>
            <wp:docPr id="1218145475" name="Picture 1218145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6400" cy="3895725"/>
                    </a:xfrm>
                    <a:prstGeom prst="rect">
                      <a:avLst/>
                    </a:prstGeom>
                  </pic:spPr>
                </pic:pic>
              </a:graphicData>
            </a:graphic>
          </wp:inline>
        </w:drawing>
      </w:r>
    </w:p>
    <w:p w14:paraId="15056D95" w14:textId="77777777" w:rsidR="004C1010" w:rsidRDefault="002378A4">
      <w:pPr>
        <w:spacing w:after="240"/>
        <w:jc w:val="center"/>
      </w:pPr>
      <w:r>
        <w:rPr>
          <w:i/>
          <w:iCs/>
          <w:color w:val="808080"/>
          <w:sz w:val="20"/>
          <w:szCs w:val="20"/>
        </w:rPr>
        <w:t>Figure P1.11. Activity rate by whether free time is constrained, by gender.</w:t>
      </w:r>
    </w:p>
    <w:p w14:paraId="0C499BD0" w14:textId="77777777" w:rsidR="004C1010" w:rsidRDefault="002378A4">
      <w:pPr>
        <w:spacing w:after="180"/>
        <w:jc w:val="both"/>
      </w:pPr>
      <w:r>
        <w:t>This is a descriptive association, not a causal one: it likely reflects that busy, time-constrained lives (work, childcare, study) are also often active lives — for example, active travel and looking after children can themselves involve physical activity — rather than implying that constraints on free time increase participation.</w:t>
      </w:r>
    </w:p>
    <w:p w14:paraId="7EEB3441" w14:textId="77777777" w:rsidR="004C1010" w:rsidRDefault="002378A4">
      <w:pPr>
        <w:pStyle w:val="Heading2"/>
      </w:pPr>
      <w:r>
        <w:t>Supplementary Figures</w:t>
      </w:r>
    </w:p>
    <w:p w14:paraId="20409C93" w14:textId="77777777" w:rsidR="004C1010" w:rsidRDefault="002378A4">
      <w:pPr>
        <w:spacing w:after="180"/>
        <w:jc w:val="both"/>
      </w:pPr>
      <w:r>
        <w:t>The figures below are provided for completeness. They follow the same structure as the headline figures above and are summarised numerically in Table P1.1; they are not repeated in the main narrative to avoid showing near-identical scenario charts ten times in sequence.</w:t>
      </w:r>
    </w:p>
    <w:p w14:paraId="69C369B9" w14:textId="77777777" w:rsidR="004C1010" w:rsidRDefault="002378A4">
      <w:pPr>
        <w:pStyle w:val="Heading3"/>
      </w:pPr>
      <w:r>
        <w:t>Three-year point forecasts, all ten activity/club types</w:t>
      </w:r>
    </w:p>
    <w:p w14:paraId="08BBD280" w14:textId="77777777" w:rsidR="004C1010" w:rsidRDefault="002378A4">
      <w:pPr>
        <w:spacing w:before="120" w:after="60"/>
        <w:jc w:val="center"/>
      </w:pPr>
      <w:r>
        <w:rPr>
          <w:noProof/>
        </w:rPr>
        <w:lastRenderedPageBreak/>
        <w:drawing>
          <wp:inline distT="0" distB="0" distL="0" distR="0" wp14:anchorId="76205652" wp14:editId="519C7C14">
            <wp:extent cx="5486400" cy="3886200"/>
            <wp:effectExtent l="0" t="0" r="0" b="0"/>
            <wp:docPr id="928714782" name="Picture 928714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86400" cy="3886200"/>
                    </a:xfrm>
                    <a:prstGeom prst="rect">
                      <a:avLst/>
                    </a:prstGeom>
                  </pic:spPr>
                </pic:pic>
              </a:graphicData>
            </a:graphic>
          </wp:inline>
        </w:drawing>
      </w:r>
    </w:p>
    <w:p w14:paraId="28872862" w14:textId="77777777" w:rsidR="004C1010" w:rsidRDefault="002378A4">
      <w:pPr>
        <w:spacing w:after="240"/>
        <w:jc w:val="center"/>
      </w:pPr>
      <w:r>
        <w:rPr>
          <w:i/>
          <w:iCs/>
          <w:color w:val="808080"/>
          <w:sz w:val="20"/>
          <w:szCs w:val="20"/>
        </w:rPr>
        <w:t>Figure P1.S1. Walking — three-year forecast.</w:t>
      </w:r>
    </w:p>
    <w:p w14:paraId="6424EDB3" w14:textId="77777777" w:rsidR="004C1010" w:rsidRDefault="002378A4">
      <w:pPr>
        <w:spacing w:before="120" w:after="60"/>
        <w:jc w:val="center"/>
      </w:pPr>
      <w:r>
        <w:rPr>
          <w:noProof/>
        </w:rPr>
        <w:drawing>
          <wp:inline distT="0" distB="0" distL="0" distR="0" wp14:anchorId="7B50E181" wp14:editId="68E814B0">
            <wp:extent cx="5486400" cy="3886200"/>
            <wp:effectExtent l="0" t="0" r="0" b="0"/>
            <wp:docPr id="1714869951" name="Picture 1714869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86400" cy="3886200"/>
                    </a:xfrm>
                    <a:prstGeom prst="rect">
                      <a:avLst/>
                    </a:prstGeom>
                  </pic:spPr>
                </pic:pic>
              </a:graphicData>
            </a:graphic>
          </wp:inline>
        </w:drawing>
      </w:r>
    </w:p>
    <w:p w14:paraId="77BFCB68" w14:textId="77777777" w:rsidR="004C1010" w:rsidRDefault="002378A4">
      <w:pPr>
        <w:spacing w:after="240"/>
        <w:jc w:val="center"/>
      </w:pPr>
      <w:r>
        <w:rPr>
          <w:i/>
          <w:iCs/>
          <w:color w:val="808080"/>
          <w:sz w:val="20"/>
          <w:szCs w:val="20"/>
        </w:rPr>
        <w:t>Figure P1.S2. Active travel — three-year forecast.</w:t>
      </w:r>
    </w:p>
    <w:p w14:paraId="13EB5DC1" w14:textId="77777777" w:rsidR="004C1010" w:rsidRDefault="002378A4">
      <w:pPr>
        <w:spacing w:before="120" w:after="60"/>
        <w:jc w:val="center"/>
      </w:pPr>
      <w:r>
        <w:rPr>
          <w:noProof/>
        </w:rPr>
        <w:lastRenderedPageBreak/>
        <w:drawing>
          <wp:inline distT="0" distB="0" distL="0" distR="0" wp14:anchorId="2A6E8379" wp14:editId="6CB68322">
            <wp:extent cx="5486400" cy="3886200"/>
            <wp:effectExtent l="0" t="0" r="0" b="0"/>
            <wp:docPr id="1418590592" name="Picture 1418590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3886200"/>
                    </a:xfrm>
                    <a:prstGeom prst="rect">
                      <a:avLst/>
                    </a:prstGeom>
                  </pic:spPr>
                </pic:pic>
              </a:graphicData>
            </a:graphic>
          </wp:inline>
        </w:drawing>
      </w:r>
    </w:p>
    <w:p w14:paraId="47786A16" w14:textId="77777777" w:rsidR="004C1010" w:rsidRDefault="002378A4">
      <w:pPr>
        <w:spacing w:after="240"/>
        <w:jc w:val="center"/>
      </w:pPr>
      <w:r>
        <w:rPr>
          <w:i/>
          <w:iCs/>
          <w:color w:val="808080"/>
          <w:sz w:val="20"/>
          <w:szCs w:val="20"/>
        </w:rPr>
        <w:t>Figure P1.S3. Cycling — three-year forecast.</w:t>
      </w:r>
    </w:p>
    <w:p w14:paraId="718AB7F0" w14:textId="77777777" w:rsidR="004C1010" w:rsidRDefault="002378A4">
      <w:pPr>
        <w:spacing w:before="120" w:after="60"/>
        <w:jc w:val="center"/>
      </w:pPr>
      <w:r>
        <w:rPr>
          <w:noProof/>
        </w:rPr>
        <w:drawing>
          <wp:inline distT="0" distB="0" distL="0" distR="0" wp14:anchorId="30D1A8D0" wp14:editId="7645F7F8">
            <wp:extent cx="5486400" cy="3886200"/>
            <wp:effectExtent l="0" t="0" r="0" b="0"/>
            <wp:docPr id="132220856" name="Picture 132220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86400" cy="3886200"/>
                    </a:xfrm>
                    <a:prstGeom prst="rect">
                      <a:avLst/>
                    </a:prstGeom>
                  </pic:spPr>
                </pic:pic>
              </a:graphicData>
            </a:graphic>
          </wp:inline>
        </w:drawing>
      </w:r>
    </w:p>
    <w:p w14:paraId="71BF6C3E" w14:textId="77777777" w:rsidR="004C1010" w:rsidRDefault="002378A4">
      <w:pPr>
        <w:spacing w:after="240"/>
        <w:jc w:val="center"/>
      </w:pPr>
      <w:r>
        <w:rPr>
          <w:i/>
          <w:iCs/>
          <w:color w:val="808080"/>
          <w:sz w:val="20"/>
          <w:szCs w:val="20"/>
        </w:rPr>
        <w:t>Figure P1.S4. Fitness activities — three-year forecast.</w:t>
      </w:r>
    </w:p>
    <w:p w14:paraId="57A882AE" w14:textId="77777777" w:rsidR="004C1010" w:rsidRDefault="002378A4">
      <w:pPr>
        <w:spacing w:before="120" w:after="60"/>
        <w:jc w:val="center"/>
      </w:pPr>
      <w:r>
        <w:rPr>
          <w:noProof/>
        </w:rPr>
        <w:lastRenderedPageBreak/>
        <w:drawing>
          <wp:inline distT="0" distB="0" distL="0" distR="0" wp14:anchorId="7546DF13" wp14:editId="3AE8D104">
            <wp:extent cx="5486400" cy="3886200"/>
            <wp:effectExtent l="0" t="0" r="0" b="0"/>
            <wp:docPr id="1219336120" name="Picture 1219336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86400" cy="3886200"/>
                    </a:xfrm>
                    <a:prstGeom prst="rect">
                      <a:avLst/>
                    </a:prstGeom>
                  </pic:spPr>
                </pic:pic>
              </a:graphicData>
            </a:graphic>
          </wp:inline>
        </w:drawing>
      </w:r>
    </w:p>
    <w:p w14:paraId="76AA264C" w14:textId="77777777" w:rsidR="004C1010" w:rsidRDefault="002378A4">
      <w:pPr>
        <w:spacing w:after="240"/>
        <w:jc w:val="center"/>
      </w:pPr>
      <w:r>
        <w:rPr>
          <w:i/>
          <w:iCs/>
          <w:color w:val="808080"/>
          <w:sz w:val="20"/>
          <w:szCs w:val="20"/>
        </w:rPr>
        <w:t>Figure P1.S5. Dance — three-year forecast.</w:t>
      </w:r>
    </w:p>
    <w:p w14:paraId="788C30AF" w14:textId="77777777" w:rsidR="004C1010" w:rsidRDefault="002378A4">
      <w:pPr>
        <w:spacing w:before="120" w:after="60"/>
        <w:jc w:val="center"/>
      </w:pPr>
      <w:r>
        <w:rPr>
          <w:noProof/>
        </w:rPr>
        <w:drawing>
          <wp:inline distT="0" distB="0" distL="0" distR="0" wp14:anchorId="10A75CB3" wp14:editId="7F9BF51F">
            <wp:extent cx="5486400" cy="3886200"/>
            <wp:effectExtent l="0" t="0" r="0" b="0"/>
            <wp:docPr id="372479287" name="Picture 372479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86400" cy="3886200"/>
                    </a:xfrm>
                    <a:prstGeom prst="rect">
                      <a:avLst/>
                    </a:prstGeom>
                  </pic:spPr>
                </pic:pic>
              </a:graphicData>
            </a:graphic>
          </wp:inline>
        </w:drawing>
      </w:r>
    </w:p>
    <w:p w14:paraId="3534AC2D" w14:textId="77777777" w:rsidR="004C1010" w:rsidRDefault="002378A4">
      <w:pPr>
        <w:spacing w:after="240"/>
        <w:jc w:val="center"/>
      </w:pPr>
      <w:r>
        <w:rPr>
          <w:i/>
          <w:iCs/>
          <w:color w:val="808080"/>
          <w:sz w:val="20"/>
          <w:szCs w:val="20"/>
        </w:rPr>
        <w:t>Figure P1.S6. Racket sports — three-year forecast.</w:t>
      </w:r>
    </w:p>
    <w:p w14:paraId="40BE04E7" w14:textId="77777777" w:rsidR="004C1010" w:rsidRDefault="002378A4">
      <w:pPr>
        <w:spacing w:before="120" w:after="60"/>
        <w:jc w:val="center"/>
      </w:pPr>
      <w:r>
        <w:rPr>
          <w:noProof/>
        </w:rPr>
        <w:lastRenderedPageBreak/>
        <w:drawing>
          <wp:inline distT="0" distB="0" distL="0" distR="0" wp14:anchorId="1D17AC03" wp14:editId="302EAB69">
            <wp:extent cx="5486400" cy="3886200"/>
            <wp:effectExtent l="0" t="0" r="0" b="0"/>
            <wp:docPr id="229940293" name="Picture 229940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86400" cy="3886200"/>
                    </a:xfrm>
                    <a:prstGeom prst="rect">
                      <a:avLst/>
                    </a:prstGeom>
                  </pic:spPr>
                </pic:pic>
              </a:graphicData>
            </a:graphic>
          </wp:inline>
        </w:drawing>
      </w:r>
    </w:p>
    <w:p w14:paraId="54CEE17E" w14:textId="77777777" w:rsidR="004C1010" w:rsidRDefault="002378A4">
      <w:pPr>
        <w:spacing w:after="240"/>
        <w:jc w:val="center"/>
      </w:pPr>
      <w:r>
        <w:rPr>
          <w:i/>
          <w:iCs/>
          <w:color w:val="808080"/>
          <w:sz w:val="20"/>
          <w:szCs w:val="20"/>
        </w:rPr>
        <w:t>Figure P1.S7. Team sports — three-year forecast.</w:t>
      </w:r>
    </w:p>
    <w:p w14:paraId="1FAD74DE" w14:textId="77777777" w:rsidR="004C1010" w:rsidRDefault="002378A4">
      <w:pPr>
        <w:spacing w:before="120" w:after="60"/>
        <w:jc w:val="center"/>
      </w:pPr>
      <w:r>
        <w:rPr>
          <w:noProof/>
        </w:rPr>
        <w:drawing>
          <wp:inline distT="0" distB="0" distL="0" distR="0" wp14:anchorId="09729717" wp14:editId="0C1B0CD3">
            <wp:extent cx="5486400" cy="3886200"/>
            <wp:effectExtent l="0" t="0" r="0" b="0"/>
            <wp:docPr id="741991061" name="Picture 741991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86400" cy="3886200"/>
                    </a:xfrm>
                    <a:prstGeom prst="rect">
                      <a:avLst/>
                    </a:prstGeom>
                  </pic:spPr>
                </pic:pic>
              </a:graphicData>
            </a:graphic>
          </wp:inline>
        </w:drawing>
      </w:r>
    </w:p>
    <w:p w14:paraId="5C69372C" w14:textId="77777777" w:rsidR="004C1010" w:rsidRDefault="002378A4">
      <w:pPr>
        <w:spacing w:after="240"/>
        <w:jc w:val="center"/>
      </w:pPr>
      <w:r>
        <w:rPr>
          <w:i/>
          <w:iCs/>
          <w:color w:val="808080"/>
          <w:sz w:val="20"/>
          <w:szCs w:val="20"/>
        </w:rPr>
        <w:t>Figure P1.S8. Club membership (any sport) — three-year forecast.</w:t>
      </w:r>
    </w:p>
    <w:p w14:paraId="4B767A9C" w14:textId="77777777" w:rsidR="004C1010" w:rsidRDefault="002378A4">
      <w:pPr>
        <w:spacing w:before="120" w:after="60"/>
        <w:jc w:val="center"/>
      </w:pPr>
      <w:r>
        <w:rPr>
          <w:noProof/>
        </w:rPr>
        <w:lastRenderedPageBreak/>
        <w:drawing>
          <wp:inline distT="0" distB="0" distL="0" distR="0" wp14:anchorId="04C7A85D" wp14:editId="7A92A39D">
            <wp:extent cx="5486400" cy="3886200"/>
            <wp:effectExtent l="0" t="0" r="0" b="0"/>
            <wp:docPr id="143539135" name="Picture 143539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486400" cy="3886200"/>
                    </a:xfrm>
                    <a:prstGeom prst="rect">
                      <a:avLst/>
                    </a:prstGeom>
                  </pic:spPr>
                </pic:pic>
              </a:graphicData>
            </a:graphic>
          </wp:inline>
        </w:drawing>
      </w:r>
    </w:p>
    <w:p w14:paraId="1B4A9488" w14:textId="77777777" w:rsidR="004C1010" w:rsidRDefault="002378A4">
      <w:pPr>
        <w:spacing w:after="240"/>
        <w:jc w:val="center"/>
      </w:pPr>
      <w:r>
        <w:rPr>
          <w:i/>
          <w:iCs/>
          <w:color w:val="808080"/>
          <w:sz w:val="20"/>
          <w:szCs w:val="20"/>
        </w:rPr>
        <w:t>Figure P1.S9. Fitness club / gym — three-year forecast.</w:t>
      </w:r>
    </w:p>
    <w:p w14:paraId="1730E16D" w14:textId="77777777" w:rsidR="004C1010" w:rsidRDefault="002378A4">
      <w:pPr>
        <w:spacing w:before="120" w:after="60"/>
        <w:jc w:val="center"/>
      </w:pPr>
      <w:r>
        <w:rPr>
          <w:noProof/>
        </w:rPr>
        <w:drawing>
          <wp:inline distT="0" distB="0" distL="0" distR="0" wp14:anchorId="669BC833" wp14:editId="015C4AA3">
            <wp:extent cx="5486400" cy="3886200"/>
            <wp:effectExtent l="0" t="0" r="0" b="0"/>
            <wp:docPr id="1149280411" name="Picture 1149280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486400" cy="3886200"/>
                    </a:xfrm>
                    <a:prstGeom prst="rect">
                      <a:avLst/>
                    </a:prstGeom>
                  </pic:spPr>
                </pic:pic>
              </a:graphicData>
            </a:graphic>
          </wp:inline>
        </w:drawing>
      </w:r>
    </w:p>
    <w:p w14:paraId="4944D908" w14:textId="77777777" w:rsidR="004C1010" w:rsidRDefault="002378A4">
      <w:pPr>
        <w:spacing w:after="240"/>
        <w:jc w:val="center"/>
      </w:pPr>
      <w:r>
        <w:rPr>
          <w:i/>
          <w:iCs/>
          <w:color w:val="808080"/>
          <w:sz w:val="20"/>
          <w:szCs w:val="20"/>
        </w:rPr>
        <w:t>Figure P1.S10. Team-sport club — three-year forecast.</w:t>
      </w:r>
    </w:p>
    <w:p w14:paraId="7146D7DA" w14:textId="77777777" w:rsidR="004C1010" w:rsidRDefault="002378A4">
      <w:pPr>
        <w:pStyle w:val="Heading3"/>
      </w:pPr>
      <w:r>
        <w:t>Ten-year scenarios, remaining activity/club types</w:t>
      </w:r>
    </w:p>
    <w:p w14:paraId="45D3BF21" w14:textId="77777777" w:rsidR="004C1010" w:rsidRDefault="002378A4">
      <w:pPr>
        <w:spacing w:before="120" w:after="60"/>
        <w:jc w:val="center"/>
      </w:pPr>
      <w:r>
        <w:rPr>
          <w:noProof/>
        </w:rPr>
        <w:lastRenderedPageBreak/>
        <w:drawing>
          <wp:inline distT="0" distB="0" distL="0" distR="0" wp14:anchorId="4CA7F73A" wp14:editId="62C445C2">
            <wp:extent cx="5486400" cy="2886075"/>
            <wp:effectExtent l="0" t="0" r="0" b="0"/>
            <wp:docPr id="1290535471" name="Picture 1290535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486400" cy="2886075"/>
                    </a:xfrm>
                    <a:prstGeom prst="rect">
                      <a:avLst/>
                    </a:prstGeom>
                  </pic:spPr>
                </pic:pic>
              </a:graphicData>
            </a:graphic>
          </wp:inline>
        </w:drawing>
      </w:r>
    </w:p>
    <w:p w14:paraId="6758356B" w14:textId="77777777" w:rsidR="004C1010" w:rsidRDefault="002378A4">
      <w:pPr>
        <w:spacing w:after="240"/>
        <w:jc w:val="center"/>
      </w:pPr>
      <w:r>
        <w:rPr>
          <w:i/>
          <w:iCs/>
          <w:color w:val="808080"/>
          <w:sz w:val="20"/>
          <w:szCs w:val="20"/>
        </w:rPr>
        <w:t>Figure P1.S11. Cycling — ten-year scenarios.</w:t>
      </w:r>
    </w:p>
    <w:p w14:paraId="3E06414F" w14:textId="77777777" w:rsidR="004C1010" w:rsidRDefault="002378A4">
      <w:pPr>
        <w:spacing w:before="120" w:after="60"/>
        <w:jc w:val="center"/>
      </w:pPr>
      <w:r>
        <w:rPr>
          <w:noProof/>
        </w:rPr>
        <w:drawing>
          <wp:inline distT="0" distB="0" distL="0" distR="0" wp14:anchorId="1EB5190B" wp14:editId="248E6E40">
            <wp:extent cx="5486400" cy="2886075"/>
            <wp:effectExtent l="0" t="0" r="0" b="0"/>
            <wp:docPr id="1886313251" name="Picture 1886313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486400" cy="2886075"/>
                    </a:xfrm>
                    <a:prstGeom prst="rect">
                      <a:avLst/>
                    </a:prstGeom>
                  </pic:spPr>
                </pic:pic>
              </a:graphicData>
            </a:graphic>
          </wp:inline>
        </w:drawing>
      </w:r>
    </w:p>
    <w:p w14:paraId="11043BB5" w14:textId="77777777" w:rsidR="004C1010" w:rsidRDefault="002378A4">
      <w:pPr>
        <w:spacing w:after="240"/>
        <w:jc w:val="center"/>
      </w:pPr>
      <w:r>
        <w:rPr>
          <w:i/>
          <w:iCs/>
          <w:color w:val="808080"/>
          <w:sz w:val="20"/>
          <w:szCs w:val="20"/>
        </w:rPr>
        <w:t>Figure P1.S12. Fitness activities — ten-year scenarios.</w:t>
      </w:r>
    </w:p>
    <w:p w14:paraId="6A735795" w14:textId="77777777" w:rsidR="004C1010" w:rsidRDefault="002378A4">
      <w:pPr>
        <w:spacing w:before="120" w:after="60"/>
        <w:jc w:val="center"/>
      </w:pPr>
      <w:r>
        <w:rPr>
          <w:noProof/>
        </w:rPr>
        <w:lastRenderedPageBreak/>
        <w:drawing>
          <wp:inline distT="0" distB="0" distL="0" distR="0" wp14:anchorId="07284A05" wp14:editId="2FAC6135">
            <wp:extent cx="5486400" cy="2886075"/>
            <wp:effectExtent l="0" t="0" r="0" b="0"/>
            <wp:docPr id="1600848178" name="Picture 1600848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486400" cy="2886075"/>
                    </a:xfrm>
                    <a:prstGeom prst="rect">
                      <a:avLst/>
                    </a:prstGeom>
                  </pic:spPr>
                </pic:pic>
              </a:graphicData>
            </a:graphic>
          </wp:inline>
        </w:drawing>
      </w:r>
    </w:p>
    <w:p w14:paraId="65F3DE3F" w14:textId="77777777" w:rsidR="004C1010" w:rsidRDefault="002378A4">
      <w:pPr>
        <w:spacing w:after="240"/>
        <w:jc w:val="center"/>
      </w:pPr>
      <w:r>
        <w:rPr>
          <w:i/>
          <w:iCs/>
          <w:color w:val="808080"/>
          <w:sz w:val="20"/>
          <w:szCs w:val="20"/>
        </w:rPr>
        <w:t>Figure P1.S13. Dance — ten-year scenarios.</w:t>
      </w:r>
    </w:p>
    <w:p w14:paraId="57A1FF09" w14:textId="77777777" w:rsidR="004C1010" w:rsidRDefault="002378A4">
      <w:pPr>
        <w:spacing w:before="120" w:after="60"/>
        <w:jc w:val="center"/>
      </w:pPr>
      <w:r>
        <w:rPr>
          <w:noProof/>
        </w:rPr>
        <w:drawing>
          <wp:inline distT="0" distB="0" distL="0" distR="0" wp14:anchorId="0319FB5C" wp14:editId="16CCA861">
            <wp:extent cx="5486400" cy="2886075"/>
            <wp:effectExtent l="0" t="0" r="0" b="0"/>
            <wp:docPr id="1694130911" name="Picture 1694130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486400" cy="2886075"/>
                    </a:xfrm>
                    <a:prstGeom prst="rect">
                      <a:avLst/>
                    </a:prstGeom>
                  </pic:spPr>
                </pic:pic>
              </a:graphicData>
            </a:graphic>
          </wp:inline>
        </w:drawing>
      </w:r>
    </w:p>
    <w:p w14:paraId="7CC1E88A" w14:textId="77777777" w:rsidR="004C1010" w:rsidRDefault="002378A4">
      <w:pPr>
        <w:spacing w:after="240"/>
        <w:jc w:val="center"/>
      </w:pPr>
      <w:r>
        <w:rPr>
          <w:i/>
          <w:iCs/>
          <w:color w:val="808080"/>
          <w:sz w:val="20"/>
          <w:szCs w:val="20"/>
        </w:rPr>
        <w:t>Figure P1.S14. Racket sports — ten-year scenarios.</w:t>
      </w:r>
    </w:p>
    <w:p w14:paraId="3602E208" w14:textId="77777777" w:rsidR="004C1010" w:rsidRDefault="002378A4">
      <w:pPr>
        <w:spacing w:before="120" w:after="60"/>
        <w:jc w:val="center"/>
      </w:pPr>
      <w:r>
        <w:rPr>
          <w:noProof/>
        </w:rPr>
        <w:lastRenderedPageBreak/>
        <w:drawing>
          <wp:inline distT="0" distB="0" distL="0" distR="0" wp14:anchorId="44644E4F" wp14:editId="571CF89A">
            <wp:extent cx="5486400" cy="2886075"/>
            <wp:effectExtent l="0" t="0" r="0" b="0"/>
            <wp:docPr id="461026137" name="Picture 461026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486400" cy="2886075"/>
                    </a:xfrm>
                    <a:prstGeom prst="rect">
                      <a:avLst/>
                    </a:prstGeom>
                  </pic:spPr>
                </pic:pic>
              </a:graphicData>
            </a:graphic>
          </wp:inline>
        </w:drawing>
      </w:r>
    </w:p>
    <w:p w14:paraId="27A615F7" w14:textId="77777777" w:rsidR="004C1010" w:rsidRDefault="002378A4">
      <w:pPr>
        <w:spacing w:after="240"/>
        <w:jc w:val="center"/>
      </w:pPr>
      <w:r>
        <w:rPr>
          <w:i/>
          <w:iCs/>
          <w:color w:val="808080"/>
          <w:sz w:val="20"/>
          <w:szCs w:val="20"/>
        </w:rPr>
        <w:t>Figure P1.S15. Team sports — ten-year scenarios.</w:t>
      </w:r>
    </w:p>
    <w:p w14:paraId="29A55C07" w14:textId="77777777" w:rsidR="004C1010" w:rsidRDefault="002378A4">
      <w:pPr>
        <w:spacing w:before="120" w:after="60"/>
        <w:jc w:val="center"/>
      </w:pPr>
      <w:r>
        <w:rPr>
          <w:noProof/>
        </w:rPr>
        <w:drawing>
          <wp:inline distT="0" distB="0" distL="0" distR="0" wp14:anchorId="0D7A05DD" wp14:editId="1D3FA191">
            <wp:extent cx="5486400" cy="2886075"/>
            <wp:effectExtent l="0" t="0" r="0" b="0"/>
            <wp:docPr id="1898528457" name="Picture 1898528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486400" cy="2886075"/>
                    </a:xfrm>
                    <a:prstGeom prst="rect">
                      <a:avLst/>
                    </a:prstGeom>
                  </pic:spPr>
                </pic:pic>
              </a:graphicData>
            </a:graphic>
          </wp:inline>
        </w:drawing>
      </w:r>
    </w:p>
    <w:p w14:paraId="47C85454" w14:textId="77777777" w:rsidR="004C1010" w:rsidRDefault="002378A4">
      <w:pPr>
        <w:spacing w:after="240"/>
        <w:jc w:val="center"/>
      </w:pPr>
      <w:r>
        <w:rPr>
          <w:i/>
          <w:iCs/>
          <w:color w:val="808080"/>
          <w:sz w:val="20"/>
          <w:szCs w:val="20"/>
        </w:rPr>
        <w:t>Figure P1.S16. Fitness club / gym — ten-year scenarios.</w:t>
      </w:r>
    </w:p>
    <w:p w14:paraId="6B5807E9" w14:textId="77777777" w:rsidR="004C1010" w:rsidRDefault="002378A4">
      <w:pPr>
        <w:spacing w:before="120" w:after="60"/>
        <w:jc w:val="center"/>
      </w:pPr>
      <w:r>
        <w:rPr>
          <w:noProof/>
        </w:rPr>
        <w:lastRenderedPageBreak/>
        <w:drawing>
          <wp:inline distT="0" distB="0" distL="0" distR="0" wp14:anchorId="2D25E695" wp14:editId="220BB0BB">
            <wp:extent cx="5486400" cy="2886075"/>
            <wp:effectExtent l="0" t="0" r="0" b="0"/>
            <wp:docPr id="1130995763" name="Picture 1130995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486400" cy="2886075"/>
                    </a:xfrm>
                    <a:prstGeom prst="rect">
                      <a:avLst/>
                    </a:prstGeom>
                  </pic:spPr>
                </pic:pic>
              </a:graphicData>
            </a:graphic>
          </wp:inline>
        </w:drawing>
      </w:r>
    </w:p>
    <w:p w14:paraId="2B3456FA" w14:textId="77777777" w:rsidR="004C1010" w:rsidRDefault="002378A4">
      <w:pPr>
        <w:spacing w:after="240"/>
        <w:jc w:val="center"/>
      </w:pPr>
      <w:r>
        <w:rPr>
          <w:i/>
          <w:iCs/>
          <w:color w:val="808080"/>
          <w:sz w:val="20"/>
          <w:szCs w:val="20"/>
        </w:rPr>
        <w:t>Figure P1.S17. Team-sport club — ten-year scenarios.</w:t>
      </w:r>
    </w:p>
    <w:p w14:paraId="11F98CDD" w14:textId="77777777" w:rsidR="004C1010" w:rsidRDefault="002378A4">
      <w:pPr>
        <w:pStyle w:val="Heading3"/>
      </w:pPr>
      <w:r>
        <w:t>Additional London-wide forecast (not used above)</w:t>
      </w:r>
    </w:p>
    <w:p w14:paraId="2D9DBE2C" w14:textId="77777777" w:rsidR="004C1010" w:rsidRDefault="002378A4">
      <w:pPr>
        <w:spacing w:before="120" w:after="60"/>
        <w:jc w:val="center"/>
      </w:pPr>
      <w:r>
        <w:rPr>
          <w:noProof/>
        </w:rPr>
        <w:drawing>
          <wp:inline distT="0" distB="0" distL="0" distR="0" wp14:anchorId="3587BE2A" wp14:editId="33972EFF">
            <wp:extent cx="5486400" cy="2457450"/>
            <wp:effectExtent l="0" t="0" r="0" b="0"/>
            <wp:docPr id="731823615" name="Picture 731823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486400" cy="2457450"/>
                    </a:xfrm>
                    <a:prstGeom prst="rect">
                      <a:avLst/>
                    </a:prstGeom>
                  </pic:spPr>
                </pic:pic>
              </a:graphicData>
            </a:graphic>
          </wp:inline>
        </w:drawing>
      </w:r>
    </w:p>
    <w:p w14:paraId="17956731" w14:textId="77777777" w:rsidR="004C1010" w:rsidRDefault="002378A4">
      <w:pPr>
        <w:spacing w:after="240"/>
        <w:jc w:val="center"/>
      </w:pPr>
      <w:r>
        <w:rPr>
          <w:i/>
          <w:iCs/>
          <w:color w:val="808080"/>
          <w:sz w:val="20"/>
          <w:szCs w:val="20"/>
        </w:rPr>
        <w:t>Figure P1.S18. London Active share: observed and three-year projection with 90% interval.</w:t>
      </w:r>
    </w:p>
    <w:p w14:paraId="59A48809" w14:textId="77777777" w:rsidR="004C1010" w:rsidRDefault="002378A4">
      <w:pPr>
        <w:spacing w:before="120" w:after="240"/>
      </w:pPr>
      <w:r>
        <w:rPr>
          <w:i/>
          <w:iCs/>
          <w:color w:val="555555"/>
          <w:shd w:val="clear" w:color="auto" w:fill="F2F2F2"/>
        </w:rPr>
        <w:t>Note: this chart shows substantially the same information as Figure P1.1 (single 'Active' line rather than all three bands) and was not used in the main narrative for that reason. Its widening 90% interval is a clean visual illustration of the 'six genuinely usable years' caveat in Section 4.5 (Limitations) — consider placing it there instead if a figure is needed for that discussion.</w:t>
      </w:r>
    </w:p>
    <w:sectPr w:rsidR="004C101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542544"/>
    <w:multiLevelType w:val="hybridMultilevel"/>
    <w:tmpl w:val="CB9841E2"/>
    <w:lvl w:ilvl="0" w:tplc="FA1CC8B6">
      <w:start w:val="1"/>
      <w:numFmt w:val="bullet"/>
      <w:lvlText w:val="●"/>
      <w:lvlJc w:val="left"/>
      <w:pPr>
        <w:ind w:left="720" w:hanging="360"/>
      </w:pPr>
    </w:lvl>
    <w:lvl w:ilvl="1" w:tplc="9AC4C87C">
      <w:start w:val="1"/>
      <w:numFmt w:val="bullet"/>
      <w:lvlText w:val="○"/>
      <w:lvlJc w:val="left"/>
      <w:pPr>
        <w:ind w:left="1440" w:hanging="360"/>
      </w:pPr>
    </w:lvl>
    <w:lvl w:ilvl="2" w:tplc="F13C1ADA">
      <w:start w:val="1"/>
      <w:numFmt w:val="bullet"/>
      <w:lvlText w:val="■"/>
      <w:lvlJc w:val="left"/>
      <w:pPr>
        <w:ind w:left="2160" w:hanging="360"/>
      </w:pPr>
    </w:lvl>
    <w:lvl w:ilvl="3" w:tplc="668A4DF2">
      <w:start w:val="1"/>
      <w:numFmt w:val="bullet"/>
      <w:lvlText w:val="●"/>
      <w:lvlJc w:val="left"/>
      <w:pPr>
        <w:ind w:left="2880" w:hanging="360"/>
      </w:pPr>
    </w:lvl>
    <w:lvl w:ilvl="4" w:tplc="937C8292">
      <w:start w:val="1"/>
      <w:numFmt w:val="bullet"/>
      <w:lvlText w:val="○"/>
      <w:lvlJc w:val="left"/>
      <w:pPr>
        <w:ind w:left="3600" w:hanging="360"/>
      </w:pPr>
    </w:lvl>
    <w:lvl w:ilvl="5" w:tplc="B62E9E00">
      <w:start w:val="1"/>
      <w:numFmt w:val="bullet"/>
      <w:lvlText w:val="■"/>
      <w:lvlJc w:val="left"/>
      <w:pPr>
        <w:ind w:left="4320" w:hanging="360"/>
      </w:pPr>
    </w:lvl>
    <w:lvl w:ilvl="6" w:tplc="122CA410">
      <w:start w:val="1"/>
      <w:numFmt w:val="bullet"/>
      <w:lvlText w:val="●"/>
      <w:lvlJc w:val="left"/>
      <w:pPr>
        <w:ind w:left="5040" w:hanging="360"/>
      </w:pPr>
    </w:lvl>
    <w:lvl w:ilvl="7" w:tplc="8AEE59B4">
      <w:start w:val="1"/>
      <w:numFmt w:val="bullet"/>
      <w:lvlText w:val="●"/>
      <w:lvlJc w:val="left"/>
      <w:pPr>
        <w:ind w:left="5760" w:hanging="360"/>
      </w:pPr>
    </w:lvl>
    <w:lvl w:ilvl="8" w:tplc="C26899C0">
      <w:start w:val="1"/>
      <w:numFmt w:val="bullet"/>
      <w:lvlText w:val="●"/>
      <w:lvlJc w:val="left"/>
      <w:pPr>
        <w:ind w:left="6480" w:hanging="360"/>
      </w:pPr>
    </w:lvl>
  </w:abstractNum>
  <w:num w:numId="1" w16cid:durableId="20423656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1010"/>
    <w:rsid w:val="00065337"/>
    <w:rsid w:val="002378A4"/>
    <w:rsid w:val="004C1010"/>
    <w:rsid w:val="00EB48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14C4C"/>
  <w15:docId w15:val="{8A02DE03-CD25-4414-99AD-3356B2CF4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F3864"/>
      </w:pBdr>
      <w:spacing w:after="240"/>
      <w:outlineLvl w:val="0"/>
    </w:pPr>
    <w:rPr>
      <w:b/>
      <w:bCs/>
      <w:color w:val="1F3864"/>
      <w:sz w:val="32"/>
      <w:szCs w:val="32"/>
    </w:rPr>
  </w:style>
  <w:style w:type="paragraph" w:styleId="Heading2">
    <w:name w:val="heading 2"/>
    <w:uiPriority w:val="9"/>
    <w:unhideWhenUsed/>
    <w:qFormat/>
    <w:pPr>
      <w:spacing w:before="320" w:after="160"/>
      <w:outlineLvl w:val="1"/>
    </w:pPr>
    <w:rPr>
      <w:b/>
      <w:bCs/>
      <w:color w:val="1F3864"/>
      <w:sz w:val="26"/>
      <w:szCs w:val="26"/>
    </w:rPr>
  </w:style>
  <w:style w:type="paragraph" w:styleId="Heading3">
    <w:name w:val="heading 3"/>
    <w:uiPriority w:val="9"/>
    <w:unhideWhenUsed/>
    <w:qFormat/>
    <w:pPr>
      <w:spacing w:before="240" w:after="120"/>
      <w:outlineLvl w:val="2"/>
    </w:pPr>
    <w:rPr>
      <w:b/>
      <w:bCs/>
      <w:i/>
      <w:iCs/>
      <w:color w:val="2E5395"/>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1351</Words>
  <Characters>7703</Characters>
  <Application>Microsoft Office Word</Application>
  <DocSecurity>0</DocSecurity>
  <Lines>64</Lines>
  <Paragraphs>18</Paragraphs>
  <ScaleCrop>false</ScaleCrop>
  <Company/>
  <LinksUpToDate>false</LinksUpToDate>
  <CharactersWithSpaces>9036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Trisha Sharma</cp:lastModifiedBy>
  <cp:revision>2</cp:revision>
  <dcterms:created xsi:type="dcterms:W3CDTF">2026-08-18T19:40:00Z</dcterms:created>
  <dcterms:modified xsi:type="dcterms:W3CDTF">2026-08-18T19:40:00Z</dcterms:modified>
</cp:coreProperties>
</file>