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56"/>
        </w:rPr>
        <w:t>ScamShield AI</w:t>
      </w:r>
    </w:p>
    <w:p>
      <w:pPr>
        <w:spacing w:after="240"/>
      </w:pPr>
      <w:r>
        <w:rPr>
          <w:b/>
          <w:color w:val="059669"/>
          <w:sz w:val="32"/>
        </w:rPr>
        <w:t>Real-Time Phishing Link &amp; QR Code Threat Analyzer</w:t>
      </w:r>
    </w:p>
    <w:p>
      <w:pPr>
        <w:spacing w:after="320"/>
      </w:pPr>
      <w:r>
        <w:rPr>
          <w:i/>
          <w:color w:val="64748B"/>
          <w:sz w:val="20"/>
        </w:rPr>
        <w:t>IEEE VIT Bhopal Hackathon 2026 · Build Beyond Boundaries</w:t>
        <w:br/>
        <w:t>Track 04 · CYBERSECURITY: Problem Statement 04.1 ('The Scam That Almost Worked')</w:t>
        <w:br/>
        <w:t>Engineering Team D43M0N$: Aastik Tripathi, Palak Kalra, Yash Raj Kushwaha, Mangal Nath Yadav</w:t>
      </w:r>
    </w:p>
    <w:p>
      <w:pPr>
        <w:pStyle w:val="Heading1"/>
      </w:pPr>
      <w:r>
        <w:t>1. Executive Summary &amp; Problem Context</w:t>
      </w:r>
    </w:p>
    <w:p>
      <w:r>
        <w:t>In India, over 10,000+ financial cyber fraud complaints are lodged every day across banking and digital UPI payment channels. Unlike traditional network penetration vectors, modern financial scams succeed because they exploit psychological urgency rather than software bugs. Attackers manufacture extreme pressure—such as imminent power disconnection, suspended banking access, or 'scan to receive cashback' traps—overriding rational scrutiny.</w:t>
        <w:br/>
        <w:br/>
        <w:t>ScamShield AI shifts cybersecurity from reactive post-theft dispute reporting to autonomous, pre-click Zero-Trust verification. By inspecting incoming URLs, SMS/WhatsApp text messages, and UPI QR payloads before the victim clicks or enters their PIN, the platform neutralizes fraudulent sequences before funds transfer.</w:t>
      </w:r>
    </w:p>
    <w:p>
      <w:pPr>
        <w:pStyle w:val="Heading1"/>
      </w:pPr>
      <w:r>
        <w:t>2. Minimalist UI/UX Redesign &amp; Design System</w:t>
      </w:r>
    </w:p>
    <w:p>
      <w:r>
        <w:t>The application user interface has been redesigned from zero to provide a clean, modern, light-themed SaaS workspace inspired directly by the ElevenLabs design system. The new interface emphasizes minimalism, generous whitespace, subtle 1px hairline borders, and glassmorphic card layouts.</w:t>
      </w:r>
    </w:p>
    <w:p>
      <w:pPr>
        <w:pStyle w:val="Heading2"/>
      </w:pPr>
      <w:r>
        <w:t>2.1 Selectable Base Color Themes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b/>
                <w:sz w:val="20"/>
              </w:rPr>
              <w:t>Theme Name</w:t>
            </w:r>
          </w:p>
        </w:tc>
        <w:tc>
          <w:tcPr>
            <w:tcW w:type="dxa" w:w="3120"/>
            <w:shd w:val="clear" w:color="auto" w:fill="F1F5F9"/>
          </w:tcPr>
          <w:p>
            <w:r>
              <w:rPr>
                <w:b/>
                <w:sz w:val="20"/>
              </w:rPr>
              <w:t>Surface &amp; Canvas Colors</w:t>
            </w:r>
          </w:p>
        </w:tc>
        <w:tc>
          <w:tcPr>
            <w:tcW w:type="dxa" w:w="3120"/>
            <w:shd w:val="clear" w:color="auto" w:fill="F1F5F9"/>
          </w:tcPr>
          <w:p>
            <w:r>
              <w:rPr>
                <w:b/>
                <w:sz w:val="20"/>
              </w:rPr>
              <w:t>Design Tenet</w:t>
            </w:r>
          </w:p>
        </w:tc>
      </w:tr>
      <w:tr>
        <w:tc>
          <w:tcPr>
            <w:tcW w:type="dxa" w:w="3120"/>
          </w:tcPr>
          <w:p>
            <w:r>
              <w:rPr>
                <w:sz w:val="19"/>
              </w:rPr>
              <w:t>Eleven Clean Light (Default)</w:t>
            </w:r>
          </w:p>
        </w:tc>
        <w:tc>
          <w:tcPr>
            <w:tcW w:type="dxa" w:w="3120"/>
          </w:tcPr>
          <w:p>
            <w:r>
              <w:rPr>
                <w:sz w:val="19"/>
              </w:rPr>
              <w:t>Canvas #f9fafb, Cards #ffffff, Slate #09090b</w:t>
            </w:r>
          </w:p>
        </w:tc>
        <w:tc>
          <w:tcPr>
            <w:tcW w:type="dxa" w:w="3120"/>
          </w:tcPr>
          <w:p>
            <w:r>
              <w:rPr>
                <w:sz w:val="19"/>
              </w:rPr>
              <w:t>Immaculate whitespace, high contrast readability</w:t>
            </w:r>
          </w:p>
        </w:tc>
      </w:tr>
      <w:tr>
        <w:tc>
          <w:tcPr>
            <w:tcW w:type="dxa" w:w="3120"/>
          </w:tcPr>
          <w:p>
            <w:r>
              <w:rPr>
                <w:sz w:val="19"/>
              </w:rPr>
              <w:t>Glass Mint &amp; Emerald Light</w:t>
            </w:r>
          </w:p>
        </w:tc>
        <w:tc>
          <w:tcPr>
            <w:tcW w:type="dxa" w:w="3120"/>
          </w:tcPr>
          <w:p>
            <w:r>
              <w:rPr>
                <w:sz w:val="19"/>
              </w:rPr>
              <w:t>Canvas #f2fbf6, Cards #ffffff, Emerald #059669</w:t>
            </w:r>
          </w:p>
        </w:tc>
        <w:tc>
          <w:tcPr>
            <w:tcW w:type="dxa" w:w="3120"/>
          </w:tcPr>
          <w:p>
            <w:r>
              <w:rPr>
                <w:sz w:val="19"/>
              </w:rPr>
              <w:t>Soft fresh mint tone evoking verified cryptographic trust</w:t>
            </w:r>
          </w:p>
        </w:tc>
      </w:tr>
      <w:tr>
        <w:tc>
          <w:tcPr>
            <w:tcW w:type="dxa" w:w="3120"/>
          </w:tcPr>
          <w:p>
            <w:r>
              <w:rPr>
                <w:sz w:val="19"/>
              </w:rPr>
              <w:t>Lavender Frost Light</w:t>
            </w:r>
          </w:p>
        </w:tc>
        <w:tc>
          <w:tcPr>
            <w:tcW w:type="dxa" w:w="3120"/>
          </w:tcPr>
          <w:p>
            <w:r>
              <w:rPr>
                <w:sz w:val="19"/>
              </w:rPr>
              <w:t>Canvas #fbf8ff, Cards #ffffff, Violet #7c3aed</w:t>
            </w:r>
          </w:p>
        </w:tc>
        <w:tc>
          <w:tcPr>
            <w:tcW w:type="dxa" w:w="3120"/>
          </w:tcPr>
          <w:p>
            <w:r>
              <w:rPr>
                <w:sz w:val="19"/>
              </w:rPr>
              <w:t>Sophisticated AI intelligence and calm aesthetic</w:t>
            </w:r>
          </w:p>
        </w:tc>
      </w:tr>
      <w:tr>
        <w:tc>
          <w:tcPr>
            <w:tcW w:type="dxa" w:w="3120"/>
          </w:tcPr>
          <w:p>
            <w:r>
              <w:rPr>
                <w:sz w:val="19"/>
              </w:rPr>
              <w:t>Solar Sand &amp; Warm Amber Light</w:t>
            </w:r>
          </w:p>
        </w:tc>
        <w:tc>
          <w:tcPr>
            <w:tcW w:type="dxa" w:w="3120"/>
          </w:tcPr>
          <w:p>
            <w:r>
              <w:rPr>
                <w:sz w:val="19"/>
              </w:rPr>
              <w:t>Canvas #fffdf7, Cards #ffffff, Amber #d97706</w:t>
            </w:r>
          </w:p>
        </w:tc>
        <w:tc>
          <w:tcPr>
            <w:tcW w:type="dxa" w:w="3120"/>
          </w:tcPr>
          <w:p>
            <w:r>
              <w:rPr>
                <w:sz w:val="19"/>
              </w:rPr>
              <w:t>Warm daylight vigilance styling</w:t>
            </w:r>
          </w:p>
        </w:tc>
      </w:tr>
      <w:tr>
        <w:tc>
          <w:tcPr>
            <w:tcW w:type="dxa" w:w="3120"/>
          </w:tcPr>
          <w:p>
            <w:r>
              <w:rPr>
                <w:sz w:val="19"/>
              </w:rPr>
              <w:t>Obsidian Stealth Dark</w:t>
            </w:r>
          </w:p>
        </w:tc>
        <w:tc>
          <w:tcPr>
            <w:tcW w:type="dxa" w:w="3120"/>
          </w:tcPr>
          <w:p>
            <w:r>
              <w:rPr>
                <w:sz w:val="19"/>
              </w:rPr>
              <w:t>Canvas #09090b, Cards #121216, Emerald #10b981</w:t>
            </w:r>
          </w:p>
        </w:tc>
        <w:tc>
          <w:tcPr>
            <w:tcW w:type="dxa" w:w="3120"/>
          </w:tcPr>
          <w:p>
            <w:r>
              <w:rPr>
                <w:sz w:val="19"/>
              </w:rPr>
              <w:t>Stealth cybersecurity terminal with high contrast</w:t>
            </w:r>
          </w:p>
        </w:tc>
      </w:tr>
    </w:tbl>
    <w:p>
      <w:pPr>
        <w:spacing w:after="240"/>
      </w:pPr>
    </w:p>
    <w:p>
      <w:pPr>
        <w:pStyle w:val="Heading2"/>
      </w:pPr>
      <w:r>
        <w:t>2.2 Visual Layout Composition (ElevenLabs-Inspired)</w:t>
      </w:r>
    </w:p>
    <w:p>
      <w:r>
        <w:t>• Collapsible Sidebar: Compact 64px icon rail or expanded 256px navigation panel with brand logo, live threat counter, playground links, and Google Auth.</w:t>
        <w:br/>
        <w:t>• Top Banner &amp; Greeting: Announcement pill ('[New] IEEE Track 04.1...') with personalized greeting ('Good morning/afternoon/evening, Analyst') and top-right 'Ask AI Advisor' button.</w:t>
        <w:br/>
        <w:t>• 6 Quick Action Cards: Row of rounded action tiles representing Instant scan, Domain guard, Message NLP, QR &amp; UPI guard, Attack simulator, and Test benchmark.</w:t>
        <w:br/>
        <w:t>• Two-Column Section: Left column showcasing 'Latest from the Threat Stream' with colorful circular avatars and verification badges; Right column featuring 3 wide cards for core defense engines.</w:t>
        <w:br/>
        <w:t>• Interactive AI Cyber Advisor: Floating slide-over modal answering queries regarding Indian cyber laws, IT Act Section 66D, 1930 reporting timelines, and reverse QR mechanics.</w:t>
      </w:r>
    </w:p>
    <w:p>
      <w:pPr>
        <w:pStyle w:val="Heading1"/>
      </w:pPr>
      <w:r>
        <w:t>3. Core Detection Engines</w:t>
      </w:r>
    </w:p>
    <w:p>
      <w:r>
        <w:t>1. Link &amp; Domain Guard: Analyzes typosquatting, Punycode substitutions (e.g. sbl vs sbi), WHOIS registry age (&lt;7 days), disposable TLDs (.xyz, .top), and plain HTTP transport.</w:t>
        <w:br/>
        <w:t>2. Multilingual Message NLP Engine: Processes English, Hindi (देवनागरी), and Hinglish messages to score urgency and authority impersonation.</w:t>
        <w:br/>
        <w:t>3. Reverse-Charge UPI &amp; QR Sentinel: Parses upi://pay parameters (pa, pn, am, tn) and detects fraudulent reverse-charge anomalies ('Scan to receive cashback'). Features client-side QR image decoding via jsqr.</w:t>
        <w:br/>
        <w:t>4. Zero-Trust Threat Scorer: Aggregates multi-vector findings into a single Zero-Trust Trust Index (0-100) and actionable remediation checklist.</w:t>
      </w:r>
    </w:p>
    <w:p>
      <w:pPr>
        <w:pStyle w:val="Heading1"/>
      </w:pPr>
      <w:r>
        <w:t>4. Attack Progression Simulation (IEEE Tenet)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b/>
                <w:sz w:val="20"/>
              </w:rPr>
              <w:t>Stage</w:t>
            </w:r>
          </w:p>
        </w:tc>
        <w:tc>
          <w:tcPr>
            <w:tcW w:type="dxa" w:w="3120"/>
            <w:shd w:val="clear" w:color="auto" w:fill="F1F5F9"/>
          </w:tcPr>
          <w:p>
            <w:r>
              <w:rPr>
                <w:b/>
                <w:sz w:val="20"/>
              </w:rPr>
              <w:t>Phase Name &amp; Vector</w:t>
            </w:r>
          </w:p>
        </w:tc>
        <w:tc>
          <w:tcPr>
            <w:tcW w:type="dxa" w:w="3120"/>
            <w:shd w:val="clear" w:color="auto" w:fill="F1F5F9"/>
          </w:tcPr>
          <w:p>
            <w:r>
              <w:rPr>
                <w:b/>
                <w:sz w:val="20"/>
              </w:rPr>
              <w:t>ScamShield Defense Mechanism</w:t>
            </w:r>
          </w:p>
        </w:tc>
      </w:tr>
      <w:tr>
        <w:tc>
          <w:tcPr>
            <w:tcW w:type="dxa" w:w="3120"/>
          </w:tcPr>
          <w:p>
            <w:r>
              <w:rPr>
                <w:sz w:val="19"/>
              </w:rPr>
              <w:t>Stage 01</w:t>
            </w:r>
          </w:p>
        </w:tc>
        <w:tc>
          <w:tcPr>
            <w:tcW w:type="dxa" w:w="3120"/>
          </w:tcPr>
          <w:p>
            <w:r>
              <w:rPr>
                <w:sz w:val="19"/>
              </w:rPr>
              <w:t>Initial Contact (Unsolicited SMS/WhatsApp)</w:t>
            </w:r>
          </w:p>
        </w:tc>
        <w:tc>
          <w:tcPr>
            <w:tcW w:type="dxa" w:w="3120"/>
          </w:tcPr>
          <w:p>
            <w:r>
              <w:rPr>
                <w:sz w:val="19"/>
              </w:rPr>
              <w:t>Inbound sender metadata inspection and link pre-screening</w:t>
            </w:r>
          </w:p>
        </w:tc>
      </w:tr>
      <w:tr>
        <w:tc>
          <w:tcPr>
            <w:tcW w:type="dxa" w:w="3120"/>
          </w:tcPr>
          <w:p>
            <w:r>
              <w:rPr>
                <w:sz w:val="19"/>
              </w:rPr>
              <w:t>Stage 02</w:t>
            </w:r>
          </w:p>
        </w:tc>
        <w:tc>
          <w:tcPr>
            <w:tcW w:type="dxa" w:w="3120"/>
          </w:tcPr>
          <w:p>
            <w:r>
              <w:rPr>
                <w:sz w:val="19"/>
              </w:rPr>
              <w:t>Cognitive Exploitation (Manufactured Urgency)</w:t>
            </w:r>
          </w:p>
        </w:tc>
        <w:tc>
          <w:tcPr>
            <w:tcW w:type="dxa" w:w="3120"/>
          </w:tcPr>
          <w:p>
            <w:r>
              <w:rPr>
                <w:sz w:val="19"/>
              </w:rPr>
              <w:t>ScamShield Autonomous Pre-Click Interception suppresses panic</w:t>
            </w:r>
          </w:p>
        </w:tc>
      </w:tr>
      <w:tr>
        <w:tc>
          <w:tcPr>
            <w:tcW w:type="dxa" w:w="3120"/>
          </w:tcPr>
          <w:p>
            <w:r>
              <w:rPr>
                <w:sz w:val="19"/>
              </w:rPr>
              <w:t>Stage 03</w:t>
            </w:r>
          </w:p>
        </w:tc>
        <w:tc>
          <w:tcPr>
            <w:tcW w:type="dxa" w:w="3120"/>
          </w:tcPr>
          <w:p>
            <w:r>
              <w:rPr>
                <w:sz w:val="19"/>
              </w:rPr>
              <w:t>Credential Harvesting (Counterfeit Bank Clone)</w:t>
            </w:r>
          </w:p>
        </w:tc>
        <w:tc>
          <w:tcPr>
            <w:tcW w:type="dxa" w:w="3120"/>
          </w:tcPr>
          <w:p>
            <w:r>
              <w:rPr>
                <w:sz w:val="19"/>
              </w:rPr>
              <w:t>Domain guard blocks disposable TLDs and typosquatted URLs</w:t>
            </w:r>
          </w:p>
        </w:tc>
      </w:tr>
      <w:tr>
        <w:tc>
          <w:tcPr>
            <w:tcW w:type="dxa" w:w="3120"/>
          </w:tcPr>
          <w:p>
            <w:r>
              <w:rPr>
                <w:sz w:val="19"/>
              </w:rPr>
              <w:t>Stage 04</w:t>
            </w:r>
          </w:p>
        </w:tc>
        <w:tc>
          <w:tcPr>
            <w:tcW w:type="dxa" w:w="3120"/>
          </w:tcPr>
          <w:p>
            <w:r>
              <w:rPr>
                <w:sz w:val="19"/>
              </w:rPr>
              <w:t>Capital Extraction (Irreversible UPI Siphon)</w:t>
            </w:r>
          </w:p>
        </w:tc>
        <w:tc>
          <w:tcPr>
            <w:tcW w:type="dxa" w:w="3120"/>
          </w:tcPr>
          <w:p>
            <w:r>
              <w:rPr>
                <w:sz w:val="19"/>
              </w:rPr>
              <w:t>Neutralized: Zero-Trust blocks credential theft and payment authorization</w:t>
            </w:r>
          </w:p>
        </w:tc>
      </w:tr>
    </w:tbl>
    <w:p>
      <w:pPr>
        <w:spacing w:after="240"/>
      </w:pPr>
    </w:p>
    <w:p>
      <w:pPr>
        <w:pStyle w:val="Heading1"/>
      </w:pPr>
      <w:r>
        <w:t>5. 100-Sample Model Evaluation Benchmark</w:t>
      </w:r>
    </w:p>
    <w:p>
      <w:r>
        <w:t>The detection pipeline was tested against a balanced corpus of 100 test samples (50 malicious phishing/reverse-charge attacks and 50 verified legitimate banking interactions). The evaluation yielded the following metrics:</w:t>
        <w:br/>
        <w:t>• Overall Accuracy: 98.0%</w:t>
        <w:br/>
        <w:t>• Precision: 98.0%</w:t>
        <w:br/>
        <w:t>• Recall: 98.0%</w:t>
        <w:br/>
        <w:t>• F1-Score: 98.0%</w:t>
      </w:r>
    </w:p>
    <w:tbl>
      <w:tblPr>
        <w:tblW w:type="auto" w:w="0"/>
        <w:jc w:val="center"/>
        <w:tblLook w:firstColumn="1" w:firstRow="1" w:lastColumn="0" w:lastRow="0" w:noHBand="0" w:noVBand="1" w:val="04A0"/>
      </w:tblPr>
      <w:tblGrid>
        <w:gridCol w:w="3120"/>
        <w:gridCol w:w="3120"/>
        <w:gridCol w:w="3120"/>
      </w:tblGrid>
      <w:tr>
        <w:tc>
          <w:tcPr>
            <w:tcW w:type="dxa" w:w="3120"/>
          </w:tcPr>
          <w:p>
            <w:r>
              <w:rPr>
                <w:sz w:val="19"/>
              </w:rPr>
              <w:t>Confusion Matrix</w:t>
            </w:r>
          </w:p>
        </w:tc>
        <w:tc>
          <w:tcPr>
            <w:tcW w:type="dxa" w:w="3120"/>
          </w:tcPr>
          <w:p>
            <w:r>
              <w:rPr>
                <w:sz w:val="19"/>
              </w:rPr>
              <w:t>Predicted Scam</w:t>
            </w:r>
          </w:p>
        </w:tc>
        <w:tc>
          <w:tcPr>
            <w:tcW w:type="dxa" w:w="3120"/>
          </w:tcPr>
          <w:p>
            <w:r>
              <w:rPr>
                <w:sz w:val="19"/>
              </w:rPr>
              <w:t>Predicted Legit</w:t>
            </w:r>
          </w:p>
        </w:tc>
      </w:tr>
      <w:tr>
        <w:tc>
          <w:tcPr>
            <w:tcW w:type="dxa" w:w="3120"/>
          </w:tcPr>
          <w:p>
            <w:r>
              <w:rPr>
                <w:sz w:val="19"/>
              </w:rPr>
              <w:t>Actual Scam</w:t>
            </w:r>
          </w:p>
        </w:tc>
        <w:tc>
          <w:tcPr>
            <w:tcW w:type="dxa" w:w="3120"/>
          </w:tcPr>
          <w:p>
            <w:r>
              <w:rPr>
                <w:sz w:val="19"/>
              </w:rPr>
              <w:t>TP: 49 (True Positive)</w:t>
            </w:r>
          </w:p>
        </w:tc>
        <w:tc>
          <w:tcPr>
            <w:tcW w:type="dxa" w:w="3120"/>
          </w:tcPr>
          <w:p>
            <w:r>
              <w:rPr>
                <w:sz w:val="19"/>
              </w:rPr>
              <w:t>FN: 1 (False Negative)</w:t>
            </w:r>
          </w:p>
        </w:tc>
      </w:tr>
      <w:tr>
        <w:tc>
          <w:tcPr>
            <w:tcW w:type="dxa" w:w="3120"/>
          </w:tcPr>
          <w:p>
            <w:r>
              <w:rPr>
                <w:sz w:val="19"/>
              </w:rPr>
              <w:t>Actual Legit</w:t>
            </w:r>
          </w:p>
        </w:tc>
        <w:tc>
          <w:tcPr>
            <w:tcW w:type="dxa" w:w="3120"/>
          </w:tcPr>
          <w:p>
            <w:r>
              <w:rPr>
                <w:sz w:val="19"/>
              </w:rPr>
              <w:t>FP: 1 (False Positive)</w:t>
            </w:r>
          </w:p>
        </w:tc>
        <w:tc>
          <w:tcPr>
            <w:tcW w:type="dxa" w:w="3120"/>
          </w:tcPr>
          <w:p>
            <w:r>
              <w:rPr>
                <w:sz w:val="19"/>
              </w:rPr>
              <w:t>TN: 49 (True Negative)</w:t>
            </w:r>
          </w:p>
        </w:tc>
      </w:tr>
    </w:tbl>
    <w:p>
      <w:pPr>
        <w:spacing w:after="240"/>
      </w:pPr>
    </w:p>
    <w:p>
      <w:pPr>
        <w:pStyle w:val="Heading1"/>
      </w:pPr>
      <w:r>
        <w:t>6. Engineering Team (Team D43M0N$)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b/>
                <w:sz w:val="20"/>
              </w:rPr>
              <w:t>Member Name</w:t>
            </w:r>
          </w:p>
        </w:tc>
        <w:tc>
          <w:tcPr>
            <w:tcW w:type="dxa" w:w="3120"/>
            <w:shd w:val="clear" w:color="auto" w:fill="F1F5F9"/>
          </w:tcPr>
          <w:p>
            <w:r>
              <w:rPr>
                <w:b/>
                <w:sz w:val="20"/>
              </w:rPr>
              <w:t>Registration No.</w:t>
            </w:r>
          </w:p>
        </w:tc>
        <w:tc>
          <w:tcPr>
            <w:tcW w:type="dxa" w:w="3120"/>
            <w:shd w:val="clear" w:color="auto" w:fill="F1F5F9"/>
          </w:tcPr>
          <w:p>
            <w:r>
              <w:rPr>
                <w:b/>
                <w:sz w:val="20"/>
              </w:rPr>
              <w:t>Role &amp; Architectural Focus</w:t>
            </w:r>
          </w:p>
        </w:tc>
      </w:tr>
      <w:tr>
        <w:tc>
          <w:tcPr>
            <w:tcW w:type="dxa" w:w="3120"/>
          </w:tcPr>
          <w:p>
            <w:r>
              <w:rPr>
                <w:sz w:val="19"/>
              </w:rPr>
              <w:t>Aastik Tripathi</w:t>
            </w:r>
          </w:p>
        </w:tc>
        <w:tc>
          <w:tcPr>
            <w:tcW w:type="dxa" w:w="3120"/>
          </w:tcPr>
          <w:p>
            <w:r>
              <w:rPr>
                <w:sz w:val="19"/>
              </w:rPr>
              <w:t>26BCY10090</w:t>
            </w:r>
          </w:p>
        </w:tc>
        <w:tc>
          <w:tcPr>
            <w:tcW w:type="dxa" w:w="3120"/>
          </w:tcPr>
          <w:p>
            <w:r>
              <w:rPr>
                <w:sz w:val="19"/>
              </w:rPr>
              <w:t>Security Architecture, Homograph Detection &amp; Team Lead</w:t>
            </w:r>
          </w:p>
        </w:tc>
      </w:tr>
      <w:tr>
        <w:tc>
          <w:tcPr>
            <w:tcW w:type="dxa" w:w="3120"/>
          </w:tcPr>
          <w:p>
            <w:r>
              <w:rPr>
                <w:sz w:val="19"/>
              </w:rPr>
              <w:t>Palak Kalra</w:t>
            </w:r>
          </w:p>
        </w:tc>
        <w:tc>
          <w:tcPr>
            <w:tcW w:type="dxa" w:w="3120"/>
          </w:tcPr>
          <w:p>
            <w:r>
              <w:rPr>
                <w:sz w:val="19"/>
              </w:rPr>
              <w:t>26BCY10001</w:t>
            </w:r>
          </w:p>
        </w:tc>
        <w:tc>
          <w:tcPr>
            <w:tcW w:type="dxa" w:w="3120"/>
          </w:tcPr>
          <w:p>
            <w:r>
              <w:rPr>
                <w:sz w:val="19"/>
              </w:rPr>
              <w:t>Multilingual NLP Engine (Hindi/English) &amp; Linguistic Panic Modeling</w:t>
            </w:r>
          </w:p>
        </w:tc>
      </w:tr>
      <w:tr>
        <w:tc>
          <w:tcPr>
            <w:tcW w:type="dxa" w:w="3120"/>
          </w:tcPr>
          <w:p>
            <w:r>
              <w:rPr>
                <w:sz w:val="19"/>
              </w:rPr>
              <w:t>Yash Raj Kushwaha</w:t>
            </w:r>
          </w:p>
        </w:tc>
        <w:tc>
          <w:tcPr>
            <w:tcW w:type="dxa" w:w="3120"/>
          </w:tcPr>
          <w:p>
            <w:r>
              <w:rPr>
                <w:sz w:val="19"/>
              </w:rPr>
              <w:t>26BCE10122</w:t>
            </w:r>
          </w:p>
        </w:tc>
        <w:tc>
          <w:tcPr>
            <w:tcW w:type="dxa" w:w="3120"/>
          </w:tcPr>
          <w:p>
            <w:r>
              <w:rPr>
                <w:sz w:val="19"/>
              </w:rPr>
              <w:t>Full-Stack Next.js 15, Minimalist UI/UX System &amp; Firebase Realtime Database</w:t>
            </w:r>
          </w:p>
        </w:tc>
      </w:tr>
      <w:tr>
        <w:tc>
          <w:tcPr>
            <w:tcW w:type="dxa" w:w="3120"/>
          </w:tcPr>
          <w:p>
            <w:r>
              <w:rPr>
                <w:sz w:val="19"/>
              </w:rPr>
              <w:t>Mangal Nath Yadav</w:t>
            </w:r>
          </w:p>
        </w:tc>
        <w:tc>
          <w:tcPr>
            <w:tcW w:type="dxa" w:w="3120"/>
          </w:tcPr>
          <w:p>
            <w:r>
              <w:rPr>
                <w:sz w:val="19"/>
              </w:rPr>
              <w:t>26BHI10047</w:t>
            </w:r>
          </w:p>
        </w:tc>
        <w:tc>
          <w:tcPr>
            <w:tcW w:type="dxa" w:w="3120"/>
          </w:tcPr>
          <w:p>
            <w:r>
              <w:rPr>
                <w:sz w:val="19"/>
              </w:rPr>
              <w:t>UPI Payment Intent Protocols, Reverse-Charge Guard &amp; QR Decoders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