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Times New Roman" w:hAnsi="Times New Roman"/>
          <w:b/>
          <w:sz w:val="36"/>
        </w:rPr>
        <w:t>PROJECT REPORT</w:t>
        <w:br/>
        <w:t>ON</w:t>
      </w:r>
    </w:p>
    <w:p>
      <w:pPr>
        <w:spacing w:before="160" w:after="280"/>
        <w:jc w:val="center"/>
      </w:pPr>
      <w:r>
        <w:rPr>
          <w:rFonts w:ascii="Times New Roman" w:hAnsi="Times New Roman"/>
          <w:b/>
          <w:sz w:val="34"/>
        </w:rPr>
        <w:t>CyberShield-AI: AI-Powered Cyber Threat Intelligence, Detection, Analysis and Attack Prediction Platform</w:t>
      </w:r>
    </w:p>
    <w:p>
      <w:pPr>
        <w:spacing w:before="120" w:after="80"/>
        <w:jc w:val="center"/>
      </w:pPr>
      <w:r>
        <w:rPr>
          <w:rFonts w:ascii="Times New Roman" w:hAnsi="Times New Roman"/>
          <w:i/>
          <w:sz w:val="26"/>
        </w:rPr>
        <w:t>Submitted by</w:t>
      </w:r>
    </w:p>
    <w:p>
      <w:pPr>
        <w:spacing w:before="80" w:after="280"/>
        <w:jc w:val="center"/>
      </w:pPr>
      <w:r>
        <w:rPr>
          <w:rFonts w:ascii="Times New Roman" w:hAnsi="Times New Roman"/>
          <w:b/>
          <w:sz w:val="26"/>
        </w:rPr>
        <w:t>Yash Raj (IU2341220107)</w:t>
        <w:br/>
        <w:t>Ganesh Kondekar (IU2341220102)</w:t>
        <w:br/>
        <w:t>Jeet Borse (IU231220139)</w:t>
        <w:br/>
        <w:t>Bhavya Vaidya (IU2341220099)</w:t>
        <w:br/>
        <w:t>Shiven Asopa (IU2341220142)</w:t>
      </w:r>
    </w:p>
    <w:p>
      <w:pPr>
        <w:spacing w:before="120" w:after="40"/>
        <w:jc w:val="center"/>
      </w:pPr>
      <w:r>
        <w:rPr>
          <w:rFonts w:ascii="Times New Roman" w:hAnsi="Times New Roman"/>
          <w:i/>
          <w:sz w:val="24"/>
        </w:rPr>
        <w:t>In fulfillment for the award of the degree</w:t>
        <w:br/>
        <w:t>Of</w:t>
      </w:r>
    </w:p>
    <w:p>
      <w:pPr>
        <w:spacing w:before="40" w:after="40"/>
        <w:jc w:val="center"/>
      </w:pPr>
      <w:r>
        <w:rPr>
          <w:rFonts w:ascii="Times New Roman" w:hAnsi="Times New Roman"/>
          <w:b/>
          <w:i/>
          <w:sz w:val="28"/>
        </w:rPr>
        <w:t>BACHELOR OF TECHNOLOGY</w:t>
      </w:r>
    </w:p>
    <w:p>
      <w:pPr>
        <w:spacing w:before="40" w:after="40"/>
        <w:jc w:val="center"/>
      </w:pPr>
      <w:r>
        <w:rPr>
          <w:rFonts w:ascii="Times New Roman" w:hAnsi="Times New Roman"/>
          <w:b/>
          <w:i/>
          <w:sz w:val="26"/>
        </w:rPr>
        <w:t>In</w:t>
        <w:br/>
        <w:t>Information Technology</w:t>
      </w:r>
    </w:p>
    <w:p>
      <w:pPr>
        <w:spacing w:before="200" w:after="200"/>
        <w:jc w:val="center"/>
      </w:pPr>
      <w:r>
        <w:drawing>
          <wp:inline xmlns:a="http://schemas.openxmlformats.org/drawingml/2006/main" xmlns:pic="http://schemas.openxmlformats.org/drawingml/2006/picture">
            <wp:extent cx="2286000" cy="776377"/>
            <wp:docPr id="1" name="Picture 1"/>
            <wp:cNvGraphicFramePr>
              <a:graphicFrameLocks noChangeAspect="1"/>
            </wp:cNvGraphicFramePr>
            <a:graphic>
              <a:graphicData uri="http://schemas.openxmlformats.org/drawingml/2006/picture">
                <pic:pic>
                  <pic:nvPicPr>
                    <pic:cNvPr id="0" name="page_1_0_Image13.png"/>
                    <pic:cNvPicPr/>
                  </pic:nvPicPr>
                  <pic:blipFill>
                    <a:blip r:embed="rId10"/>
                    <a:stretch>
                      <a:fillRect/>
                    </a:stretch>
                  </pic:blipFill>
                  <pic:spPr>
                    <a:xfrm>
                      <a:off x="0" y="0"/>
                      <a:ext cx="2286000" cy="776377"/>
                    </a:xfrm>
                    <a:prstGeom prst="rect"/>
                  </pic:spPr>
                </pic:pic>
              </a:graphicData>
            </a:graphic>
          </wp:inline>
        </w:drawing>
      </w:r>
    </w:p>
    <w:p>
      <w:pPr>
        <w:spacing w:before="80" w:after="40"/>
        <w:jc w:val="center"/>
      </w:pPr>
      <w:r>
        <w:rPr>
          <w:rFonts w:ascii="Times New Roman" w:hAnsi="Times New Roman"/>
          <w:b/>
          <w:sz w:val="22"/>
        </w:rPr>
        <w:t>INSTITUTE OF TECHNOLOGY AND ENGINEERING</w:t>
        <w:br/>
        <w:t>INDUS UNIVERSITY CAMPUS, RANCHARDA, VIA-THALTEJ</w:t>
        <w:br/>
        <w:t>AHMEDABAD-382115, GUJARAT, INDIA</w:t>
        <w:br/>
        <w:t>WEB: www.indusuni.ac.in</w:t>
        <w:br/>
        <w:t>September-2026</w:t>
      </w:r>
    </w:p>
    <w:p>
      <w:r>
        <w:br w:type="page"/>
      </w:r>
    </w:p>
    <w:p>
      <w:pPr>
        <w:spacing w:before="240" w:after="80"/>
        <w:jc w:val="center"/>
      </w:pPr>
      <w:r>
        <w:rPr>
          <w:rFonts w:ascii="Times New Roman" w:hAnsi="Times New Roman"/>
          <w:b/>
          <w:sz w:val="36"/>
        </w:rPr>
        <w:t>PROJECT REPORT</w:t>
        <w:br/>
        <w:t>ON</w:t>
      </w:r>
    </w:p>
    <w:p>
      <w:pPr>
        <w:spacing w:before="120" w:after="120"/>
        <w:jc w:val="center"/>
      </w:pPr>
      <w:r>
        <w:rPr>
          <w:rFonts w:ascii="Times New Roman" w:hAnsi="Times New Roman"/>
          <w:b/>
          <w:sz w:val="32"/>
        </w:rPr>
        <w:t>CyberShield-AI: Civic &amp; Enterprise Cyber Threat Intelligence, Detection, Analysis and Attack Prediction Platform</w:t>
      </w:r>
    </w:p>
    <w:p>
      <w:pPr>
        <w:spacing w:before="80" w:after="120"/>
        <w:jc w:val="center"/>
      </w:pPr>
      <w:r>
        <w:rPr>
          <w:rFonts w:ascii="Times New Roman" w:hAnsi="Times New Roman"/>
          <w:b/>
          <w:sz w:val="28"/>
        </w:rPr>
        <w:t>AT</w:t>
      </w:r>
    </w:p>
    <w:p>
      <w:pPr>
        <w:spacing w:before="80" w:after="160"/>
        <w:jc w:val="center"/>
      </w:pPr>
      <w:r>
        <w:drawing>
          <wp:inline xmlns:a="http://schemas.openxmlformats.org/drawingml/2006/main" xmlns:pic="http://schemas.openxmlformats.org/drawingml/2006/picture">
            <wp:extent cx="2103120" cy="714267"/>
            <wp:docPr id="2" name="Picture 2"/>
            <wp:cNvGraphicFramePr>
              <a:graphicFrameLocks noChangeAspect="1"/>
            </wp:cNvGraphicFramePr>
            <a:graphic>
              <a:graphicData uri="http://schemas.openxmlformats.org/drawingml/2006/picture">
                <pic:pic>
                  <pic:nvPicPr>
                    <pic:cNvPr id="0" name="page_1_0_Image13.png"/>
                    <pic:cNvPicPr/>
                  </pic:nvPicPr>
                  <pic:blipFill>
                    <a:blip r:embed="rId10"/>
                    <a:stretch>
                      <a:fillRect/>
                    </a:stretch>
                  </pic:blipFill>
                  <pic:spPr>
                    <a:xfrm>
                      <a:off x="0" y="0"/>
                      <a:ext cx="2103120" cy="714267"/>
                    </a:xfrm>
                    <a:prstGeom prst="rect"/>
                  </pic:spPr>
                </pic:pic>
              </a:graphicData>
            </a:graphic>
          </wp:inline>
        </w:drawing>
      </w:r>
    </w:p>
    <w:p>
      <w:pPr>
        <w:spacing w:before="80" w:after="40"/>
        <w:jc w:val="center"/>
      </w:pPr>
      <w:r>
        <w:rPr>
          <w:rFonts w:ascii="Times New Roman" w:hAnsi="Times New Roman"/>
          <w:i/>
          <w:sz w:val="24"/>
        </w:rPr>
        <w:t>In the fulfilment of the requirement</w:t>
        <w:br/>
        <w:t>for the degree of</w:t>
        <w:br/>
        <w:t>Bachelor of Technology</w:t>
        <w:br/>
        <w:t>in</w:t>
        <w:br/>
        <w:t>Information Technology</w:t>
      </w:r>
    </w:p>
    <w:p>
      <w:pPr>
        <w:spacing w:before="160" w:after="40"/>
        <w:jc w:val="center"/>
      </w:pPr>
      <w:r>
        <w:rPr>
          <w:rFonts w:ascii="Times New Roman" w:hAnsi="Times New Roman"/>
          <w:b/>
          <w:sz w:val="26"/>
        </w:rPr>
        <w:t>PREPARED BY</w:t>
      </w:r>
    </w:p>
    <w:p>
      <w:pPr>
        <w:spacing w:before="40" w:after="160"/>
        <w:jc w:val="center"/>
      </w:pPr>
      <w:r>
        <w:rPr>
          <w:rFonts w:ascii="Times New Roman" w:hAnsi="Times New Roman"/>
          <w:b/>
          <w:sz w:val="24"/>
        </w:rPr>
        <w:t>Yash Raj (IU2341220107)</w:t>
        <w:br/>
        <w:t>Ganesh Kondekar (IU2341220102)</w:t>
        <w:br/>
        <w:t>Jeet Borse (IU231220139)</w:t>
        <w:br/>
        <w:t>Bhavya Vaidya (IU2341220099)</w:t>
        <w:br/>
        <w:t>Shiven Asopa (IU2341220142)</w:t>
      </w:r>
    </w:p>
    <w:p>
      <w:pPr>
        <w:spacing w:before="120" w:after="40"/>
        <w:jc w:val="center"/>
      </w:pPr>
      <w:r>
        <w:rPr>
          <w:rFonts w:ascii="Times New Roman" w:hAnsi="Times New Roman"/>
          <w:sz w:val="22"/>
        </w:rPr>
        <w:t>UNDER GUIDANCE OF</w:t>
        <w:br/>
        <w:t>Internal Guide</w:t>
        <w:br/>
        <w:t>Sheatal Panchal</w:t>
        <w:br/>
        <w:t>Assistant Professor</w:t>
        <w:br/>
        <w:t>Department of Information Technology,</w:t>
        <w:br/>
        <w:t>I.I.T.E. Indus University,</w:t>
        <w:br/>
        <w:t>Ahmedabad</w:t>
      </w:r>
    </w:p>
    <w:p>
      <w:pPr>
        <w:spacing w:before="120" w:after="40"/>
        <w:jc w:val="center"/>
      </w:pPr>
      <w:r>
        <w:rPr>
          <w:rFonts w:ascii="Times New Roman" w:hAnsi="Times New Roman"/>
          <w:b/>
          <w:sz w:val="21"/>
        </w:rPr>
        <w:t>SUBMITTED TO</w:t>
        <w:br/>
        <w:t>INSTITUTE OF TECHNOLOGY AND ENGINEERING</w:t>
        <w:br/>
        <w:t>INDUS UNIVERSITY CAMPUS, RANCHARDA, VIA-THALTEJ</w:t>
        <w:br/>
        <w:t>AHMEDABAD-382115, GUJARAT, INDIA</w:t>
        <w:br/>
        <w:t>WEB: www.indusuni.ac.in</w:t>
        <w:br/>
        <w:t>September-2026</w:t>
      </w:r>
    </w:p>
    <w:p>
      <w:r>
        <w:br w:type="page"/>
      </w:r>
    </w:p>
    <w:p>
      <w:pPr>
        <w:spacing w:before="320" w:after="320"/>
        <w:jc w:val="center"/>
      </w:pPr>
      <w:r>
        <w:rPr>
          <w:rFonts w:ascii="Times New Roman" w:hAnsi="Times New Roman"/>
          <w:b/>
          <w:sz w:val="36"/>
        </w:rPr>
        <w:t>CANDIDATE'S DECLARATION</w:t>
      </w:r>
    </w:p>
    <w:p>
      <w:pPr>
        <w:spacing w:before="0" w:after="120" w:line="276" w:lineRule="auto"/>
        <w:jc w:val="both"/>
      </w:pPr>
      <w:r>
        <w:rPr>
          <w:rFonts w:ascii="Times New Roman" w:hAnsi="Times New Roman"/>
          <w:sz w:val="24"/>
        </w:rPr>
        <w:t>We declare that final semester report entitled "CyberShield-AI: AI-Powered Cyber Threat Intelligence, Detection, Analysis and Attack Prediction Platform" is our own work conducted under the supervision of the guide Ms. Sheatal Panchal.</w:t>
      </w:r>
    </w:p>
    <w:p>
      <w:pPr>
        <w:spacing w:before="0" w:after="120" w:line="276" w:lineRule="auto"/>
        <w:jc w:val="both"/>
      </w:pPr>
      <w:r>
        <w:rPr>
          <w:rFonts w:ascii="Times New Roman" w:hAnsi="Times New Roman"/>
          <w:sz w:val="24"/>
        </w:rPr>
        <w:t>We further declare that to the best of my knowledge, the report for B. Tech final semester does not contain part of the work which has been submitted for the award of B. Tech Degree either in this university or any other university without proper citation.</w:t>
      </w:r>
    </w:p>
    <w:p>
      <w:pPr>
        <w:spacing w:before="120" w:after="40"/>
      </w:pPr>
      <w:r>
        <w:rPr>
          <w:rFonts w:ascii="Times New Roman" w:hAnsi="Times New Roman"/>
          <w:sz w:val="22"/>
        </w:rPr>
        <w:t>___________________________________</w:t>
        <w:br/>
        <w:t>Candidate’s Signature</w:t>
        <w:br/>
        <w:t>Yash Raj (IU2341220107)</w:t>
      </w:r>
    </w:p>
    <w:p>
      <w:pPr>
        <w:spacing w:before="120" w:after="40"/>
      </w:pPr>
      <w:r>
        <w:rPr>
          <w:rFonts w:ascii="Times New Roman" w:hAnsi="Times New Roman"/>
          <w:sz w:val="22"/>
        </w:rPr>
        <w:t>___________________________________</w:t>
        <w:br/>
        <w:t>Candidate’s Signature</w:t>
        <w:br/>
        <w:t>Ganesh Kondekar (IU2341220102)</w:t>
      </w:r>
    </w:p>
    <w:p>
      <w:pPr>
        <w:spacing w:before="120" w:after="40"/>
      </w:pPr>
      <w:r>
        <w:rPr>
          <w:rFonts w:ascii="Times New Roman" w:hAnsi="Times New Roman"/>
          <w:sz w:val="22"/>
        </w:rPr>
        <w:t>___________________________________</w:t>
        <w:br/>
        <w:t>Candidate’s Signature</w:t>
        <w:br/>
        <w:t>Jeet Borse (IU231220139)</w:t>
      </w:r>
    </w:p>
    <w:p>
      <w:pPr>
        <w:spacing w:before="120" w:after="40"/>
      </w:pPr>
      <w:r>
        <w:rPr>
          <w:rFonts w:ascii="Times New Roman" w:hAnsi="Times New Roman"/>
          <w:sz w:val="22"/>
        </w:rPr>
        <w:t>___________________________________</w:t>
        <w:br/>
        <w:t>Candidate’s Signature</w:t>
        <w:br/>
        <w:t>Bhavya Vaidya (IU2341220099)</w:t>
      </w:r>
    </w:p>
    <w:p>
      <w:pPr>
        <w:spacing w:before="120" w:after="40"/>
      </w:pPr>
      <w:r>
        <w:rPr>
          <w:rFonts w:ascii="Times New Roman" w:hAnsi="Times New Roman"/>
          <w:sz w:val="22"/>
        </w:rPr>
        <w:t>___________________________________</w:t>
        <w:br/>
        <w:t>Candidate’s Signature</w:t>
        <w:br/>
        <w:t>Shiven Asopa (IU2341220142)</w:t>
      </w:r>
    </w:p>
    <w:p>
      <w:pPr>
        <w:spacing w:before="200" w:after="40"/>
      </w:pPr>
      <w:r>
        <w:rPr>
          <w:rFonts w:ascii="Times New Roman" w:hAnsi="Times New Roman"/>
          <w:sz w:val="22"/>
        </w:rPr>
        <w:t>___________________________________</w:t>
        <w:br/>
        <w:t>Guide: Ms. Sheatal Panchal</w:t>
        <w:br/>
        <w:t>Assistant Professor,</w:t>
        <w:br/>
        <w:t>Department of Information Technology,</w:t>
        <w:br/>
        <w:t>Indus Institute of Technology and Engineering</w:t>
        <w:br/>
        <w:t>INDUS UNIVERSITY– Ahmedabad,</w:t>
        <w:br/>
        <w:t>State: Gujarat</w:t>
      </w:r>
    </w:p>
    <w:p>
      <w:r>
        <w:br w:type="page"/>
      </w:r>
    </w:p>
    <w:p>
      <w:pPr>
        <w:spacing w:before="280" w:after="80"/>
        <w:jc w:val="center"/>
      </w:pPr>
      <w:r>
        <w:rPr>
          <w:rFonts w:ascii="Times New Roman" w:hAnsi="Times New Roman"/>
          <w:b/>
          <w:sz w:val="28"/>
        </w:rPr>
        <w:t>INDUS INSTITUTE OF TECHNOLOGY AND ENGINEERING</w:t>
        <w:br/>
        <w:t>INFORMATION TECHNOLOGY</w:t>
        <w:br/>
        <w:t>2026</w:t>
      </w:r>
    </w:p>
    <w:p>
      <w:pPr>
        <w:spacing w:before="160" w:after="200"/>
        <w:jc w:val="center"/>
      </w:pPr>
      <w:r>
        <w:drawing>
          <wp:inline xmlns:a="http://schemas.openxmlformats.org/drawingml/2006/main" xmlns:pic="http://schemas.openxmlformats.org/drawingml/2006/picture">
            <wp:extent cx="2286000" cy="776377"/>
            <wp:docPr id="3" name="Picture 3"/>
            <wp:cNvGraphicFramePr>
              <a:graphicFrameLocks noChangeAspect="1"/>
            </wp:cNvGraphicFramePr>
            <a:graphic>
              <a:graphicData uri="http://schemas.openxmlformats.org/drawingml/2006/picture">
                <pic:pic>
                  <pic:nvPicPr>
                    <pic:cNvPr id="0" name="page_1_0_Image13.png"/>
                    <pic:cNvPicPr/>
                  </pic:nvPicPr>
                  <pic:blipFill>
                    <a:blip r:embed="rId10"/>
                    <a:stretch>
                      <a:fillRect/>
                    </a:stretch>
                  </pic:blipFill>
                  <pic:spPr>
                    <a:xfrm>
                      <a:off x="0" y="0"/>
                      <a:ext cx="2286000" cy="776377"/>
                    </a:xfrm>
                    <a:prstGeom prst="rect"/>
                  </pic:spPr>
                </pic:pic>
              </a:graphicData>
            </a:graphic>
          </wp:inline>
        </w:drawing>
      </w:r>
    </w:p>
    <w:p>
      <w:pPr>
        <w:spacing w:before="160" w:after="200"/>
        <w:jc w:val="center"/>
      </w:pPr>
      <w:r>
        <w:rPr>
          <w:rFonts w:ascii="Times New Roman" w:hAnsi="Times New Roman"/>
          <w:b/>
          <w:sz w:val="36"/>
        </w:rPr>
        <w:t>CERTIFICATE</w:t>
      </w:r>
    </w:p>
    <w:p>
      <w:pPr>
        <w:spacing w:before="80" w:after="200"/>
        <w:jc w:val="right"/>
      </w:pPr>
      <w:r>
        <w:rPr>
          <w:rFonts w:ascii="Times New Roman" w:hAnsi="Times New Roman"/>
          <w:b/>
          <w:sz w:val="24"/>
        </w:rPr>
        <w:t>Date: 30/09/2026</w:t>
      </w:r>
    </w:p>
    <w:p>
      <w:pPr>
        <w:spacing w:before="0" w:after="120" w:line="276" w:lineRule="auto"/>
        <w:jc w:val="both"/>
      </w:pPr>
      <w:r>
        <w:rPr>
          <w:rFonts w:ascii="Times New Roman" w:hAnsi="Times New Roman"/>
          <w:sz w:val="24"/>
        </w:rPr>
        <w:t>This is to certify that the project work entitled "CyberShield-AI: AI-Powered Cyber Threat Intelligence, Detection, Analysis and Attack Prediction Platform" has been carried out by Yash Raj (IU2341220107), Ganesh Kondekar (IU2341220102), Jeet Borse (IU231220139), Bhavya Vaidya (IU2341220099), Shiven Asopa (IU2341220142) under my guidance in partial fulfillment of degree of Bachelor of Technology in Information Technology (7th semester of Indus University, Ahmedabad during the academic year 2026 – 2027).</w:t>
      </w:r>
    </w:p>
    <w:tbl>
      <w:tblPr>
        <w:tblW w:type="auto" w:w="0"/>
        <w:jc w:val="center"/>
        <w:tblLook w:firstColumn="1" w:firstRow="1" w:lastColumn="0" w:lastRow="0" w:noHBand="0" w:noVBand="1" w:val="04A0"/>
      </w:tblPr>
      <w:tblGrid>
        <w:gridCol w:w="4514"/>
        <w:gridCol w:w="4514"/>
      </w:tblGrid>
      <w:tr>
        <w:tc>
          <w:tcPr>
            <w:tcW w:type="dxa" w:w="4464"/>
          </w:tcPr>
          <w:p>
            <w:pPr>
              <w:spacing w:before="800"/>
            </w:pPr>
            <w:r>
              <w:rPr>
                <w:rFonts w:ascii="Times New Roman" w:hAnsi="Times New Roman"/>
                <w:sz w:val="22"/>
              </w:rPr>
              <w:t>___________________________</w:t>
              <w:br/>
              <w:t>Ms. Sheatal Panchal</w:t>
              <w:br/>
              <w:t>Assistant Professor,</w:t>
              <w:br/>
              <w:t>Department of Information Technology,</w:t>
              <w:br/>
              <w:t>I.I.T.E. , Indus University</w:t>
              <w:br/>
              <w:t>Ahmedabad</w:t>
            </w:r>
          </w:p>
        </w:tc>
        <w:tc>
          <w:tcPr>
            <w:tcW w:type="dxa" w:w="4464"/>
          </w:tcPr>
          <w:p>
            <w:pPr>
              <w:spacing w:before="800"/>
            </w:pPr>
            <w:r>
              <w:rPr>
                <w:rFonts w:ascii="Times New Roman" w:hAnsi="Times New Roman"/>
                <w:sz w:val="22"/>
              </w:rPr>
              <w:t>___________________________</w:t>
              <w:br/>
              <w:t>Dr. Shruti B Yagnik</w:t>
              <w:br/>
              <w:t>Head of the Department,</w:t>
              <w:br/>
              <w:t>Department of Information Technology,</w:t>
              <w:br/>
              <w:t>I.I.T.E. , Indus University</w:t>
              <w:br/>
              <w:t>Ahmedabad</w:t>
            </w:r>
          </w:p>
        </w:tc>
      </w:tr>
    </w:tbl>
    <w:p>
      <w:r>
        <w:br w:type="page"/>
      </w:r>
    </w:p>
    <w:p>
      <w:pPr>
        <w:spacing w:before="320" w:after="320"/>
        <w:jc w:val="center"/>
      </w:pPr>
      <w:r>
        <w:rPr>
          <w:rFonts w:ascii="Times New Roman" w:hAnsi="Times New Roman"/>
          <w:b/>
          <w:sz w:val="36"/>
        </w:rPr>
        <w:t>ACKNOWLEDGEMENT</w:t>
      </w:r>
    </w:p>
    <w:p>
      <w:pPr>
        <w:spacing w:before="0" w:after="120" w:line="276" w:lineRule="auto"/>
        <w:jc w:val="both"/>
      </w:pPr>
      <w:r>
        <w:rPr>
          <w:rFonts w:ascii="Times New Roman" w:hAnsi="Times New Roman"/>
          <w:sz w:val="24"/>
        </w:rPr>
        <w:t>I would like to express my sincere gratitude to all those who have contributed to the successful completion of my Bachelor of Technology Project.</w:t>
      </w:r>
    </w:p>
    <w:p>
      <w:pPr>
        <w:spacing w:before="0" w:after="120" w:line="276" w:lineRule="auto"/>
        <w:jc w:val="both"/>
      </w:pPr>
      <w:r>
        <w:rPr>
          <w:rFonts w:ascii="Times New Roman" w:hAnsi="Times New Roman"/>
          <w:sz w:val="24"/>
        </w:rPr>
        <w:t>Firstly, I would like to thank my project guide, Ms. Sheatal Panchal, for their guidance and support throughout the project. Their valuable insights, technical suggestions, and continual encouragement have been instrumental in shaping my work and refining the AI anomaly detection algorithms, threat telemetry pipelines, and system architecture of the CyberShield-AI platform.</w:t>
      </w:r>
    </w:p>
    <w:p>
      <w:pPr>
        <w:spacing w:before="0" w:after="120" w:line="276" w:lineRule="auto"/>
        <w:jc w:val="both"/>
      </w:pPr>
      <w:r>
        <w:rPr>
          <w:rFonts w:ascii="Times New Roman" w:hAnsi="Times New Roman"/>
          <w:sz w:val="24"/>
        </w:rPr>
        <w:t>I am also deeply grateful to the faculty members of the Department of Information Technology Engineering for their support, academic environment, and encouragement. Their feedback during project milestones has been invaluable in improving the functional quality and reliability of my work.</w:t>
      </w:r>
    </w:p>
    <w:p>
      <w:pPr>
        <w:spacing w:before="0" w:after="120" w:line="276" w:lineRule="auto"/>
        <w:jc w:val="both"/>
      </w:pPr>
      <w:r>
        <w:rPr>
          <w:rFonts w:ascii="Times New Roman" w:hAnsi="Times New Roman"/>
          <w:sz w:val="24"/>
        </w:rPr>
        <w:t>I would like to express my heartfelt gratitude to my family and friends for their unwavering support, understanding, and encouragement throughout the duration of this project. Their constant motivation has been a steadfast source of inspiration for me.</w:t>
      </w:r>
    </w:p>
    <w:p>
      <w:pPr>
        <w:spacing w:before="0" w:after="120" w:line="276" w:lineRule="auto"/>
        <w:jc w:val="both"/>
      </w:pPr>
      <w:r>
        <w:rPr>
          <w:rFonts w:ascii="Times New Roman" w:hAnsi="Times New Roman"/>
          <w:sz w:val="24"/>
        </w:rPr>
        <w:t>Lastly, I would like to thank Indus University and the Institute of Technology and Engineering for providing me with the necessary laboratory resources, technical infrastructure, and facilities to complete this project successfully.</w:t>
      </w:r>
    </w:p>
    <w:p>
      <w:pPr>
        <w:spacing w:before="0" w:after="120" w:line="276" w:lineRule="auto"/>
        <w:jc w:val="both"/>
      </w:pPr>
      <w:r>
        <w:rPr>
          <w:rFonts w:ascii="Times New Roman" w:hAnsi="Times New Roman"/>
          <w:sz w:val="24"/>
        </w:rPr>
        <w:t>Thank you all for your support and guidance.</w:t>
      </w:r>
    </w:p>
    <w:p>
      <w:pPr>
        <w:spacing w:before="400"/>
        <w:jc w:val="right"/>
      </w:pPr>
      <w:r>
        <w:rPr>
          <w:rFonts w:ascii="Times New Roman" w:hAnsi="Times New Roman"/>
          <w:b/>
          <w:sz w:val="24"/>
        </w:rPr>
        <w:t>Yash Raj (IU2341220107)</w:t>
        <w:br/>
        <w:t>Ganesh Kondekar (IU2341220102)</w:t>
        <w:br/>
        <w:t>Jeet Borse (IU231220139)</w:t>
        <w:br/>
        <w:t>Bhavya Vaidya (IU2341220099)</w:t>
        <w:br/>
        <w:t>Shiven Asopa (IU2341220142)</w:t>
        <w:br/>
        <w:t>B.Tech (Information Technology)</w:t>
      </w:r>
    </w:p>
    <w:p>
      <w:r>
        <w:br w:type="page"/>
      </w:r>
    </w:p>
    <w:p>
      <w:pPr>
        <w:spacing w:before="320" w:after="320"/>
        <w:jc w:val="center"/>
      </w:pPr>
      <w:r>
        <w:rPr>
          <w:rFonts w:ascii="Times New Roman" w:hAnsi="Times New Roman"/>
          <w:b/>
          <w:sz w:val="36"/>
        </w:rPr>
        <w:t>TABLE OF CONTENT</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14"/>
        <w:gridCol w:w="4514"/>
      </w:tblGrid>
      <w:tr>
        <w:trPr>
          <w:tblHeader/>
          <w:cantSplit/>
        </w:trPr>
        <w:tc>
          <w:tcPr>
            <w:tcW w:type="dxa" w:w="7200"/>
            <w:shd w:fill="2B6CB0"/>
            <w:tcMar>
              <w:top w:w="140" w:type="dxa"/>
              <w:bottom w:w="140" w:type="dxa"/>
              <w:left w:w="140" w:type="dxa"/>
              <w:right w:w="140" w:type="dxa"/>
            </w:tcMar>
            <w:vAlign w:val="center"/>
          </w:tcPr>
          <w:p>
            <w:pPr>
              <w:spacing w:before="0" w:after="0"/>
              <w:jc w:val="center"/>
            </w:pPr>
            <w:r>
              <w:rPr>
                <w:rFonts w:ascii="Times New Roman" w:hAnsi="Times New Roman"/>
                <w:b/>
                <w:color w:val="FFFFFF"/>
                <w:sz w:val="21"/>
              </w:rPr>
              <w:t>Title</w:t>
            </w:r>
          </w:p>
        </w:tc>
        <w:tc>
          <w:tcPr>
            <w:tcW w:type="dxa" w:w="1728"/>
            <w:shd w:fill="2B6CB0"/>
            <w:tcMar>
              <w:top w:w="140" w:type="dxa"/>
              <w:bottom w:w="140" w:type="dxa"/>
              <w:left w:w="140" w:type="dxa"/>
              <w:right w:w="140" w:type="dxa"/>
            </w:tcMar>
            <w:vAlign w:val="center"/>
          </w:tcPr>
          <w:p>
            <w:pPr>
              <w:spacing w:before="0" w:after="0"/>
              <w:jc w:val="center"/>
            </w:pPr>
            <w:r>
              <w:rPr>
                <w:rFonts w:ascii="Times New Roman" w:hAnsi="Times New Roman"/>
                <w:b/>
                <w:color w:val="FFFFFF"/>
                <w:sz w:val="21"/>
              </w:rPr>
              <w:t>Page No</w:t>
            </w:r>
          </w:p>
        </w:tc>
      </w:tr>
      <w:tr>
        <w:trPr>
          <w:cantSplit/>
        </w:trPr>
        <w:tc>
          <w:tcPr>
            <w:tcW w:type="dxa" w:w="7200"/>
            <w:tcMar>
              <w:top w:w="100" w:type="dxa"/>
              <w:bottom w:w="100" w:type="dxa"/>
              <w:left w:w="140" w:type="dxa"/>
              <w:right w:w="140" w:type="dxa"/>
            </w:tcMar>
            <w:vAlign w:val="center"/>
          </w:tcPr>
          <w:p>
            <w:pPr>
              <w:spacing w:before="0" w:after="0"/>
              <w:jc w:val="center"/>
            </w:pPr>
            <w:r>
              <w:rPr>
                <w:rFonts w:ascii="Times New Roman" w:hAnsi="Times New Roman"/>
                <w:color w:val="0F172A"/>
                <w:sz w:val="20"/>
              </w:rPr>
              <w:t>ABSTRACT</w:t>
            </w:r>
          </w:p>
        </w:tc>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1</w:t>
            </w:r>
          </w:p>
        </w:tc>
      </w:tr>
      <w:tr>
        <w:trPr>
          <w:cantSplit/>
        </w:trPr>
        <w:tc>
          <w:tcPr>
            <w:tcW w:type="dxa" w:w="7200"/>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LIST OF FIGURES</w:t>
            </w:r>
          </w:p>
        </w:tc>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2</w:t>
            </w:r>
          </w:p>
        </w:tc>
      </w:tr>
      <w:tr>
        <w:trPr>
          <w:cantSplit/>
        </w:trPr>
        <w:tc>
          <w:tcPr>
            <w:tcW w:type="dxa" w:w="7200"/>
            <w:tcMar>
              <w:top w:w="100" w:type="dxa"/>
              <w:bottom w:w="100" w:type="dxa"/>
              <w:left w:w="140" w:type="dxa"/>
              <w:right w:w="140" w:type="dxa"/>
            </w:tcMar>
            <w:vAlign w:val="center"/>
          </w:tcPr>
          <w:p>
            <w:pPr>
              <w:spacing w:before="0" w:after="0"/>
              <w:jc w:val="center"/>
            </w:pPr>
            <w:r>
              <w:rPr>
                <w:rFonts w:ascii="Times New Roman" w:hAnsi="Times New Roman"/>
                <w:color w:val="0F172A"/>
                <w:sz w:val="20"/>
              </w:rPr>
              <w:t>LIST OF TABLES</w:t>
            </w:r>
          </w:p>
        </w:tc>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4</w:t>
            </w:r>
          </w:p>
        </w:tc>
      </w:tr>
      <w:tr>
        <w:trPr>
          <w:cantSplit/>
        </w:trPr>
        <w:tc>
          <w:tcPr>
            <w:tcW w:type="dxa" w:w="7200"/>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ABBREVIATION</w:t>
            </w:r>
          </w:p>
        </w:tc>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5</w:t>
            </w:r>
          </w:p>
        </w:tc>
      </w:tr>
      <w:tr>
        <w:trPr>
          <w:cantSplit/>
        </w:trPr>
        <w:tc>
          <w:tcPr>
            <w:tcW w:type="dxa" w:w="7200"/>
            <w:tcMar>
              <w:top w:w="100" w:type="dxa"/>
              <w:bottom w:w="100" w:type="dxa"/>
              <w:left w:w="140" w:type="dxa"/>
              <w:right w:w="140" w:type="dxa"/>
            </w:tcMar>
            <w:vAlign w:val="center"/>
          </w:tcPr>
          <w:p>
            <w:pPr>
              <w:spacing w:before="0" w:after="0"/>
              <w:jc w:val="left"/>
            </w:pPr>
            <w:r>
              <w:rPr>
                <w:rFonts w:ascii="Times New Roman" w:hAnsi="Times New Roman"/>
                <w:color w:val="0F172A"/>
                <w:sz w:val="20"/>
              </w:rPr>
              <w:t>CHAPTER 1 INTRODUCTION</w:t>
            </w:r>
          </w:p>
        </w:tc>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7</w:t>
            </w:r>
          </w:p>
        </w:tc>
      </w:tr>
      <w:tr>
        <w:trPr>
          <w:cantSplit/>
        </w:trPr>
        <w:tc>
          <w:tcPr>
            <w:tcW w:type="dxa" w:w="7200"/>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 xml:space="preserve">    1.1 Project Summary</w:t>
            </w:r>
          </w:p>
        </w:tc>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8</w:t>
            </w:r>
          </w:p>
        </w:tc>
      </w:tr>
      <w:tr>
        <w:trPr>
          <w:cantSplit/>
        </w:trPr>
        <w:tc>
          <w:tcPr>
            <w:tcW w:type="dxa" w:w="7200"/>
            <w:tcMar>
              <w:top w:w="100" w:type="dxa"/>
              <w:bottom w:w="100" w:type="dxa"/>
              <w:left w:w="140" w:type="dxa"/>
              <w:right w:w="140" w:type="dxa"/>
            </w:tcMar>
            <w:vAlign w:val="center"/>
          </w:tcPr>
          <w:p>
            <w:pPr>
              <w:spacing w:before="0" w:after="0"/>
              <w:jc w:val="left"/>
            </w:pPr>
            <w:r>
              <w:rPr>
                <w:rFonts w:ascii="Times New Roman" w:hAnsi="Times New Roman"/>
                <w:color w:val="0F172A"/>
                <w:sz w:val="20"/>
              </w:rPr>
              <w:t xml:space="preserve">    1.2 Project Purpose</w:t>
            </w:r>
          </w:p>
        </w:tc>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8</w:t>
            </w:r>
          </w:p>
        </w:tc>
      </w:tr>
      <w:tr>
        <w:trPr>
          <w:cantSplit/>
        </w:trPr>
        <w:tc>
          <w:tcPr>
            <w:tcW w:type="dxa" w:w="7200"/>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 xml:space="preserve">    1.3 Project Scope</w:t>
            </w:r>
          </w:p>
        </w:tc>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9</w:t>
            </w:r>
          </w:p>
        </w:tc>
      </w:tr>
      <w:tr>
        <w:trPr>
          <w:cantSplit/>
        </w:trPr>
        <w:tc>
          <w:tcPr>
            <w:tcW w:type="dxa" w:w="7200"/>
            <w:tcMar>
              <w:top w:w="100" w:type="dxa"/>
              <w:bottom w:w="100" w:type="dxa"/>
              <w:left w:w="140" w:type="dxa"/>
              <w:right w:w="140" w:type="dxa"/>
            </w:tcMar>
            <w:vAlign w:val="center"/>
          </w:tcPr>
          <w:p>
            <w:pPr>
              <w:spacing w:before="0" w:after="0"/>
              <w:jc w:val="left"/>
            </w:pPr>
            <w:r>
              <w:rPr>
                <w:rFonts w:ascii="Times New Roman" w:hAnsi="Times New Roman"/>
                <w:color w:val="0F172A"/>
                <w:sz w:val="20"/>
              </w:rPr>
              <w:t xml:space="preserve">    1.4 Objectives (Main &amp; Secondary)</w:t>
            </w:r>
          </w:p>
        </w:tc>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9</w:t>
            </w:r>
          </w:p>
        </w:tc>
      </w:tr>
      <w:tr>
        <w:trPr>
          <w:cantSplit/>
        </w:trPr>
        <w:tc>
          <w:tcPr>
            <w:tcW w:type="dxa" w:w="7200"/>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 xml:space="preserve">    1.5 Technology And Tools</w:t>
            </w:r>
          </w:p>
        </w:tc>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10</w:t>
            </w:r>
          </w:p>
        </w:tc>
      </w:tr>
      <w:tr>
        <w:trPr>
          <w:cantSplit/>
        </w:trPr>
        <w:tc>
          <w:tcPr>
            <w:tcW w:type="dxa" w:w="7200"/>
            <w:tcMar>
              <w:top w:w="100" w:type="dxa"/>
              <w:bottom w:w="100" w:type="dxa"/>
              <w:left w:w="140" w:type="dxa"/>
              <w:right w:w="140" w:type="dxa"/>
            </w:tcMar>
            <w:vAlign w:val="center"/>
          </w:tcPr>
          <w:p>
            <w:pPr>
              <w:spacing w:before="0" w:after="0"/>
              <w:jc w:val="left"/>
            </w:pPr>
            <w:r>
              <w:rPr>
                <w:rFonts w:ascii="Times New Roman" w:hAnsi="Times New Roman"/>
                <w:color w:val="0F172A"/>
                <w:sz w:val="20"/>
              </w:rPr>
              <w:t xml:space="preserve">    1.6 Synopsis</w:t>
            </w:r>
          </w:p>
        </w:tc>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11</w:t>
            </w:r>
          </w:p>
        </w:tc>
      </w:tr>
      <w:tr>
        <w:trPr>
          <w:cantSplit/>
        </w:trPr>
        <w:tc>
          <w:tcPr>
            <w:tcW w:type="dxa" w:w="7200"/>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CHAPTER 2 LITERATURE SURVEY</w:t>
            </w:r>
          </w:p>
        </w:tc>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12</w:t>
            </w:r>
          </w:p>
        </w:tc>
      </w:tr>
      <w:tr>
        <w:trPr>
          <w:cantSplit/>
        </w:trPr>
        <w:tc>
          <w:tcPr>
            <w:tcW w:type="dxa" w:w="7200"/>
            <w:tcMar>
              <w:top w:w="100" w:type="dxa"/>
              <w:bottom w:w="100" w:type="dxa"/>
              <w:left w:w="140" w:type="dxa"/>
              <w:right w:w="140" w:type="dxa"/>
            </w:tcMar>
            <w:vAlign w:val="center"/>
          </w:tcPr>
          <w:p>
            <w:pPr>
              <w:spacing w:before="0" w:after="0"/>
              <w:jc w:val="left"/>
            </w:pPr>
            <w:r>
              <w:rPr>
                <w:rFonts w:ascii="Times New Roman" w:hAnsi="Times New Roman"/>
                <w:color w:val="0F172A"/>
                <w:sz w:val="20"/>
              </w:rPr>
              <w:t xml:space="preserve">    2.1 Introduction Of Survey</w:t>
            </w:r>
          </w:p>
        </w:tc>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13</w:t>
            </w:r>
          </w:p>
        </w:tc>
      </w:tr>
      <w:tr>
        <w:trPr>
          <w:cantSplit/>
        </w:trPr>
        <w:tc>
          <w:tcPr>
            <w:tcW w:type="dxa" w:w="7200"/>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 xml:space="preserve">    2.2 Why Survey ?</w:t>
            </w:r>
          </w:p>
        </w:tc>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14</w:t>
            </w:r>
          </w:p>
        </w:tc>
      </w:tr>
      <w:tr>
        <w:trPr>
          <w:cantSplit/>
        </w:trPr>
        <w:tc>
          <w:tcPr>
            <w:tcW w:type="dxa" w:w="7200"/>
            <w:tcMar>
              <w:top w:w="100" w:type="dxa"/>
              <w:bottom w:w="100" w:type="dxa"/>
              <w:left w:w="140" w:type="dxa"/>
              <w:right w:w="140" w:type="dxa"/>
            </w:tcMar>
            <w:vAlign w:val="center"/>
          </w:tcPr>
          <w:p>
            <w:pPr>
              <w:spacing w:before="0" w:after="0"/>
              <w:jc w:val="left"/>
            </w:pPr>
            <w:r>
              <w:rPr>
                <w:rFonts w:ascii="Times New Roman" w:hAnsi="Times New Roman"/>
                <w:color w:val="0F172A"/>
                <w:sz w:val="20"/>
              </w:rPr>
              <w:t>CHAPTER 3 PROJECT MANAGEMENT</w:t>
            </w:r>
          </w:p>
        </w:tc>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15</w:t>
            </w:r>
          </w:p>
        </w:tc>
      </w:tr>
      <w:tr>
        <w:trPr>
          <w:cantSplit/>
        </w:trPr>
        <w:tc>
          <w:tcPr>
            <w:tcW w:type="dxa" w:w="7200"/>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 xml:space="preserve">    3.1 Project Planning Objectives</w:t>
            </w:r>
          </w:p>
        </w:tc>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16</w:t>
            </w:r>
          </w:p>
        </w:tc>
      </w:tr>
      <w:tr>
        <w:trPr>
          <w:cantSplit/>
        </w:trPr>
        <w:tc>
          <w:tcPr>
            <w:tcW w:type="dxa" w:w="7200"/>
            <w:tcMar>
              <w:top w:w="100" w:type="dxa"/>
              <w:bottom w:w="100" w:type="dxa"/>
              <w:left w:w="140" w:type="dxa"/>
              <w:right w:w="140" w:type="dxa"/>
            </w:tcMar>
            <w:vAlign w:val="center"/>
          </w:tcPr>
          <w:p>
            <w:pPr>
              <w:spacing w:before="0" w:after="0"/>
              <w:jc w:val="left"/>
            </w:pPr>
            <w:r>
              <w:rPr>
                <w:rFonts w:ascii="Times New Roman" w:hAnsi="Times New Roman"/>
                <w:color w:val="0F172A"/>
                <w:sz w:val="20"/>
              </w:rPr>
              <w:t xml:space="preserve">    3.2 Project Scheduling &amp; Timeline</w:t>
            </w:r>
          </w:p>
        </w:tc>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17</w:t>
            </w:r>
          </w:p>
        </w:tc>
      </w:tr>
      <w:tr>
        <w:trPr>
          <w:cantSplit/>
        </w:trPr>
        <w:tc>
          <w:tcPr>
            <w:tcW w:type="dxa" w:w="7200"/>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 xml:space="preserve">    3.3 Risk Management &amp; Mitigation</w:t>
            </w:r>
          </w:p>
        </w:tc>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19</w:t>
            </w:r>
          </w:p>
        </w:tc>
      </w:tr>
      <w:tr>
        <w:trPr>
          <w:cantSplit/>
        </w:trPr>
        <w:tc>
          <w:tcPr>
            <w:tcW w:type="dxa" w:w="7200"/>
            <w:tcMar>
              <w:top w:w="100" w:type="dxa"/>
              <w:bottom w:w="100" w:type="dxa"/>
              <w:left w:w="140" w:type="dxa"/>
              <w:right w:w="140" w:type="dxa"/>
            </w:tcMar>
            <w:vAlign w:val="center"/>
          </w:tcPr>
          <w:p>
            <w:pPr>
              <w:spacing w:before="0" w:after="0"/>
              <w:jc w:val="left"/>
            </w:pPr>
            <w:r>
              <w:rPr>
                <w:rFonts w:ascii="Times New Roman" w:hAnsi="Times New Roman"/>
                <w:color w:val="0F172A"/>
                <w:sz w:val="20"/>
              </w:rPr>
              <w:t>CHAPTER 4 SYSTEM REQUIREMENTS</w:t>
            </w:r>
          </w:p>
        </w:tc>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21</w:t>
            </w:r>
          </w:p>
        </w:tc>
      </w:tr>
      <w:tr>
        <w:trPr>
          <w:cantSplit/>
        </w:trPr>
        <w:tc>
          <w:tcPr>
            <w:tcW w:type="dxa" w:w="7200"/>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 xml:space="preserve">    4.1 User Characteristics</w:t>
            </w:r>
          </w:p>
        </w:tc>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22</w:t>
            </w:r>
          </w:p>
        </w:tc>
      </w:tr>
      <w:tr>
        <w:trPr>
          <w:cantSplit/>
        </w:trPr>
        <w:tc>
          <w:tcPr>
            <w:tcW w:type="dxa" w:w="7200"/>
            <w:tcMar>
              <w:top w:w="100" w:type="dxa"/>
              <w:bottom w:w="100" w:type="dxa"/>
              <w:left w:w="140" w:type="dxa"/>
              <w:right w:w="140" w:type="dxa"/>
            </w:tcMar>
            <w:vAlign w:val="center"/>
          </w:tcPr>
          <w:p>
            <w:pPr>
              <w:spacing w:before="0" w:after="0"/>
              <w:jc w:val="left"/>
            </w:pPr>
            <w:r>
              <w:rPr>
                <w:rFonts w:ascii="Times New Roman" w:hAnsi="Times New Roman"/>
                <w:color w:val="0F172A"/>
                <w:sz w:val="20"/>
              </w:rPr>
              <w:t xml:space="preserve">    4.2 Functional Requirements</w:t>
            </w:r>
          </w:p>
        </w:tc>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22</w:t>
            </w:r>
          </w:p>
        </w:tc>
      </w:tr>
      <w:tr>
        <w:trPr>
          <w:cantSplit/>
        </w:trPr>
        <w:tc>
          <w:tcPr>
            <w:tcW w:type="dxa" w:w="7200"/>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 xml:space="preserve">    4.3 Non-Functional Requirements</w:t>
            </w:r>
          </w:p>
        </w:tc>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23</w:t>
            </w:r>
          </w:p>
        </w:tc>
      </w:tr>
      <w:tr>
        <w:trPr>
          <w:cantSplit/>
        </w:trPr>
        <w:tc>
          <w:tcPr>
            <w:tcW w:type="dxa" w:w="7200"/>
            <w:tcMar>
              <w:top w:w="100" w:type="dxa"/>
              <w:bottom w:w="100" w:type="dxa"/>
              <w:left w:w="140" w:type="dxa"/>
              <w:right w:w="140" w:type="dxa"/>
            </w:tcMar>
            <w:vAlign w:val="center"/>
          </w:tcPr>
          <w:p>
            <w:pPr>
              <w:spacing w:before="0" w:after="0"/>
              <w:jc w:val="left"/>
            </w:pPr>
            <w:r>
              <w:rPr>
                <w:rFonts w:ascii="Times New Roman" w:hAnsi="Times New Roman"/>
                <w:color w:val="0F172A"/>
                <w:sz w:val="20"/>
              </w:rPr>
              <w:t xml:space="preserve">    4.4 Hardware And Software Requirements</w:t>
            </w:r>
          </w:p>
        </w:tc>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24</w:t>
            </w:r>
          </w:p>
        </w:tc>
      </w:tr>
      <w:tr>
        <w:trPr>
          <w:cantSplit/>
        </w:trPr>
        <w:tc>
          <w:tcPr>
            <w:tcW w:type="dxa" w:w="7200"/>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CHAPTER 5 SYSTEM ANALYSIS</w:t>
            </w:r>
          </w:p>
        </w:tc>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25</w:t>
            </w:r>
          </w:p>
        </w:tc>
      </w:tr>
      <w:tr>
        <w:trPr>
          <w:cantSplit/>
        </w:trPr>
        <w:tc>
          <w:tcPr>
            <w:tcW w:type="dxa" w:w="7200"/>
            <w:tcMar>
              <w:top w:w="100" w:type="dxa"/>
              <w:bottom w:w="100" w:type="dxa"/>
              <w:left w:w="140" w:type="dxa"/>
              <w:right w:w="140" w:type="dxa"/>
            </w:tcMar>
            <w:vAlign w:val="center"/>
          </w:tcPr>
          <w:p>
            <w:pPr>
              <w:spacing w:before="0" w:after="0"/>
              <w:jc w:val="left"/>
            </w:pPr>
            <w:r>
              <w:rPr>
                <w:rFonts w:ascii="Times New Roman" w:hAnsi="Times New Roman"/>
                <w:color w:val="0F172A"/>
                <w:sz w:val="20"/>
              </w:rPr>
              <w:t xml:space="preserve">    5.1 Study Of Current System</w:t>
            </w:r>
          </w:p>
        </w:tc>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26</w:t>
            </w:r>
          </w:p>
        </w:tc>
      </w:tr>
      <w:tr>
        <w:trPr>
          <w:cantSplit/>
        </w:trPr>
        <w:tc>
          <w:tcPr>
            <w:tcW w:type="dxa" w:w="7200"/>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 xml:space="preserve">    5.2 Problems In Current System</w:t>
            </w:r>
          </w:p>
        </w:tc>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26</w:t>
            </w:r>
          </w:p>
        </w:tc>
      </w:tr>
      <w:tr>
        <w:trPr>
          <w:cantSplit/>
        </w:trPr>
        <w:tc>
          <w:tcPr>
            <w:tcW w:type="dxa" w:w="7200"/>
            <w:tcMar>
              <w:top w:w="100" w:type="dxa"/>
              <w:bottom w:w="100" w:type="dxa"/>
              <w:left w:w="140" w:type="dxa"/>
              <w:right w:w="140" w:type="dxa"/>
            </w:tcMar>
            <w:vAlign w:val="center"/>
          </w:tcPr>
          <w:p>
            <w:pPr>
              <w:spacing w:before="0" w:after="0"/>
              <w:jc w:val="left"/>
            </w:pPr>
            <w:r>
              <w:rPr>
                <w:rFonts w:ascii="Times New Roman" w:hAnsi="Times New Roman"/>
                <w:color w:val="0F172A"/>
                <w:sz w:val="20"/>
              </w:rPr>
              <w:t xml:space="preserve">    5.3 Requirement Of New System</w:t>
            </w:r>
          </w:p>
        </w:tc>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27</w:t>
            </w:r>
          </w:p>
        </w:tc>
      </w:tr>
      <w:tr>
        <w:trPr>
          <w:cantSplit/>
        </w:trPr>
        <w:tc>
          <w:tcPr>
            <w:tcW w:type="dxa" w:w="7200"/>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 xml:space="preserve">    5.4 Process Model (Spiral Model)</w:t>
            </w:r>
          </w:p>
        </w:tc>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27</w:t>
            </w:r>
          </w:p>
        </w:tc>
      </w:tr>
      <w:tr>
        <w:trPr>
          <w:cantSplit/>
        </w:trPr>
        <w:tc>
          <w:tcPr>
            <w:tcW w:type="dxa" w:w="7200"/>
            <w:tcMar>
              <w:top w:w="100" w:type="dxa"/>
              <w:bottom w:w="100" w:type="dxa"/>
              <w:left w:w="140" w:type="dxa"/>
              <w:right w:w="140" w:type="dxa"/>
            </w:tcMar>
            <w:vAlign w:val="center"/>
          </w:tcPr>
          <w:p>
            <w:pPr>
              <w:spacing w:before="0" w:after="0"/>
              <w:jc w:val="left"/>
            </w:pPr>
            <w:r>
              <w:rPr>
                <w:rFonts w:ascii="Times New Roman" w:hAnsi="Times New Roman"/>
                <w:color w:val="0F172A"/>
                <w:sz w:val="20"/>
              </w:rPr>
              <w:t xml:space="preserve">    5.5 Feasibility Study</w:t>
            </w:r>
          </w:p>
        </w:tc>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29</w:t>
            </w:r>
          </w:p>
        </w:tc>
      </w:tr>
      <w:tr>
        <w:trPr>
          <w:cantSplit/>
        </w:trPr>
        <w:tc>
          <w:tcPr>
            <w:tcW w:type="dxa" w:w="7200"/>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CHAPTER 6 DETAIL DESCRIPTION</w:t>
            </w:r>
          </w:p>
        </w:tc>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31</w:t>
            </w:r>
          </w:p>
        </w:tc>
      </w:tr>
      <w:tr>
        <w:trPr>
          <w:cantSplit/>
        </w:trPr>
        <w:tc>
          <w:tcPr>
            <w:tcW w:type="dxa" w:w="7200"/>
            <w:tcMar>
              <w:top w:w="100" w:type="dxa"/>
              <w:bottom w:w="100" w:type="dxa"/>
              <w:left w:w="140" w:type="dxa"/>
              <w:right w:w="140" w:type="dxa"/>
            </w:tcMar>
            <w:vAlign w:val="center"/>
          </w:tcPr>
          <w:p>
            <w:pPr>
              <w:spacing w:before="0" w:after="0"/>
              <w:jc w:val="left"/>
            </w:pPr>
            <w:r>
              <w:rPr>
                <w:rFonts w:ascii="Times New Roman" w:hAnsi="Times New Roman"/>
                <w:color w:val="0F172A"/>
                <w:sz w:val="20"/>
              </w:rPr>
              <w:t xml:space="preserve">    6.1 Core Security &amp; SOC Analyst Operations</w:t>
            </w:r>
          </w:p>
        </w:tc>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32</w:t>
            </w:r>
          </w:p>
        </w:tc>
      </w:tr>
      <w:tr>
        <w:trPr>
          <w:cantSplit/>
        </w:trPr>
        <w:tc>
          <w:tcPr>
            <w:tcW w:type="dxa" w:w="7200"/>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 xml:space="preserve">    6.2 Executive Reporting &amp; Incident Intelligence</w:t>
            </w:r>
          </w:p>
        </w:tc>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38</w:t>
            </w:r>
          </w:p>
        </w:tc>
      </w:tr>
      <w:tr>
        <w:trPr>
          <w:cantSplit/>
        </w:trPr>
        <w:tc>
          <w:tcPr>
            <w:tcW w:type="dxa" w:w="7200"/>
            <w:tcMar>
              <w:top w:w="100" w:type="dxa"/>
              <w:bottom w:w="100" w:type="dxa"/>
              <w:left w:w="140" w:type="dxa"/>
              <w:right w:w="140" w:type="dxa"/>
            </w:tcMar>
            <w:vAlign w:val="center"/>
          </w:tcPr>
          <w:p>
            <w:pPr>
              <w:spacing w:before="0" w:after="0"/>
              <w:jc w:val="left"/>
            </w:pPr>
            <w:r>
              <w:rPr>
                <w:rFonts w:ascii="Times New Roman" w:hAnsi="Times New Roman"/>
                <w:color w:val="0F172A"/>
                <w:sz w:val="20"/>
              </w:rPr>
              <w:t xml:space="preserve">    6.3 Central Administrator Module</w:t>
            </w:r>
          </w:p>
        </w:tc>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40</w:t>
            </w:r>
          </w:p>
        </w:tc>
      </w:tr>
      <w:tr>
        <w:trPr>
          <w:cantSplit/>
        </w:trPr>
        <w:tc>
          <w:tcPr>
            <w:tcW w:type="dxa" w:w="7200"/>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CHAPTER 7 TESTING</w:t>
            </w:r>
          </w:p>
        </w:tc>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43</w:t>
            </w:r>
          </w:p>
        </w:tc>
      </w:tr>
      <w:tr>
        <w:trPr>
          <w:cantSplit/>
        </w:trPr>
        <w:tc>
          <w:tcPr>
            <w:tcW w:type="dxa" w:w="7200"/>
            <w:tcMar>
              <w:top w:w="100" w:type="dxa"/>
              <w:bottom w:w="100" w:type="dxa"/>
              <w:left w:w="140" w:type="dxa"/>
              <w:right w:w="140" w:type="dxa"/>
            </w:tcMar>
            <w:vAlign w:val="center"/>
          </w:tcPr>
          <w:p>
            <w:pPr>
              <w:spacing w:before="0" w:after="0"/>
              <w:jc w:val="left"/>
            </w:pPr>
            <w:r>
              <w:rPr>
                <w:rFonts w:ascii="Times New Roman" w:hAnsi="Times New Roman"/>
                <w:color w:val="0F172A"/>
                <w:sz w:val="20"/>
              </w:rPr>
              <w:t xml:space="preserve">    7.1 Black-Box Testing</w:t>
            </w:r>
          </w:p>
        </w:tc>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44</w:t>
            </w:r>
          </w:p>
        </w:tc>
      </w:tr>
      <w:tr>
        <w:trPr>
          <w:cantSplit/>
        </w:trPr>
        <w:tc>
          <w:tcPr>
            <w:tcW w:type="dxa" w:w="7200"/>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 xml:space="preserve">    7.2 White-Box Testing</w:t>
            </w:r>
          </w:p>
        </w:tc>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44</w:t>
            </w:r>
          </w:p>
        </w:tc>
      </w:tr>
      <w:tr>
        <w:trPr>
          <w:cantSplit/>
        </w:trPr>
        <w:tc>
          <w:tcPr>
            <w:tcW w:type="dxa" w:w="7200"/>
            <w:tcMar>
              <w:top w:w="100" w:type="dxa"/>
              <w:bottom w:w="100" w:type="dxa"/>
              <w:left w:w="140" w:type="dxa"/>
              <w:right w:w="140" w:type="dxa"/>
            </w:tcMar>
            <w:vAlign w:val="center"/>
          </w:tcPr>
          <w:p>
            <w:pPr>
              <w:spacing w:before="0" w:after="0"/>
              <w:jc w:val="left"/>
            </w:pPr>
            <w:r>
              <w:rPr>
                <w:rFonts w:ascii="Times New Roman" w:hAnsi="Times New Roman"/>
                <w:color w:val="0F172A"/>
                <w:sz w:val="20"/>
              </w:rPr>
              <w:t xml:space="preserve">    7.3 Comprehensive Test Cases</w:t>
            </w:r>
          </w:p>
        </w:tc>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45</w:t>
            </w:r>
          </w:p>
        </w:tc>
      </w:tr>
      <w:tr>
        <w:trPr>
          <w:cantSplit/>
        </w:trPr>
        <w:tc>
          <w:tcPr>
            <w:tcW w:type="dxa" w:w="7200"/>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CHAPTER 8 SYSTEM DESIGN</w:t>
            </w:r>
          </w:p>
        </w:tc>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48</w:t>
            </w:r>
          </w:p>
        </w:tc>
      </w:tr>
      <w:tr>
        <w:trPr>
          <w:cantSplit/>
        </w:trPr>
        <w:tc>
          <w:tcPr>
            <w:tcW w:type="dxa" w:w="7200"/>
            <w:tcMar>
              <w:top w:w="100" w:type="dxa"/>
              <w:bottom w:w="100" w:type="dxa"/>
              <w:left w:w="140" w:type="dxa"/>
              <w:right w:w="140" w:type="dxa"/>
            </w:tcMar>
            <w:vAlign w:val="center"/>
          </w:tcPr>
          <w:p>
            <w:pPr>
              <w:spacing w:before="0" w:after="0"/>
              <w:jc w:val="left"/>
            </w:pPr>
            <w:r>
              <w:rPr>
                <w:rFonts w:ascii="Times New Roman" w:hAnsi="Times New Roman"/>
                <w:color w:val="0F172A"/>
                <w:sz w:val="20"/>
              </w:rPr>
              <w:t xml:space="preserve">    8.0 Multi-Tier Architecture Diagram</w:t>
            </w:r>
          </w:p>
        </w:tc>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49</w:t>
            </w:r>
          </w:p>
        </w:tc>
      </w:tr>
      <w:tr>
        <w:trPr>
          <w:cantSplit/>
        </w:trPr>
        <w:tc>
          <w:tcPr>
            <w:tcW w:type="dxa" w:w="7200"/>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 xml:space="preserve">    8.1 Class Diagram</w:t>
            </w:r>
          </w:p>
        </w:tc>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50</w:t>
            </w:r>
          </w:p>
        </w:tc>
      </w:tr>
      <w:tr>
        <w:trPr>
          <w:cantSplit/>
        </w:trPr>
        <w:tc>
          <w:tcPr>
            <w:tcW w:type="dxa" w:w="7200"/>
            <w:tcMar>
              <w:top w:w="100" w:type="dxa"/>
              <w:bottom w:w="100" w:type="dxa"/>
              <w:left w:w="140" w:type="dxa"/>
              <w:right w:w="140" w:type="dxa"/>
            </w:tcMar>
            <w:vAlign w:val="center"/>
          </w:tcPr>
          <w:p>
            <w:pPr>
              <w:spacing w:before="0" w:after="0"/>
              <w:jc w:val="left"/>
            </w:pPr>
            <w:r>
              <w:rPr>
                <w:rFonts w:ascii="Times New Roman" w:hAnsi="Times New Roman"/>
                <w:color w:val="0F172A"/>
                <w:sz w:val="20"/>
              </w:rPr>
              <w:t xml:space="preserve">    8.2 Use-Case Diagram</w:t>
            </w:r>
          </w:p>
        </w:tc>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51</w:t>
            </w:r>
          </w:p>
        </w:tc>
      </w:tr>
      <w:tr>
        <w:trPr>
          <w:cantSplit/>
        </w:trPr>
        <w:tc>
          <w:tcPr>
            <w:tcW w:type="dxa" w:w="7200"/>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 xml:space="preserve">    8.3 Activity Diagram</w:t>
            </w:r>
          </w:p>
        </w:tc>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52</w:t>
            </w:r>
          </w:p>
        </w:tc>
      </w:tr>
      <w:tr>
        <w:trPr>
          <w:cantSplit/>
        </w:trPr>
        <w:tc>
          <w:tcPr>
            <w:tcW w:type="dxa" w:w="7200"/>
            <w:tcMar>
              <w:top w:w="100" w:type="dxa"/>
              <w:bottom w:w="100" w:type="dxa"/>
              <w:left w:w="140" w:type="dxa"/>
              <w:right w:w="140" w:type="dxa"/>
            </w:tcMar>
            <w:vAlign w:val="center"/>
          </w:tcPr>
          <w:p>
            <w:pPr>
              <w:spacing w:before="0" w:after="0"/>
              <w:jc w:val="left"/>
            </w:pPr>
            <w:r>
              <w:rPr>
                <w:rFonts w:ascii="Times New Roman" w:hAnsi="Times New Roman"/>
                <w:color w:val="0F172A"/>
                <w:sz w:val="20"/>
              </w:rPr>
              <w:t xml:space="preserve">    8.4 Data Flow Diagrams (Level 0 &amp; 1)</w:t>
            </w:r>
          </w:p>
        </w:tc>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53</w:t>
            </w:r>
          </w:p>
        </w:tc>
      </w:tr>
      <w:tr>
        <w:trPr>
          <w:cantSplit/>
        </w:trPr>
        <w:tc>
          <w:tcPr>
            <w:tcW w:type="dxa" w:w="7200"/>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 xml:space="preserve">    8.5 Entity-Relationship (ER) Diagram</w:t>
            </w:r>
          </w:p>
        </w:tc>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55</w:t>
            </w:r>
          </w:p>
        </w:tc>
      </w:tr>
      <w:tr>
        <w:trPr>
          <w:cantSplit/>
        </w:trPr>
        <w:tc>
          <w:tcPr>
            <w:tcW w:type="dxa" w:w="7200"/>
            <w:tcMar>
              <w:top w:w="100" w:type="dxa"/>
              <w:bottom w:w="100" w:type="dxa"/>
              <w:left w:w="140" w:type="dxa"/>
              <w:right w:w="140" w:type="dxa"/>
            </w:tcMar>
            <w:vAlign w:val="center"/>
          </w:tcPr>
          <w:p>
            <w:pPr>
              <w:spacing w:before="0" w:after="0"/>
              <w:jc w:val="left"/>
            </w:pPr>
            <w:r>
              <w:rPr>
                <w:rFonts w:ascii="Times New Roman" w:hAnsi="Times New Roman"/>
                <w:color w:val="0F172A"/>
                <w:sz w:val="20"/>
              </w:rPr>
              <w:t xml:space="preserve">    8.6 Data Dictionary</w:t>
            </w:r>
          </w:p>
        </w:tc>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57</w:t>
            </w:r>
          </w:p>
        </w:tc>
      </w:tr>
      <w:tr>
        <w:trPr>
          <w:cantSplit/>
        </w:trPr>
        <w:tc>
          <w:tcPr>
            <w:tcW w:type="dxa" w:w="7200"/>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CHAPTER 9 LIMITATION AND FUTURE ENHANCEMENTS</w:t>
            </w:r>
          </w:p>
        </w:tc>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59</w:t>
            </w:r>
          </w:p>
        </w:tc>
      </w:tr>
      <w:tr>
        <w:trPr>
          <w:cantSplit/>
        </w:trPr>
        <w:tc>
          <w:tcPr>
            <w:tcW w:type="dxa" w:w="7200"/>
            <w:tcMar>
              <w:top w:w="100" w:type="dxa"/>
              <w:bottom w:w="100" w:type="dxa"/>
              <w:left w:w="140" w:type="dxa"/>
              <w:right w:w="140" w:type="dxa"/>
            </w:tcMar>
            <w:vAlign w:val="center"/>
          </w:tcPr>
          <w:p>
            <w:pPr>
              <w:spacing w:before="0" w:after="0"/>
              <w:jc w:val="left"/>
            </w:pPr>
            <w:r>
              <w:rPr>
                <w:rFonts w:ascii="Times New Roman" w:hAnsi="Times New Roman"/>
                <w:color w:val="0F172A"/>
                <w:sz w:val="20"/>
              </w:rPr>
              <w:t xml:space="preserve">    9.1 Limitations</w:t>
            </w:r>
          </w:p>
        </w:tc>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60</w:t>
            </w:r>
          </w:p>
        </w:tc>
      </w:tr>
      <w:tr>
        <w:trPr>
          <w:cantSplit/>
        </w:trPr>
        <w:tc>
          <w:tcPr>
            <w:tcW w:type="dxa" w:w="7200"/>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 xml:space="preserve">    9.2 Future Enhancements</w:t>
            </w:r>
          </w:p>
        </w:tc>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60</w:t>
            </w:r>
          </w:p>
        </w:tc>
      </w:tr>
      <w:tr>
        <w:trPr>
          <w:cantSplit/>
        </w:trPr>
        <w:tc>
          <w:tcPr>
            <w:tcW w:type="dxa" w:w="7200"/>
            <w:tcMar>
              <w:top w:w="100" w:type="dxa"/>
              <w:bottom w:w="100" w:type="dxa"/>
              <w:left w:w="140" w:type="dxa"/>
              <w:right w:w="140" w:type="dxa"/>
            </w:tcMar>
            <w:vAlign w:val="center"/>
          </w:tcPr>
          <w:p>
            <w:pPr>
              <w:spacing w:before="0" w:after="0"/>
              <w:jc w:val="left"/>
            </w:pPr>
            <w:r>
              <w:rPr>
                <w:rFonts w:ascii="Times New Roman" w:hAnsi="Times New Roman"/>
                <w:color w:val="0F172A"/>
                <w:sz w:val="20"/>
              </w:rPr>
              <w:t>CHAPTER 10 CONCLUSION</w:t>
            </w:r>
          </w:p>
        </w:tc>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61</w:t>
            </w:r>
          </w:p>
        </w:tc>
      </w:tr>
      <w:tr>
        <w:trPr>
          <w:cantSplit/>
        </w:trPr>
        <w:tc>
          <w:tcPr>
            <w:tcW w:type="dxa" w:w="7200"/>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BIBLIOGRAPHY / REFERENCES</w:t>
            </w:r>
          </w:p>
        </w:tc>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63</w:t>
            </w:r>
          </w:p>
        </w:tc>
      </w:tr>
    </w:tbl>
    <w:p>
      <w:r>
        <w:br w:type="page"/>
      </w:r>
    </w:p>
    <w:p>
      <w:pPr>
        <w:spacing w:before="320" w:after="320"/>
        <w:jc w:val="center"/>
      </w:pPr>
      <w:r>
        <w:rPr>
          <w:rFonts w:ascii="Times New Roman" w:hAnsi="Times New Roman"/>
          <w:b/>
          <w:sz w:val="36"/>
        </w:rPr>
        <w:t>LIST OF FIGURES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14"/>
        <w:gridCol w:w="4514"/>
      </w:tblGrid>
      <w:tr>
        <w:trPr>
          <w:tblHeader/>
          <w:cantSplit/>
        </w:trPr>
        <w:tc>
          <w:tcPr>
            <w:tcW w:type="dxa" w:w="7200"/>
            <w:shd w:fill="2B6CB0"/>
            <w:tcMar>
              <w:top w:w="140" w:type="dxa"/>
              <w:bottom w:w="140" w:type="dxa"/>
              <w:left w:w="140" w:type="dxa"/>
              <w:right w:w="140" w:type="dxa"/>
            </w:tcMar>
            <w:vAlign w:val="center"/>
          </w:tcPr>
          <w:p>
            <w:pPr>
              <w:spacing w:before="0" w:after="0"/>
              <w:jc w:val="center"/>
            </w:pPr>
            <w:r>
              <w:rPr>
                <w:rFonts w:ascii="Times New Roman" w:hAnsi="Times New Roman"/>
                <w:b/>
                <w:color w:val="FFFFFF"/>
                <w:sz w:val="21"/>
              </w:rPr>
              <w:t>Figure No. &amp; Title</w:t>
            </w:r>
          </w:p>
        </w:tc>
        <w:tc>
          <w:tcPr>
            <w:tcW w:type="dxa" w:w="1728"/>
            <w:shd w:fill="2B6CB0"/>
            <w:tcMar>
              <w:top w:w="140" w:type="dxa"/>
              <w:bottom w:w="140" w:type="dxa"/>
              <w:left w:w="140" w:type="dxa"/>
              <w:right w:w="140" w:type="dxa"/>
            </w:tcMar>
            <w:vAlign w:val="center"/>
          </w:tcPr>
          <w:p>
            <w:pPr>
              <w:spacing w:before="0" w:after="0"/>
              <w:jc w:val="center"/>
            </w:pPr>
            <w:r>
              <w:rPr>
                <w:rFonts w:ascii="Times New Roman" w:hAnsi="Times New Roman"/>
                <w:b/>
                <w:color w:val="FFFFFF"/>
                <w:sz w:val="21"/>
              </w:rPr>
              <w:t>Page No.</w:t>
            </w:r>
          </w:p>
        </w:tc>
      </w:tr>
      <w:tr>
        <w:trPr>
          <w:cantSplit/>
        </w:trPr>
        <w:tc>
          <w:tcPr>
            <w:tcW w:type="dxa" w:w="7200"/>
            <w:tcMar>
              <w:top w:w="100" w:type="dxa"/>
              <w:bottom w:w="100" w:type="dxa"/>
              <w:left w:w="140" w:type="dxa"/>
              <w:right w:w="140" w:type="dxa"/>
            </w:tcMar>
            <w:vAlign w:val="center"/>
          </w:tcPr>
          <w:p>
            <w:pPr>
              <w:spacing w:before="0" w:after="0"/>
              <w:jc w:val="left"/>
            </w:pPr>
            <w:r>
              <w:rPr>
                <w:rFonts w:ascii="Times New Roman" w:hAnsi="Times New Roman"/>
                <w:color w:val="0F172A"/>
                <w:sz w:val="20"/>
              </w:rPr>
              <w:t>Fig. 3.1.3.1 SDLC Process Cycle</w:t>
            </w:r>
          </w:p>
        </w:tc>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16</w:t>
            </w:r>
          </w:p>
        </w:tc>
      </w:tr>
      <w:tr>
        <w:trPr>
          <w:cantSplit/>
        </w:trPr>
        <w:tc>
          <w:tcPr>
            <w:tcW w:type="dxa" w:w="7200"/>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Fig. 3.2.3.1 Time Allocation Gantt Chart</w:t>
            </w:r>
          </w:p>
        </w:tc>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17</w:t>
            </w:r>
          </w:p>
        </w:tc>
      </w:tr>
      <w:tr>
        <w:trPr>
          <w:cantSplit/>
        </w:trPr>
        <w:tc>
          <w:tcPr>
            <w:tcW w:type="dxa" w:w="7200"/>
            <w:tcMar>
              <w:top w:w="100" w:type="dxa"/>
              <w:bottom w:w="100" w:type="dxa"/>
              <w:left w:w="140" w:type="dxa"/>
              <w:right w:w="140" w:type="dxa"/>
            </w:tcMar>
            <w:vAlign w:val="center"/>
          </w:tcPr>
          <w:p>
            <w:pPr>
              <w:spacing w:before="0" w:after="0"/>
              <w:jc w:val="left"/>
            </w:pPr>
            <w:r>
              <w:rPr>
                <w:rFonts w:ascii="Times New Roman" w:hAnsi="Times New Roman"/>
                <w:color w:val="0F172A"/>
                <w:sz w:val="20"/>
              </w:rPr>
              <w:t>Fig. 5.4.1 Spiral Model Process Methodology</w:t>
            </w:r>
          </w:p>
        </w:tc>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28</w:t>
            </w:r>
          </w:p>
        </w:tc>
      </w:tr>
      <w:tr>
        <w:trPr>
          <w:cantSplit/>
        </w:trPr>
        <w:tc>
          <w:tcPr>
            <w:tcW w:type="dxa" w:w="7200"/>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Fig. 6.1.1 CyberShield-AI Threat Intelligence Landing Page &amp; Hero Section</w:t>
            </w:r>
          </w:p>
        </w:tc>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32</w:t>
            </w:r>
          </w:p>
        </w:tc>
      </w:tr>
      <w:tr>
        <w:trPr>
          <w:cantSplit/>
        </w:trPr>
        <w:tc>
          <w:tcPr>
            <w:tcW w:type="dxa" w:w="7200"/>
            <w:tcMar>
              <w:top w:w="100" w:type="dxa"/>
              <w:bottom w:w="100" w:type="dxa"/>
              <w:left w:w="140" w:type="dxa"/>
              <w:right w:w="140" w:type="dxa"/>
            </w:tcMar>
            <w:vAlign w:val="center"/>
          </w:tcPr>
          <w:p>
            <w:pPr>
              <w:spacing w:before="0" w:after="0"/>
              <w:jc w:val="left"/>
            </w:pPr>
            <w:r>
              <w:rPr>
                <w:rFonts w:ascii="Times New Roman" w:hAnsi="Times New Roman"/>
                <w:color w:val="0F172A"/>
                <w:sz w:val="20"/>
              </w:rPr>
              <w:t>Fig. 6.1.2 Multi-Role Authentication &amp; Security Analyst Login Gateway</w:t>
            </w:r>
          </w:p>
        </w:tc>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33</w:t>
            </w:r>
          </w:p>
        </w:tc>
      </w:tr>
      <w:tr>
        <w:trPr>
          <w:cantSplit/>
        </w:trPr>
        <w:tc>
          <w:tcPr>
            <w:tcW w:type="dxa" w:w="7200"/>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Fig. 6.1.3 SOC Analyst Account Registration Portal</w:t>
            </w:r>
          </w:p>
        </w:tc>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34</w:t>
            </w:r>
          </w:p>
        </w:tc>
      </w:tr>
      <w:tr>
        <w:trPr>
          <w:cantSplit/>
        </w:trPr>
        <w:tc>
          <w:tcPr>
            <w:tcW w:type="dxa" w:w="7200"/>
            <w:tcMar>
              <w:top w:w="100" w:type="dxa"/>
              <w:bottom w:w="100" w:type="dxa"/>
              <w:left w:w="140" w:type="dxa"/>
              <w:right w:w="140" w:type="dxa"/>
            </w:tcMar>
            <w:vAlign w:val="center"/>
          </w:tcPr>
          <w:p>
            <w:pPr>
              <w:spacing w:before="0" w:after="0"/>
              <w:jc w:val="left"/>
            </w:pPr>
            <w:r>
              <w:rPr>
                <w:rFonts w:ascii="Times New Roman" w:hAnsi="Times New Roman"/>
                <w:color w:val="0F172A"/>
                <w:sz w:val="20"/>
              </w:rPr>
              <w:t>Fig. 6.1.4 Primary SOC Operations Command Center &amp; Executive Overview</w:t>
            </w:r>
          </w:p>
        </w:tc>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35</w:t>
            </w:r>
          </w:p>
        </w:tc>
      </w:tr>
      <w:tr>
        <w:trPr>
          <w:cantSplit/>
        </w:trPr>
        <w:tc>
          <w:tcPr>
            <w:tcW w:type="dxa" w:w="7200"/>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Fig. 6.1.5 Live Security Logs Ingestion &amp; Telemetry Data Grid</w:t>
            </w:r>
          </w:p>
        </w:tc>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36</w:t>
            </w:r>
          </w:p>
        </w:tc>
      </w:tr>
      <w:tr>
        <w:trPr>
          <w:cantSplit/>
        </w:trPr>
        <w:tc>
          <w:tcPr>
            <w:tcW w:type="dxa" w:w="7200"/>
            <w:tcMar>
              <w:top w:w="100" w:type="dxa"/>
              <w:bottom w:w="100" w:type="dxa"/>
              <w:left w:w="140" w:type="dxa"/>
              <w:right w:w="140" w:type="dxa"/>
            </w:tcMar>
            <w:vAlign w:val="center"/>
          </w:tcPr>
          <w:p>
            <w:pPr>
              <w:spacing w:before="0" w:after="0"/>
              <w:jc w:val="left"/>
            </w:pPr>
            <w:r>
              <w:rPr>
                <w:rFonts w:ascii="Times New Roman" w:hAnsi="Times New Roman"/>
                <w:color w:val="0F172A"/>
                <w:sz w:val="20"/>
              </w:rPr>
              <w:t>Fig. 6.1.6 Threat Intelligence Feeds &amp; Indicator Tracking Console</w:t>
            </w:r>
          </w:p>
        </w:tc>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36</w:t>
            </w:r>
          </w:p>
        </w:tc>
      </w:tr>
      <w:tr>
        <w:trPr>
          <w:cantSplit/>
        </w:trPr>
        <w:tc>
          <w:tcPr>
            <w:tcW w:type="dxa" w:w="7200"/>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Fig. 6.1.7 Real-Time Incident Alerts &amp; Triage Management Board</w:t>
            </w:r>
          </w:p>
        </w:tc>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37</w:t>
            </w:r>
          </w:p>
        </w:tc>
      </w:tr>
      <w:tr>
        <w:trPr>
          <w:cantSplit/>
        </w:trPr>
        <w:tc>
          <w:tcPr>
            <w:tcW w:type="dxa" w:w="7200"/>
            <w:tcMar>
              <w:top w:w="100" w:type="dxa"/>
              <w:bottom w:w="100" w:type="dxa"/>
              <w:left w:w="140" w:type="dxa"/>
              <w:right w:w="140" w:type="dxa"/>
            </w:tcMar>
            <w:vAlign w:val="center"/>
          </w:tcPr>
          <w:p>
            <w:pPr>
              <w:spacing w:before="0" w:after="0"/>
              <w:jc w:val="left"/>
            </w:pPr>
            <w:r>
              <w:rPr>
                <w:rFonts w:ascii="Times New Roman" w:hAnsi="Times New Roman"/>
                <w:color w:val="0F172A"/>
                <w:sz w:val="20"/>
              </w:rPr>
              <w:t>Fig. 6.1.8 AI Attack Forecasting &amp; ML Threat Prediction Engine</w:t>
            </w:r>
          </w:p>
        </w:tc>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38</w:t>
            </w:r>
          </w:p>
        </w:tc>
      </w:tr>
      <w:tr>
        <w:trPr>
          <w:cantSplit/>
        </w:trPr>
        <w:tc>
          <w:tcPr>
            <w:tcW w:type="dxa" w:w="7200"/>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Fig. 6.1.9 Global Geospatial Cyber Threat Map &amp; Telemetry</w:t>
            </w:r>
          </w:p>
        </w:tc>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39</w:t>
            </w:r>
          </w:p>
        </w:tc>
      </w:tr>
      <w:tr>
        <w:trPr>
          <w:cantSplit/>
        </w:trPr>
        <w:tc>
          <w:tcPr>
            <w:tcW w:type="dxa" w:w="7200"/>
            <w:tcMar>
              <w:top w:w="100" w:type="dxa"/>
              <w:bottom w:w="100" w:type="dxa"/>
              <w:left w:w="140" w:type="dxa"/>
              <w:right w:w="140" w:type="dxa"/>
            </w:tcMar>
            <w:vAlign w:val="center"/>
          </w:tcPr>
          <w:p>
            <w:pPr>
              <w:spacing w:before="0" w:after="0"/>
              <w:jc w:val="left"/>
            </w:pPr>
            <w:r>
              <w:rPr>
                <w:rFonts w:ascii="Times New Roman" w:hAnsi="Times New Roman"/>
                <w:color w:val="0F172A"/>
                <w:sz w:val="20"/>
              </w:rPr>
              <w:t>Fig. 6.2.1 Executive Compliance &amp; Threat Intelligence Reporting Hub</w:t>
            </w:r>
          </w:p>
        </w:tc>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40</w:t>
            </w:r>
          </w:p>
        </w:tc>
      </w:tr>
      <w:tr>
        <w:trPr>
          <w:cantSplit/>
        </w:trPr>
        <w:tc>
          <w:tcPr>
            <w:tcW w:type="dxa" w:w="7200"/>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Fig. 6.3.1 Central User Administration &amp; Role-Based Access Control</w:t>
            </w:r>
          </w:p>
        </w:tc>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41</w:t>
            </w:r>
          </w:p>
        </w:tc>
      </w:tr>
      <w:tr>
        <w:trPr>
          <w:cantSplit/>
        </w:trPr>
        <w:tc>
          <w:tcPr>
            <w:tcW w:type="dxa" w:w="7200"/>
            <w:tcMar>
              <w:top w:w="100" w:type="dxa"/>
              <w:bottom w:w="100" w:type="dxa"/>
              <w:left w:w="140" w:type="dxa"/>
              <w:right w:w="140" w:type="dxa"/>
            </w:tcMar>
            <w:vAlign w:val="center"/>
          </w:tcPr>
          <w:p>
            <w:pPr>
              <w:spacing w:before="0" w:after="0"/>
              <w:jc w:val="left"/>
            </w:pPr>
            <w:r>
              <w:rPr>
                <w:rFonts w:ascii="Times New Roman" w:hAnsi="Times New Roman"/>
                <w:color w:val="0F172A"/>
                <w:sz w:val="20"/>
              </w:rPr>
              <w:t>Fig. 6.3.2 Enterprise Security Platform &amp; Notification Settings</w:t>
            </w:r>
          </w:p>
        </w:tc>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42</w:t>
            </w:r>
          </w:p>
        </w:tc>
      </w:tr>
      <w:tr>
        <w:trPr>
          <w:cantSplit/>
        </w:trPr>
        <w:tc>
          <w:tcPr>
            <w:tcW w:type="dxa" w:w="7200"/>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Fig. 8.0 Multi-Tier System Architecture of CyberShield-AI Platform</w:t>
            </w:r>
          </w:p>
        </w:tc>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49</w:t>
            </w:r>
          </w:p>
        </w:tc>
      </w:tr>
      <w:tr>
        <w:trPr>
          <w:cantSplit/>
        </w:trPr>
        <w:tc>
          <w:tcPr>
            <w:tcW w:type="dxa" w:w="7200"/>
            <w:tcMar>
              <w:top w:w="100" w:type="dxa"/>
              <w:bottom w:w="100" w:type="dxa"/>
              <w:left w:w="140" w:type="dxa"/>
              <w:right w:w="140" w:type="dxa"/>
            </w:tcMar>
            <w:vAlign w:val="center"/>
          </w:tcPr>
          <w:p>
            <w:pPr>
              <w:spacing w:before="0" w:after="0"/>
              <w:jc w:val="left"/>
            </w:pPr>
            <w:r>
              <w:rPr>
                <w:rFonts w:ascii="Times New Roman" w:hAnsi="Times New Roman"/>
                <w:color w:val="0F172A"/>
                <w:sz w:val="20"/>
              </w:rPr>
              <w:t>Fig. 8.1 Class Diagram of CyberShield-AI Architecture</w:t>
            </w:r>
          </w:p>
        </w:tc>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50</w:t>
            </w:r>
          </w:p>
        </w:tc>
      </w:tr>
      <w:tr>
        <w:trPr>
          <w:cantSplit/>
        </w:trPr>
        <w:tc>
          <w:tcPr>
            <w:tcW w:type="dxa" w:w="7200"/>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Fig. 8.2 Use-Case Diagram of CyberShield-AI Platform</w:t>
            </w:r>
          </w:p>
        </w:tc>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51</w:t>
            </w:r>
          </w:p>
        </w:tc>
      </w:tr>
      <w:tr>
        <w:trPr>
          <w:cantSplit/>
        </w:trPr>
        <w:tc>
          <w:tcPr>
            <w:tcW w:type="dxa" w:w="7200"/>
            <w:tcMar>
              <w:top w:w="100" w:type="dxa"/>
              <w:bottom w:w="100" w:type="dxa"/>
              <w:left w:w="140" w:type="dxa"/>
              <w:right w:w="140" w:type="dxa"/>
            </w:tcMar>
            <w:vAlign w:val="center"/>
          </w:tcPr>
          <w:p>
            <w:pPr>
              <w:spacing w:before="0" w:after="0"/>
              <w:jc w:val="left"/>
            </w:pPr>
            <w:r>
              <w:rPr>
                <w:rFonts w:ascii="Times New Roman" w:hAnsi="Times New Roman"/>
                <w:color w:val="0F172A"/>
                <w:sz w:val="20"/>
              </w:rPr>
              <w:t>Fig. 8.3 Activity Diagram (End-to-End Threat Ingestion Lifecycle)</w:t>
            </w:r>
          </w:p>
        </w:tc>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52</w:t>
            </w:r>
          </w:p>
        </w:tc>
      </w:tr>
      <w:tr>
        <w:trPr>
          <w:cantSplit/>
        </w:trPr>
        <w:tc>
          <w:tcPr>
            <w:tcW w:type="dxa" w:w="7200"/>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Fig. 8.4 (a) Data Flow Diagram (DFD Level 0 Context Diagram)</w:t>
            </w:r>
          </w:p>
        </w:tc>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53</w:t>
            </w:r>
          </w:p>
        </w:tc>
      </w:tr>
      <w:tr>
        <w:trPr>
          <w:cantSplit/>
        </w:trPr>
        <w:tc>
          <w:tcPr>
            <w:tcW w:type="dxa" w:w="7200"/>
            <w:tcMar>
              <w:top w:w="100" w:type="dxa"/>
              <w:bottom w:w="100" w:type="dxa"/>
              <w:left w:w="140" w:type="dxa"/>
              <w:right w:w="140" w:type="dxa"/>
            </w:tcMar>
            <w:vAlign w:val="center"/>
          </w:tcPr>
          <w:p>
            <w:pPr>
              <w:spacing w:before="0" w:after="0"/>
              <w:jc w:val="left"/>
            </w:pPr>
            <w:r>
              <w:rPr>
                <w:rFonts w:ascii="Times New Roman" w:hAnsi="Times New Roman"/>
                <w:color w:val="0F172A"/>
                <w:sz w:val="20"/>
              </w:rPr>
              <w:t>Fig. 8.4 (b) Data Flow Diagram (DFD Level 1 Subsystem Decomposition)</w:t>
            </w:r>
          </w:p>
        </w:tc>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54</w:t>
            </w:r>
          </w:p>
        </w:tc>
      </w:tr>
      <w:tr>
        <w:trPr>
          <w:cantSplit/>
        </w:trPr>
        <w:tc>
          <w:tcPr>
            <w:tcW w:type="dxa" w:w="7200"/>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Fig. 8.5.1 ER Diagram Symbols &amp; Conventions</w:t>
            </w:r>
          </w:p>
        </w:tc>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55</w:t>
            </w:r>
          </w:p>
        </w:tc>
      </w:tr>
      <w:tr>
        <w:trPr>
          <w:cantSplit/>
        </w:trPr>
        <w:tc>
          <w:tcPr>
            <w:tcW w:type="dxa" w:w="7200"/>
            <w:tcMar>
              <w:top w:w="100" w:type="dxa"/>
              <w:bottom w:w="100" w:type="dxa"/>
              <w:left w:w="140" w:type="dxa"/>
              <w:right w:w="140" w:type="dxa"/>
            </w:tcMar>
            <w:vAlign w:val="center"/>
          </w:tcPr>
          <w:p>
            <w:pPr>
              <w:spacing w:before="0" w:after="0"/>
              <w:jc w:val="left"/>
            </w:pPr>
            <w:r>
              <w:rPr>
                <w:rFonts w:ascii="Times New Roman" w:hAnsi="Times New Roman"/>
                <w:color w:val="0F172A"/>
                <w:sz w:val="20"/>
              </w:rPr>
              <w:t>Fig. 8.5.2 Entity-Relationship (ER) Diagram of CyberShield-AI</w:t>
            </w:r>
          </w:p>
        </w:tc>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56</w:t>
            </w:r>
          </w:p>
        </w:tc>
      </w:tr>
    </w:tbl>
    <w:p>
      <w:r>
        <w:br w:type="page"/>
      </w:r>
    </w:p>
    <w:p>
      <w:pPr>
        <w:spacing w:before="320" w:after="320"/>
        <w:jc w:val="center"/>
      </w:pPr>
      <w:r>
        <w:rPr>
          <w:rFonts w:ascii="Times New Roman" w:hAnsi="Times New Roman"/>
          <w:b/>
          <w:sz w:val="36"/>
        </w:rPr>
        <w:t>LIST OF TABLES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14"/>
        <w:gridCol w:w="4514"/>
      </w:tblGrid>
      <w:tr>
        <w:trPr>
          <w:tblHeader/>
          <w:cantSplit/>
        </w:trPr>
        <w:tc>
          <w:tcPr>
            <w:tcW w:type="dxa" w:w="7200"/>
            <w:shd w:fill="2B6CB0"/>
            <w:tcMar>
              <w:top w:w="140" w:type="dxa"/>
              <w:bottom w:w="140" w:type="dxa"/>
              <w:left w:w="140" w:type="dxa"/>
              <w:right w:w="140" w:type="dxa"/>
            </w:tcMar>
            <w:vAlign w:val="center"/>
          </w:tcPr>
          <w:p>
            <w:pPr>
              <w:spacing w:before="0" w:after="0"/>
              <w:jc w:val="center"/>
            </w:pPr>
            <w:r>
              <w:rPr>
                <w:rFonts w:ascii="Times New Roman" w:hAnsi="Times New Roman"/>
                <w:b/>
                <w:color w:val="FFFFFF"/>
                <w:sz w:val="21"/>
              </w:rPr>
              <w:t>Table No. &amp; Title</w:t>
            </w:r>
          </w:p>
        </w:tc>
        <w:tc>
          <w:tcPr>
            <w:tcW w:type="dxa" w:w="1728"/>
            <w:shd w:fill="2B6CB0"/>
            <w:tcMar>
              <w:top w:w="140" w:type="dxa"/>
              <w:bottom w:w="140" w:type="dxa"/>
              <w:left w:w="140" w:type="dxa"/>
              <w:right w:w="140" w:type="dxa"/>
            </w:tcMar>
            <w:vAlign w:val="center"/>
          </w:tcPr>
          <w:p>
            <w:pPr>
              <w:spacing w:before="0" w:after="0"/>
              <w:jc w:val="center"/>
            </w:pPr>
            <w:r>
              <w:rPr>
                <w:rFonts w:ascii="Times New Roman" w:hAnsi="Times New Roman"/>
                <w:b/>
                <w:color w:val="FFFFFF"/>
                <w:sz w:val="21"/>
              </w:rPr>
              <w:t>Page No.</w:t>
            </w:r>
          </w:p>
        </w:tc>
      </w:tr>
      <w:tr>
        <w:trPr>
          <w:cantSplit/>
        </w:trPr>
        <w:tc>
          <w:tcPr>
            <w:tcW w:type="dxa" w:w="7200"/>
            <w:tcMar>
              <w:top w:w="100" w:type="dxa"/>
              <w:bottom w:w="100" w:type="dxa"/>
              <w:left w:w="140" w:type="dxa"/>
              <w:right w:w="140" w:type="dxa"/>
            </w:tcMar>
            <w:vAlign w:val="center"/>
          </w:tcPr>
          <w:p>
            <w:pPr>
              <w:spacing w:before="0" w:after="0"/>
              <w:jc w:val="left"/>
            </w:pPr>
            <w:r>
              <w:rPr>
                <w:rFonts w:ascii="Times New Roman" w:hAnsi="Times New Roman"/>
                <w:color w:val="0F172A"/>
                <w:sz w:val="20"/>
              </w:rPr>
              <w:t>Table 3.2.3.2 Task Sets Breakdown &amp; Deliverables</w:t>
            </w:r>
          </w:p>
        </w:tc>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18</w:t>
            </w:r>
          </w:p>
        </w:tc>
      </w:tr>
      <w:tr>
        <w:trPr>
          <w:cantSplit/>
        </w:trPr>
        <w:tc>
          <w:tcPr>
            <w:tcW w:type="dxa" w:w="7200"/>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Table 3.3.2 Risk Projection &amp; Mitigation Matrix</w:t>
            </w:r>
          </w:p>
        </w:tc>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20</w:t>
            </w:r>
          </w:p>
        </w:tc>
      </w:tr>
      <w:tr>
        <w:trPr>
          <w:cantSplit/>
        </w:trPr>
        <w:tc>
          <w:tcPr>
            <w:tcW w:type="dxa" w:w="7200"/>
            <w:tcMar>
              <w:top w:w="100" w:type="dxa"/>
              <w:bottom w:w="100" w:type="dxa"/>
              <w:left w:w="140" w:type="dxa"/>
              <w:right w:w="140" w:type="dxa"/>
            </w:tcMar>
            <w:vAlign w:val="center"/>
          </w:tcPr>
          <w:p>
            <w:pPr>
              <w:spacing w:before="0" w:after="0"/>
              <w:jc w:val="left"/>
            </w:pPr>
            <w:r>
              <w:rPr>
                <w:rFonts w:ascii="Times New Roman" w:hAnsi="Times New Roman"/>
                <w:color w:val="0F172A"/>
                <w:sz w:val="20"/>
              </w:rPr>
              <w:t>Table 4.4.1 Hardware &amp; Software Specifications</w:t>
            </w:r>
          </w:p>
        </w:tc>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24</w:t>
            </w:r>
          </w:p>
        </w:tc>
      </w:tr>
      <w:tr>
        <w:trPr>
          <w:cantSplit/>
        </w:trPr>
        <w:tc>
          <w:tcPr>
            <w:tcW w:type="dxa" w:w="7200"/>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Table 7.3.1 Comprehensive Test Cases (Black-Box &amp; Functional)</w:t>
            </w:r>
          </w:p>
        </w:tc>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45</w:t>
            </w:r>
          </w:p>
        </w:tc>
      </w:tr>
      <w:tr>
        <w:trPr>
          <w:cantSplit/>
        </w:trPr>
        <w:tc>
          <w:tcPr>
            <w:tcW w:type="dxa" w:w="7200"/>
            <w:tcMar>
              <w:top w:w="100" w:type="dxa"/>
              <w:bottom w:w="100" w:type="dxa"/>
              <w:left w:w="140" w:type="dxa"/>
              <w:right w:w="140" w:type="dxa"/>
            </w:tcMar>
            <w:vAlign w:val="center"/>
          </w:tcPr>
          <w:p>
            <w:pPr>
              <w:spacing w:before="0" w:after="0"/>
              <w:jc w:val="left"/>
            </w:pPr>
            <w:r>
              <w:rPr>
                <w:rFonts w:ascii="Times New Roman" w:hAnsi="Times New Roman"/>
                <w:color w:val="0F172A"/>
                <w:sz w:val="20"/>
              </w:rPr>
              <w:t>Table 8.6.1 Data Dictionary: User Entity</w:t>
            </w:r>
          </w:p>
        </w:tc>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57</w:t>
            </w:r>
          </w:p>
        </w:tc>
      </w:tr>
      <w:tr>
        <w:trPr>
          <w:cantSplit/>
        </w:trPr>
        <w:tc>
          <w:tcPr>
            <w:tcW w:type="dxa" w:w="7200"/>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Table 8.6.2 Data Dictionary: Security Log Document Store</w:t>
            </w:r>
          </w:p>
        </w:tc>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57</w:t>
            </w:r>
          </w:p>
        </w:tc>
      </w:tr>
      <w:tr>
        <w:trPr>
          <w:cantSplit/>
        </w:trPr>
        <w:tc>
          <w:tcPr>
            <w:tcW w:type="dxa" w:w="7200"/>
            <w:tcMar>
              <w:top w:w="100" w:type="dxa"/>
              <w:bottom w:w="100" w:type="dxa"/>
              <w:left w:w="140" w:type="dxa"/>
              <w:right w:w="140" w:type="dxa"/>
            </w:tcMar>
            <w:vAlign w:val="center"/>
          </w:tcPr>
          <w:p>
            <w:pPr>
              <w:spacing w:before="0" w:after="0"/>
              <w:jc w:val="left"/>
            </w:pPr>
            <w:r>
              <w:rPr>
                <w:rFonts w:ascii="Times New Roman" w:hAnsi="Times New Roman"/>
                <w:color w:val="0F172A"/>
                <w:sz w:val="20"/>
              </w:rPr>
              <w:t>Table 8.6.3 Data Dictionary: Incident Alert Entity</w:t>
            </w:r>
          </w:p>
        </w:tc>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58</w:t>
            </w:r>
          </w:p>
        </w:tc>
      </w:tr>
      <w:tr>
        <w:trPr>
          <w:cantSplit/>
        </w:trPr>
        <w:tc>
          <w:tcPr>
            <w:tcW w:type="dxa" w:w="7200"/>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Table 8.6.4 Data Dictionary: Threat Score Entity</w:t>
            </w:r>
          </w:p>
        </w:tc>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58</w:t>
            </w:r>
          </w:p>
        </w:tc>
      </w:tr>
    </w:tbl>
    <w:p>
      <w:r>
        <w:br w:type="page"/>
      </w:r>
    </w:p>
    <w:p>
      <w:pPr>
        <w:spacing w:before="320" w:after="200"/>
        <w:jc w:val="center"/>
      </w:pPr>
      <w:r>
        <w:rPr>
          <w:rFonts w:ascii="Times New Roman" w:hAnsi="Times New Roman"/>
          <w:b/>
          <w:sz w:val="36"/>
        </w:rPr>
        <w:t>ABBREVIATION</w:t>
      </w:r>
    </w:p>
    <w:p>
      <w:pPr>
        <w:spacing w:before="0" w:after="120" w:line="276" w:lineRule="auto"/>
        <w:jc w:val="both"/>
      </w:pPr>
      <w:r>
        <w:rPr>
          <w:rFonts w:ascii="Times New Roman" w:hAnsi="Times New Roman"/>
          <w:sz w:val="24"/>
        </w:rPr>
        <w:t>Abbreviations used throughout this document for the CyberShield-AI Platform:</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14"/>
        <w:gridCol w:w="4514"/>
      </w:tblGrid>
      <w:tr>
        <w:trPr>
          <w:tblHeader/>
          <w:cantSplit/>
        </w:trPr>
        <w:tc>
          <w:tcPr>
            <w:tcW w:type="dxa" w:w="2592"/>
            <w:shd w:fill="2B6CB0"/>
            <w:tcMar>
              <w:top w:w="140" w:type="dxa"/>
              <w:bottom w:w="140" w:type="dxa"/>
              <w:left w:w="140" w:type="dxa"/>
              <w:right w:w="140" w:type="dxa"/>
            </w:tcMar>
            <w:vAlign w:val="center"/>
          </w:tcPr>
          <w:p>
            <w:pPr>
              <w:spacing w:before="0" w:after="0"/>
              <w:jc w:val="center"/>
            </w:pPr>
            <w:r>
              <w:rPr>
                <w:rFonts w:ascii="Times New Roman" w:hAnsi="Times New Roman"/>
                <w:b/>
                <w:color w:val="FFFFFF"/>
                <w:sz w:val="21"/>
              </w:rPr>
              <w:t>Abbreviation</w:t>
            </w:r>
          </w:p>
        </w:tc>
        <w:tc>
          <w:tcPr>
            <w:tcW w:type="dxa" w:w="6336"/>
            <w:shd w:fill="2B6CB0"/>
            <w:tcMar>
              <w:top w:w="140" w:type="dxa"/>
              <w:bottom w:w="140" w:type="dxa"/>
              <w:left w:w="140" w:type="dxa"/>
              <w:right w:w="140" w:type="dxa"/>
            </w:tcMar>
            <w:vAlign w:val="center"/>
          </w:tcPr>
          <w:p>
            <w:pPr>
              <w:spacing w:before="0" w:after="0"/>
              <w:jc w:val="center"/>
            </w:pPr>
            <w:r>
              <w:rPr>
                <w:rFonts w:ascii="Times New Roman" w:hAnsi="Times New Roman"/>
                <w:b/>
                <w:color w:val="FFFFFF"/>
                <w:sz w:val="21"/>
              </w:rPr>
              <w:t>Full Form</w:t>
            </w:r>
          </w:p>
        </w:tc>
      </w:tr>
      <w:tr>
        <w:trPr>
          <w:cantSplit/>
        </w:trPr>
        <w:tc>
          <w:tcPr>
            <w:tcW w:type="dxa" w:w="2592"/>
            <w:tcMar>
              <w:top w:w="100" w:type="dxa"/>
              <w:bottom w:w="100" w:type="dxa"/>
              <w:left w:w="140" w:type="dxa"/>
              <w:right w:w="140" w:type="dxa"/>
            </w:tcMar>
            <w:vAlign w:val="center"/>
          </w:tcPr>
          <w:p>
            <w:pPr>
              <w:spacing w:before="0" w:after="0"/>
              <w:jc w:val="center"/>
            </w:pPr>
            <w:r>
              <w:rPr>
                <w:rFonts w:ascii="Times New Roman" w:hAnsi="Times New Roman"/>
                <w:color w:val="0F172A"/>
                <w:sz w:val="20"/>
              </w:rPr>
              <w:t>AI</w:t>
            </w:r>
          </w:p>
        </w:tc>
        <w:tc>
          <w:tcPr>
            <w:tcW w:type="dxa" w:w="6336"/>
            <w:tcMar>
              <w:top w:w="100" w:type="dxa"/>
              <w:bottom w:w="100" w:type="dxa"/>
              <w:left w:w="140" w:type="dxa"/>
              <w:right w:w="140" w:type="dxa"/>
            </w:tcMar>
            <w:vAlign w:val="center"/>
          </w:tcPr>
          <w:p>
            <w:pPr>
              <w:spacing w:before="0" w:after="0"/>
              <w:jc w:val="left"/>
            </w:pPr>
            <w:r>
              <w:rPr>
                <w:rFonts w:ascii="Times New Roman" w:hAnsi="Times New Roman"/>
                <w:color w:val="0F172A"/>
                <w:sz w:val="20"/>
              </w:rPr>
              <w:t>Artificial Intelligence</w:t>
            </w:r>
          </w:p>
        </w:tc>
      </w:tr>
      <w:tr>
        <w:trPr>
          <w:cantSplit/>
        </w:trPr>
        <w:tc>
          <w:tcPr>
            <w:tcW w:type="dxa" w:w="2592"/>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API</w:t>
            </w:r>
          </w:p>
        </w:tc>
        <w:tc>
          <w:tcPr>
            <w:tcW w:type="dxa" w:w="6336"/>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Application Programming Interface</w:t>
            </w:r>
          </w:p>
        </w:tc>
      </w:tr>
      <w:tr>
        <w:trPr>
          <w:cantSplit/>
        </w:trPr>
        <w:tc>
          <w:tcPr>
            <w:tcW w:type="dxa" w:w="2592"/>
            <w:tcMar>
              <w:top w:w="100" w:type="dxa"/>
              <w:bottom w:w="100" w:type="dxa"/>
              <w:left w:w="140" w:type="dxa"/>
              <w:right w:w="140" w:type="dxa"/>
            </w:tcMar>
            <w:vAlign w:val="center"/>
          </w:tcPr>
          <w:p>
            <w:pPr>
              <w:spacing w:before="0" w:after="0"/>
              <w:jc w:val="center"/>
            </w:pPr>
            <w:r>
              <w:rPr>
                <w:rFonts w:ascii="Times New Roman" w:hAnsi="Times New Roman"/>
                <w:color w:val="0F172A"/>
                <w:sz w:val="20"/>
              </w:rPr>
              <w:t>AUC-ROC</w:t>
            </w:r>
          </w:p>
        </w:tc>
        <w:tc>
          <w:tcPr>
            <w:tcW w:type="dxa" w:w="6336"/>
            <w:tcMar>
              <w:top w:w="100" w:type="dxa"/>
              <w:bottom w:w="100" w:type="dxa"/>
              <w:left w:w="140" w:type="dxa"/>
              <w:right w:w="140" w:type="dxa"/>
            </w:tcMar>
            <w:vAlign w:val="center"/>
          </w:tcPr>
          <w:p>
            <w:pPr>
              <w:spacing w:before="0" w:after="0"/>
              <w:jc w:val="left"/>
            </w:pPr>
            <w:r>
              <w:rPr>
                <w:rFonts w:ascii="Times New Roman" w:hAnsi="Times New Roman"/>
                <w:color w:val="0F172A"/>
                <w:sz w:val="20"/>
              </w:rPr>
              <w:t>Area Under the Receiver Operating Characteristic Curve</w:t>
            </w:r>
          </w:p>
        </w:tc>
      </w:tr>
      <w:tr>
        <w:trPr>
          <w:cantSplit/>
        </w:trPr>
        <w:tc>
          <w:tcPr>
            <w:tcW w:type="dxa" w:w="2592"/>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Bcrypt</w:t>
            </w:r>
          </w:p>
        </w:tc>
        <w:tc>
          <w:tcPr>
            <w:tcW w:type="dxa" w:w="6336"/>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Blowfish-based Password Hashing Function</w:t>
            </w:r>
          </w:p>
        </w:tc>
      </w:tr>
      <w:tr>
        <w:trPr>
          <w:cantSplit/>
        </w:trPr>
        <w:tc>
          <w:tcPr>
            <w:tcW w:type="dxa" w:w="2592"/>
            <w:tcMar>
              <w:top w:w="100" w:type="dxa"/>
              <w:bottom w:w="100" w:type="dxa"/>
              <w:left w:w="140" w:type="dxa"/>
              <w:right w:w="140" w:type="dxa"/>
            </w:tcMar>
            <w:vAlign w:val="center"/>
          </w:tcPr>
          <w:p>
            <w:pPr>
              <w:spacing w:before="0" w:after="0"/>
              <w:jc w:val="center"/>
            </w:pPr>
            <w:r>
              <w:rPr>
                <w:rFonts w:ascii="Times New Roman" w:hAnsi="Times New Roman"/>
                <w:color w:val="0F172A"/>
                <w:sz w:val="20"/>
              </w:rPr>
              <w:t>CORS</w:t>
            </w:r>
          </w:p>
        </w:tc>
        <w:tc>
          <w:tcPr>
            <w:tcW w:type="dxa" w:w="6336"/>
            <w:tcMar>
              <w:top w:w="100" w:type="dxa"/>
              <w:bottom w:w="100" w:type="dxa"/>
              <w:left w:w="140" w:type="dxa"/>
              <w:right w:w="140" w:type="dxa"/>
            </w:tcMar>
            <w:vAlign w:val="center"/>
          </w:tcPr>
          <w:p>
            <w:pPr>
              <w:spacing w:before="0" w:after="0"/>
              <w:jc w:val="left"/>
            </w:pPr>
            <w:r>
              <w:rPr>
                <w:rFonts w:ascii="Times New Roman" w:hAnsi="Times New Roman"/>
                <w:color w:val="0F172A"/>
                <w:sz w:val="20"/>
              </w:rPr>
              <w:t>Cross-Origin Resource Sharing</w:t>
            </w:r>
          </w:p>
        </w:tc>
      </w:tr>
      <w:tr>
        <w:trPr>
          <w:cantSplit/>
        </w:trPr>
        <w:tc>
          <w:tcPr>
            <w:tcW w:type="dxa" w:w="2592"/>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CSS3</w:t>
            </w:r>
          </w:p>
        </w:tc>
        <w:tc>
          <w:tcPr>
            <w:tcW w:type="dxa" w:w="6336"/>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Cascading Style Sheets 3</w:t>
            </w:r>
          </w:p>
        </w:tc>
      </w:tr>
      <w:tr>
        <w:trPr>
          <w:cantSplit/>
        </w:trPr>
        <w:tc>
          <w:tcPr>
            <w:tcW w:type="dxa" w:w="2592"/>
            <w:tcMar>
              <w:top w:w="100" w:type="dxa"/>
              <w:bottom w:w="100" w:type="dxa"/>
              <w:left w:w="140" w:type="dxa"/>
              <w:right w:w="140" w:type="dxa"/>
            </w:tcMar>
            <w:vAlign w:val="center"/>
          </w:tcPr>
          <w:p>
            <w:pPr>
              <w:spacing w:before="0" w:after="0"/>
              <w:jc w:val="center"/>
            </w:pPr>
            <w:r>
              <w:rPr>
                <w:rFonts w:ascii="Times New Roman" w:hAnsi="Times New Roman"/>
                <w:color w:val="0F172A"/>
                <w:sz w:val="20"/>
              </w:rPr>
              <w:t>CVE</w:t>
            </w:r>
          </w:p>
        </w:tc>
        <w:tc>
          <w:tcPr>
            <w:tcW w:type="dxa" w:w="6336"/>
            <w:tcMar>
              <w:top w:w="100" w:type="dxa"/>
              <w:bottom w:w="100" w:type="dxa"/>
              <w:left w:w="140" w:type="dxa"/>
              <w:right w:w="140" w:type="dxa"/>
            </w:tcMar>
            <w:vAlign w:val="center"/>
          </w:tcPr>
          <w:p>
            <w:pPr>
              <w:spacing w:before="0" w:after="0"/>
              <w:jc w:val="left"/>
            </w:pPr>
            <w:r>
              <w:rPr>
                <w:rFonts w:ascii="Times New Roman" w:hAnsi="Times New Roman"/>
                <w:color w:val="0F172A"/>
                <w:sz w:val="20"/>
              </w:rPr>
              <w:t>Common Vulnerabilities and Exposures</w:t>
            </w:r>
          </w:p>
        </w:tc>
      </w:tr>
      <w:tr>
        <w:trPr>
          <w:cantSplit/>
        </w:trPr>
        <w:tc>
          <w:tcPr>
            <w:tcW w:type="dxa" w:w="2592"/>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DFD</w:t>
            </w:r>
          </w:p>
        </w:tc>
        <w:tc>
          <w:tcPr>
            <w:tcW w:type="dxa" w:w="6336"/>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Data Flow Diagram</w:t>
            </w:r>
          </w:p>
        </w:tc>
      </w:tr>
      <w:tr>
        <w:trPr>
          <w:cantSplit/>
        </w:trPr>
        <w:tc>
          <w:tcPr>
            <w:tcW w:type="dxa" w:w="2592"/>
            <w:tcMar>
              <w:top w:w="100" w:type="dxa"/>
              <w:bottom w:w="100" w:type="dxa"/>
              <w:left w:w="140" w:type="dxa"/>
              <w:right w:w="140" w:type="dxa"/>
            </w:tcMar>
            <w:vAlign w:val="center"/>
          </w:tcPr>
          <w:p>
            <w:pPr>
              <w:spacing w:before="0" w:after="0"/>
              <w:jc w:val="center"/>
            </w:pPr>
            <w:r>
              <w:rPr>
                <w:rFonts w:ascii="Times New Roman" w:hAnsi="Times New Roman"/>
                <w:color w:val="0F172A"/>
                <w:sz w:val="20"/>
              </w:rPr>
              <w:t>ERD</w:t>
            </w:r>
          </w:p>
        </w:tc>
        <w:tc>
          <w:tcPr>
            <w:tcW w:type="dxa" w:w="6336"/>
            <w:tcMar>
              <w:top w:w="100" w:type="dxa"/>
              <w:bottom w:w="100" w:type="dxa"/>
              <w:left w:w="140" w:type="dxa"/>
              <w:right w:w="140" w:type="dxa"/>
            </w:tcMar>
            <w:vAlign w:val="center"/>
          </w:tcPr>
          <w:p>
            <w:pPr>
              <w:spacing w:before="0" w:after="0"/>
              <w:jc w:val="left"/>
            </w:pPr>
            <w:r>
              <w:rPr>
                <w:rFonts w:ascii="Times New Roman" w:hAnsi="Times New Roman"/>
                <w:color w:val="0F172A"/>
                <w:sz w:val="20"/>
              </w:rPr>
              <w:t>Entity Relationship Diagram</w:t>
            </w:r>
          </w:p>
        </w:tc>
      </w:tr>
      <w:tr>
        <w:trPr>
          <w:cantSplit/>
        </w:trPr>
        <w:tc>
          <w:tcPr>
            <w:tcW w:type="dxa" w:w="2592"/>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FastAPI</w:t>
            </w:r>
          </w:p>
        </w:tc>
        <w:tc>
          <w:tcPr>
            <w:tcW w:type="dxa" w:w="6336"/>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Modern High-Performance Python Asynchronous Web Framework</w:t>
            </w:r>
          </w:p>
        </w:tc>
      </w:tr>
      <w:tr>
        <w:trPr>
          <w:cantSplit/>
        </w:trPr>
        <w:tc>
          <w:tcPr>
            <w:tcW w:type="dxa" w:w="2592"/>
            <w:tcMar>
              <w:top w:w="100" w:type="dxa"/>
              <w:bottom w:w="100" w:type="dxa"/>
              <w:left w:w="140" w:type="dxa"/>
              <w:right w:w="140" w:type="dxa"/>
            </w:tcMar>
            <w:vAlign w:val="center"/>
          </w:tcPr>
          <w:p>
            <w:pPr>
              <w:spacing w:before="0" w:after="0"/>
              <w:jc w:val="center"/>
            </w:pPr>
            <w:r>
              <w:rPr>
                <w:rFonts w:ascii="Times New Roman" w:hAnsi="Times New Roman"/>
                <w:color w:val="0F172A"/>
                <w:sz w:val="20"/>
              </w:rPr>
              <w:t>HTTP</w:t>
            </w:r>
          </w:p>
        </w:tc>
        <w:tc>
          <w:tcPr>
            <w:tcW w:type="dxa" w:w="6336"/>
            <w:tcMar>
              <w:top w:w="100" w:type="dxa"/>
              <w:bottom w:w="100" w:type="dxa"/>
              <w:left w:w="140" w:type="dxa"/>
              <w:right w:w="140" w:type="dxa"/>
            </w:tcMar>
            <w:vAlign w:val="center"/>
          </w:tcPr>
          <w:p>
            <w:pPr>
              <w:spacing w:before="0" w:after="0"/>
              <w:jc w:val="left"/>
            </w:pPr>
            <w:r>
              <w:rPr>
                <w:rFonts w:ascii="Times New Roman" w:hAnsi="Times New Roman"/>
                <w:color w:val="0F172A"/>
                <w:sz w:val="20"/>
              </w:rPr>
              <w:t>Hypertext Transfer Protocol</w:t>
            </w:r>
          </w:p>
        </w:tc>
      </w:tr>
      <w:tr>
        <w:trPr>
          <w:cantSplit/>
        </w:trPr>
        <w:tc>
          <w:tcPr>
            <w:tcW w:type="dxa" w:w="2592"/>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IDS</w:t>
            </w:r>
          </w:p>
        </w:tc>
        <w:tc>
          <w:tcPr>
            <w:tcW w:type="dxa" w:w="6336"/>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Intrusion Detection System</w:t>
            </w:r>
          </w:p>
        </w:tc>
      </w:tr>
      <w:tr>
        <w:trPr>
          <w:cantSplit/>
        </w:trPr>
        <w:tc>
          <w:tcPr>
            <w:tcW w:type="dxa" w:w="2592"/>
            <w:tcMar>
              <w:top w:w="100" w:type="dxa"/>
              <w:bottom w:w="100" w:type="dxa"/>
              <w:left w:w="140" w:type="dxa"/>
              <w:right w:w="140" w:type="dxa"/>
            </w:tcMar>
            <w:vAlign w:val="center"/>
          </w:tcPr>
          <w:p>
            <w:pPr>
              <w:spacing w:before="0" w:after="0"/>
              <w:jc w:val="center"/>
            </w:pPr>
            <w:r>
              <w:rPr>
                <w:rFonts w:ascii="Times New Roman" w:hAnsi="Times New Roman"/>
                <w:color w:val="0F172A"/>
                <w:sz w:val="20"/>
              </w:rPr>
              <w:t>IPS</w:t>
            </w:r>
          </w:p>
        </w:tc>
        <w:tc>
          <w:tcPr>
            <w:tcW w:type="dxa" w:w="6336"/>
            <w:tcMar>
              <w:top w:w="100" w:type="dxa"/>
              <w:bottom w:w="100" w:type="dxa"/>
              <w:left w:w="140" w:type="dxa"/>
              <w:right w:w="140" w:type="dxa"/>
            </w:tcMar>
            <w:vAlign w:val="center"/>
          </w:tcPr>
          <w:p>
            <w:pPr>
              <w:spacing w:before="0" w:after="0"/>
              <w:jc w:val="left"/>
            </w:pPr>
            <w:r>
              <w:rPr>
                <w:rFonts w:ascii="Times New Roman" w:hAnsi="Times New Roman"/>
                <w:color w:val="0F172A"/>
                <w:sz w:val="20"/>
              </w:rPr>
              <w:t>Intrusion Prevention System</w:t>
            </w:r>
          </w:p>
        </w:tc>
      </w:tr>
      <w:tr>
        <w:trPr>
          <w:cantSplit/>
        </w:trPr>
        <w:tc>
          <w:tcPr>
            <w:tcW w:type="dxa" w:w="2592"/>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JSON</w:t>
            </w:r>
          </w:p>
        </w:tc>
        <w:tc>
          <w:tcPr>
            <w:tcW w:type="dxa" w:w="6336"/>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JavaScript Object Notation</w:t>
            </w:r>
          </w:p>
        </w:tc>
      </w:tr>
      <w:tr>
        <w:trPr>
          <w:cantSplit/>
        </w:trPr>
        <w:tc>
          <w:tcPr>
            <w:tcW w:type="dxa" w:w="2592"/>
            <w:tcMar>
              <w:top w:w="100" w:type="dxa"/>
              <w:bottom w:w="100" w:type="dxa"/>
              <w:left w:w="140" w:type="dxa"/>
              <w:right w:w="140" w:type="dxa"/>
            </w:tcMar>
            <w:vAlign w:val="center"/>
          </w:tcPr>
          <w:p>
            <w:pPr>
              <w:spacing w:before="0" w:after="0"/>
              <w:jc w:val="center"/>
            </w:pPr>
            <w:r>
              <w:rPr>
                <w:rFonts w:ascii="Times New Roman" w:hAnsi="Times New Roman"/>
                <w:color w:val="0F172A"/>
                <w:sz w:val="20"/>
              </w:rPr>
              <w:t>JWT</w:t>
            </w:r>
          </w:p>
        </w:tc>
        <w:tc>
          <w:tcPr>
            <w:tcW w:type="dxa" w:w="6336"/>
            <w:tcMar>
              <w:top w:w="100" w:type="dxa"/>
              <w:bottom w:w="100" w:type="dxa"/>
              <w:left w:w="140" w:type="dxa"/>
              <w:right w:w="140" w:type="dxa"/>
            </w:tcMar>
            <w:vAlign w:val="center"/>
          </w:tcPr>
          <w:p>
            <w:pPr>
              <w:spacing w:before="0" w:after="0"/>
              <w:jc w:val="left"/>
            </w:pPr>
            <w:r>
              <w:rPr>
                <w:rFonts w:ascii="Times New Roman" w:hAnsi="Times New Roman"/>
                <w:color w:val="0F172A"/>
                <w:sz w:val="20"/>
              </w:rPr>
              <w:t>JSON Web Token (Secure Stateless Authentication)</w:t>
            </w:r>
          </w:p>
        </w:tc>
      </w:tr>
      <w:tr>
        <w:trPr>
          <w:cantSplit/>
        </w:trPr>
        <w:tc>
          <w:tcPr>
            <w:tcW w:type="dxa" w:w="2592"/>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KPI</w:t>
            </w:r>
          </w:p>
        </w:tc>
        <w:tc>
          <w:tcPr>
            <w:tcW w:type="dxa" w:w="6336"/>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Key Performance Indicator</w:t>
            </w:r>
          </w:p>
        </w:tc>
      </w:tr>
      <w:tr>
        <w:trPr>
          <w:cantSplit/>
        </w:trPr>
        <w:tc>
          <w:tcPr>
            <w:tcW w:type="dxa" w:w="2592"/>
            <w:tcMar>
              <w:top w:w="100" w:type="dxa"/>
              <w:bottom w:w="100" w:type="dxa"/>
              <w:left w:w="140" w:type="dxa"/>
              <w:right w:w="140" w:type="dxa"/>
            </w:tcMar>
            <w:vAlign w:val="center"/>
          </w:tcPr>
          <w:p>
            <w:pPr>
              <w:spacing w:before="0" w:after="0"/>
              <w:jc w:val="center"/>
            </w:pPr>
            <w:r>
              <w:rPr>
                <w:rFonts w:ascii="Times New Roman" w:hAnsi="Times New Roman"/>
                <w:color w:val="0F172A"/>
                <w:sz w:val="20"/>
              </w:rPr>
              <w:t>ML</w:t>
            </w:r>
          </w:p>
        </w:tc>
        <w:tc>
          <w:tcPr>
            <w:tcW w:type="dxa" w:w="6336"/>
            <w:tcMar>
              <w:top w:w="100" w:type="dxa"/>
              <w:bottom w:w="100" w:type="dxa"/>
              <w:left w:w="140" w:type="dxa"/>
              <w:right w:w="140" w:type="dxa"/>
            </w:tcMar>
            <w:vAlign w:val="center"/>
          </w:tcPr>
          <w:p>
            <w:pPr>
              <w:spacing w:before="0" w:after="0"/>
              <w:jc w:val="left"/>
            </w:pPr>
            <w:r>
              <w:rPr>
                <w:rFonts w:ascii="Times New Roman" w:hAnsi="Times New Roman"/>
                <w:color w:val="0F172A"/>
                <w:sz w:val="20"/>
              </w:rPr>
              <w:t>Machine Learning</w:t>
            </w:r>
          </w:p>
        </w:tc>
      </w:tr>
      <w:tr>
        <w:trPr>
          <w:cantSplit/>
        </w:trPr>
        <w:tc>
          <w:tcPr>
            <w:tcW w:type="dxa" w:w="2592"/>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Mongoose</w:t>
            </w:r>
          </w:p>
        </w:tc>
        <w:tc>
          <w:tcPr>
            <w:tcW w:type="dxa" w:w="6336"/>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Object Data Modeling (ODM) Library for MongoDB</w:t>
            </w:r>
          </w:p>
        </w:tc>
      </w:tr>
      <w:tr>
        <w:trPr>
          <w:cantSplit/>
        </w:trPr>
        <w:tc>
          <w:tcPr>
            <w:tcW w:type="dxa" w:w="2592"/>
            <w:tcMar>
              <w:top w:w="100" w:type="dxa"/>
              <w:bottom w:w="100" w:type="dxa"/>
              <w:left w:w="140" w:type="dxa"/>
              <w:right w:w="140" w:type="dxa"/>
            </w:tcMar>
            <w:vAlign w:val="center"/>
          </w:tcPr>
          <w:p>
            <w:pPr>
              <w:spacing w:before="0" w:after="0"/>
              <w:jc w:val="center"/>
            </w:pPr>
            <w:r>
              <w:rPr>
                <w:rFonts w:ascii="Times New Roman" w:hAnsi="Times New Roman"/>
                <w:color w:val="0F172A"/>
                <w:sz w:val="20"/>
              </w:rPr>
              <w:t>NestJS</w:t>
            </w:r>
          </w:p>
        </w:tc>
        <w:tc>
          <w:tcPr>
            <w:tcW w:type="dxa" w:w="6336"/>
            <w:tcMar>
              <w:top w:w="100" w:type="dxa"/>
              <w:bottom w:w="100" w:type="dxa"/>
              <w:left w:w="140" w:type="dxa"/>
              <w:right w:w="140" w:type="dxa"/>
            </w:tcMar>
            <w:vAlign w:val="center"/>
          </w:tcPr>
          <w:p>
            <w:pPr>
              <w:spacing w:before="0" w:after="0"/>
              <w:jc w:val="left"/>
            </w:pPr>
            <w:r>
              <w:rPr>
                <w:rFonts w:ascii="Times New Roman" w:hAnsi="Times New Roman"/>
                <w:color w:val="0F172A"/>
                <w:sz w:val="20"/>
              </w:rPr>
              <w:t>Progressive Enterprise TypeScript Node.js Backend Framework</w:t>
            </w:r>
          </w:p>
        </w:tc>
      </w:tr>
      <w:tr>
        <w:trPr>
          <w:cantSplit/>
        </w:trPr>
        <w:tc>
          <w:tcPr>
            <w:tcW w:type="dxa" w:w="2592"/>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Next.js</w:t>
            </w:r>
          </w:p>
        </w:tc>
        <w:tc>
          <w:tcPr>
            <w:tcW w:type="dxa" w:w="6336"/>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React Production Framework with App Router and Turbopack</w:t>
            </w:r>
          </w:p>
        </w:tc>
      </w:tr>
      <w:tr>
        <w:trPr>
          <w:cantSplit/>
        </w:trPr>
        <w:tc>
          <w:tcPr>
            <w:tcW w:type="dxa" w:w="2592"/>
            <w:tcMar>
              <w:top w:w="100" w:type="dxa"/>
              <w:bottom w:w="100" w:type="dxa"/>
              <w:left w:w="140" w:type="dxa"/>
              <w:right w:w="140" w:type="dxa"/>
            </w:tcMar>
            <w:vAlign w:val="center"/>
          </w:tcPr>
          <w:p>
            <w:pPr>
              <w:spacing w:before="0" w:after="0"/>
              <w:jc w:val="center"/>
            </w:pPr>
            <w:r>
              <w:rPr>
                <w:rFonts w:ascii="Times New Roman" w:hAnsi="Times New Roman"/>
                <w:color w:val="0F172A"/>
                <w:sz w:val="20"/>
              </w:rPr>
              <w:t>OCSVM</w:t>
            </w:r>
          </w:p>
        </w:tc>
        <w:tc>
          <w:tcPr>
            <w:tcW w:type="dxa" w:w="6336"/>
            <w:tcMar>
              <w:top w:w="100" w:type="dxa"/>
              <w:bottom w:w="100" w:type="dxa"/>
              <w:left w:w="140" w:type="dxa"/>
              <w:right w:w="140" w:type="dxa"/>
            </w:tcMar>
            <w:vAlign w:val="center"/>
          </w:tcPr>
          <w:p>
            <w:pPr>
              <w:spacing w:before="0" w:after="0"/>
              <w:jc w:val="left"/>
            </w:pPr>
            <w:r>
              <w:rPr>
                <w:rFonts w:ascii="Times New Roman" w:hAnsi="Times New Roman"/>
                <w:color w:val="0F172A"/>
                <w:sz w:val="20"/>
              </w:rPr>
              <w:t>One-Class Support Vector Machine</w:t>
            </w:r>
          </w:p>
        </w:tc>
      </w:tr>
      <w:tr>
        <w:trPr>
          <w:cantSplit/>
        </w:trPr>
        <w:tc>
          <w:tcPr>
            <w:tcW w:type="dxa" w:w="2592"/>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ORM</w:t>
            </w:r>
          </w:p>
        </w:tc>
        <w:tc>
          <w:tcPr>
            <w:tcW w:type="dxa" w:w="6336"/>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Object-Relational Mapping (Prisma Client v6)</w:t>
            </w:r>
          </w:p>
        </w:tc>
      </w:tr>
      <w:tr>
        <w:trPr>
          <w:cantSplit/>
        </w:trPr>
        <w:tc>
          <w:tcPr>
            <w:tcW w:type="dxa" w:w="2592"/>
            <w:tcMar>
              <w:top w:w="100" w:type="dxa"/>
              <w:bottom w:w="100" w:type="dxa"/>
              <w:left w:w="140" w:type="dxa"/>
              <w:right w:w="140" w:type="dxa"/>
            </w:tcMar>
            <w:vAlign w:val="center"/>
          </w:tcPr>
          <w:p>
            <w:pPr>
              <w:spacing w:before="0" w:after="0"/>
              <w:jc w:val="center"/>
            </w:pPr>
            <w:r>
              <w:rPr>
                <w:rFonts w:ascii="Times New Roman" w:hAnsi="Times New Roman"/>
                <w:color w:val="0F172A"/>
                <w:sz w:val="20"/>
              </w:rPr>
              <w:t>PostgreSQL</w:t>
            </w:r>
          </w:p>
        </w:tc>
        <w:tc>
          <w:tcPr>
            <w:tcW w:type="dxa" w:w="6336"/>
            <w:tcMar>
              <w:top w:w="100" w:type="dxa"/>
              <w:bottom w:w="100" w:type="dxa"/>
              <w:left w:w="140" w:type="dxa"/>
              <w:right w:w="140" w:type="dxa"/>
            </w:tcMar>
            <w:vAlign w:val="center"/>
          </w:tcPr>
          <w:p>
            <w:pPr>
              <w:spacing w:before="0" w:after="0"/>
              <w:jc w:val="left"/>
            </w:pPr>
            <w:r>
              <w:rPr>
                <w:rFonts w:ascii="Times New Roman" w:hAnsi="Times New Roman"/>
                <w:color w:val="0F172A"/>
                <w:sz w:val="20"/>
              </w:rPr>
              <w:t>Enterprise Relational Database Management System</w:t>
            </w:r>
          </w:p>
        </w:tc>
      </w:tr>
      <w:tr>
        <w:trPr>
          <w:cantSplit/>
        </w:trPr>
        <w:tc>
          <w:tcPr>
            <w:tcW w:type="dxa" w:w="2592"/>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RBAC</w:t>
            </w:r>
          </w:p>
        </w:tc>
        <w:tc>
          <w:tcPr>
            <w:tcW w:type="dxa" w:w="6336"/>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Role-Based Access Control</w:t>
            </w:r>
          </w:p>
        </w:tc>
      </w:tr>
      <w:tr>
        <w:trPr>
          <w:cantSplit/>
        </w:trPr>
        <w:tc>
          <w:tcPr>
            <w:tcW w:type="dxa" w:w="2592"/>
            <w:tcMar>
              <w:top w:w="100" w:type="dxa"/>
              <w:bottom w:w="100" w:type="dxa"/>
              <w:left w:w="140" w:type="dxa"/>
              <w:right w:w="140" w:type="dxa"/>
            </w:tcMar>
            <w:vAlign w:val="center"/>
          </w:tcPr>
          <w:p>
            <w:pPr>
              <w:spacing w:before="0" w:after="0"/>
              <w:jc w:val="center"/>
            </w:pPr>
            <w:r>
              <w:rPr>
                <w:rFonts w:ascii="Times New Roman" w:hAnsi="Times New Roman"/>
                <w:color w:val="0F172A"/>
                <w:sz w:val="20"/>
              </w:rPr>
              <w:t>REST</w:t>
            </w:r>
          </w:p>
        </w:tc>
        <w:tc>
          <w:tcPr>
            <w:tcW w:type="dxa" w:w="6336"/>
            <w:tcMar>
              <w:top w:w="100" w:type="dxa"/>
              <w:bottom w:w="100" w:type="dxa"/>
              <w:left w:w="140" w:type="dxa"/>
              <w:right w:w="140" w:type="dxa"/>
            </w:tcMar>
            <w:vAlign w:val="center"/>
          </w:tcPr>
          <w:p>
            <w:pPr>
              <w:spacing w:before="0" w:after="0"/>
              <w:jc w:val="left"/>
            </w:pPr>
            <w:r>
              <w:rPr>
                <w:rFonts w:ascii="Times New Roman" w:hAnsi="Times New Roman"/>
                <w:color w:val="0F172A"/>
                <w:sz w:val="20"/>
              </w:rPr>
              <w:t>Representational State Transfer</w:t>
            </w:r>
          </w:p>
        </w:tc>
      </w:tr>
      <w:tr>
        <w:trPr>
          <w:cantSplit/>
        </w:trPr>
        <w:tc>
          <w:tcPr>
            <w:tcW w:type="dxa" w:w="2592"/>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SDLC</w:t>
            </w:r>
          </w:p>
        </w:tc>
        <w:tc>
          <w:tcPr>
            <w:tcW w:type="dxa" w:w="6336"/>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Software Development Life Cycle</w:t>
            </w:r>
          </w:p>
        </w:tc>
      </w:tr>
      <w:tr>
        <w:trPr>
          <w:cantSplit/>
        </w:trPr>
        <w:tc>
          <w:tcPr>
            <w:tcW w:type="dxa" w:w="2592"/>
            <w:tcMar>
              <w:top w:w="100" w:type="dxa"/>
              <w:bottom w:w="100" w:type="dxa"/>
              <w:left w:w="140" w:type="dxa"/>
              <w:right w:w="140" w:type="dxa"/>
            </w:tcMar>
            <w:vAlign w:val="center"/>
          </w:tcPr>
          <w:p>
            <w:pPr>
              <w:spacing w:before="0" w:after="0"/>
              <w:jc w:val="center"/>
            </w:pPr>
            <w:r>
              <w:rPr>
                <w:rFonts w:ascii="Times New Roman" w:hAnsi="Times New Roman"/>
                <w:color w:val="0F172A"/>
                <w:sz w:val="20"/>
              </w:rPr>
              <w:t>SHAP</w:t>
            </w:r>
          </w:p>
        </w:tc>
        <w:tc>
          <w:tcPr>
            <w:tcW w:type="dxa" w:w="6336"/>
            <w:tcMar>
              <w:top w:w="100" w:type="dxa"/>
              <w:bottom w:w="100" w:type="dxa"/>
              <w:left w:w="140" w:type="dxa"/>
              <w:right w:w="140" w:type="dxa"/>
            </w:tcMar>
            <w:vAlign w:val="center"/>
          </w:tcPr>
          <w:p>
            <w:pPr>
              <w:spacing w:before="0" w:after="0"/>
              <w:jc w:val="left"/>
            </w:pPr>
            <w:r>
              <w:rPr>
                <w:rFonts w:ascii="Times New Roman" w:hAnsi="Times New Roman"/>
                <w:color w:val="0F172A"/>
                <w:sz w:val="20"/>
              </w:rPr>
              <w:t>SHapley Additive exPlanations (Explainable AI Engine)</w:t>
            </w:r>
          </w:p>
        </w:tc>
      </w:tr>
      <w:tr>
        <w:trPr>
          <w:cantSplit/>
        </w:trPr>
        <w:tc>
          <w:tcPr>
            <w:tcW w:type="dxa" w:w="2592"/>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SIEM</w:t>
            </w:r>
          </w:p>
        </w:tc>
        <w:tc>
          <w:tcPr>
            <w:tcW w:type="dxa" w:w="6336"/>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Security Information and Event Management</w:t>
            </w:r>
          </w:p>
        </w:tc>
      </w:tr>
      <w:tr>
        <w:trPr>
          <w:cantSplit/>
        </w:trPr>
        <w:tc>
          <w:tcPr>
            <w:tcW w:type="dxa" w:w="2592"/>
            <w:tcMar>
              <w:top w:w="100" w:type="dxa"/>
              <w:bottom w:w="100" w:type="dxa"/>
              <w:left w:w="140" w:type="dxa"/>
              <w:right w:w="140" w:type="dxa"/>
            </w:tcMar>
            <w:vAlign w:val="center"/>
          </w:tcPr>
          <w:p>
            <w:pPr>
              <w:spacing w:before="0" w:after="0"/>
              <w:jc w:val="center"/>
            </w:pPr>
            <w:r>
              <w:rPr>
                <w:rFonts w:ascii="Times New Roman" w:hAnsi="Times New Roman"/>
                <w:color w:val="0F172A"/>
                <w:sz w:val="20"/>
              </w:rPr>
              <w:t>SOC</w:t>
            </w:r>
          </w:p>
        </w:tc>
        <w:tc>
          <w:tcPr>
            <w:tcW w:type="dxa" w:w="6336"/>
            <w:tcMar>
              <w:top w:w="100" w:type="dxa"/>
              <w:bottom w:w="100" w:type="dxa"/>
              <w:left w:w="140" w:type="dxa"/>
              <w:right w:w="140" w:type="dxa"/>
            </w:tcMar>
            <w:vAlign w:val="center"/>
          </w:tcPr>
          <w:p>
            <w:pPr>
              <w:spacing w:before="0" w:after="0"/>
              <w:jc w:val="left"/>
            </w:pPr>
            <w:r>
              <w:rPr>
                <w:rFonts w:ascii="Times New Roman" w:hAnsi="Times New Roman"/>
                <w:color w:val="0F172A"/>
                <w:sz w:val="20"/>
              </w:rPr>
              <w:t>Security Operations Center</w:t>
            </w:r>
          </w:p>
        </w:tc>
      </w:tr>
      <w:tr>
        <w:trPr>
          <w:cantSplit/>
        </w:trPr>
        <w:tc>
          <w:tcPr>
            <w:tcW w:type="dxa" w:w="2592"/>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SPA</w:t>
            </w:r>
          </w:p>
        </w:tc>
        <w:tc>
          <w:tcPr>
            <w:tcW w:type="dxa" w:w="6336"/>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Single Page Application</w:t>
            </w:r>
          </w:p>
        </w:tc>
      </w:tr>
      <w:tr>
        <w:trPr>
          <w:cantSplit/>
        </w:trPr>
        <w:tc>
          <w:tcPr>
            <w:tcW w:type="dxa" w:w="2592"/>
            <w:tcMar>
              <w:top w:w="100" w:type="dxa"/>
              <w:bottom w:w="100" w:type="dxa"/>
              <w:left w:w="140" w:type="dxa"/>
              <w:right w:w="140" w:type="dxa"/>
            </w:tcMar>
            <w:vAlign w:val="center"/>
          </w:tcPr>
          <w:p>
            <w:pPr>
              <w:spacing w:before="0" w:after="0"/>
              <w:jc w:val="center"/>
            </w:pPr>
            <w:r>
              <w:rPr>
                <w:rFonts w:ascii="Times New Roman" w:hAnsi="Times New Roman"/>
                <w:color w:val="0F172A"/>
                <w:sz w:val="20"/>
              </w:rPr>
              <w:t>SQL</w:t>
            </w:r>
          </w:p>
        </w:tc>
        <w:tc>
          <w:tcPr>
            <w:tcW w:type="dxa" w:w="6336"/>
            <w:tcMar>
              <w:top w:w="100" w:type="dxa"/>
              <w:bottom w:w="100" w:type="dxa"/>
              <w:left w:w="140" w:type="dxa"/>
              <w:right w:w="140" w:type="dxa"/>
            </w:tcMar>
            <w:vAlign w:val="center"/>
          </w:tcPr>
          <w:p>
            <w:pPr>
              <w:spacing w:before="0" w:after="0"/>
              <w:jc w:val="left"/>
            </w:pPr>
            <w:r>
              <w:rPr>
                <w:rFonts w:ascii="Times New Roman" w:hAnsi="Times New Roman"/>
                <w:color w:val="0F172A"/>
                <w:sz w:val="20"/>
              </w:rPr>
              <w:t>Structured Query Language</w:t>
            </w:r>
          </w:p>
        </w:tc>
      </w:tr>
      <w:tr>
        <w:trPr>
          <w:cantSplit/>
        </w:trPr>
        <w:tc>
          <w:tcPr>
            <w:tcW w:type="dxa" w:w="2592"/>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UML</w:t>
            </w:r>
          </w:p>
        </w:tc>
        <w:tc>
          <w:tcPr>
            <w:tcW w:type="dxa" w:w="6336"/>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Unified Modeling Language</w:t>
            </w:r>
          </w:p>
        </w:tc>
      </w:tr>
      <w:tr>
        <w:trPr>
          <w:cantSplit/>
        </w:trPr>
        <w:tc>
          <w:tcPr>
            <w:tcW w:type="dxa" w:w="2592"/>
            <w:tcMar>
              <w:top w:w="100" w:type="dxa"/>
              <w:bottom w:w="100" w:type="dxa"/>
              <w:left w:w="140" w:type="dxa"/>
              <w:right w:w="140" w:type="dxa"/>
            </w:tcMar>
            <w:vAlign w:val="center"/>
          </w:tcPr>
          <w:p>
            <w:pPr>
              <w:spacing w:before="0" w:after="0"/>
              <w:jc w:val="center"/>
            </w:pPr>
            <w:r>
              <w:rPr>
                <w:rFonts w:ascii="Times New Roman" w:hAnsi="Times New Roman"/>
                <w:color w:val="0F172A"/>
                <w:sz w:val="20"/>
              </w:rPr>
              <w:t>URI</w:t>
            </w:r>
          </w:p>
        </w:tc>
        <w:tc>
          <w:tcPr>
            <w:tcW w:type="dxa" w:w="6336"/>
            <w:tcMar>
              <w:top w:w="100" w:type="dxa"/>
              <w:bottom w:w="100" w:type="dxa"/>
              <w:left w:w="140" w:type="dxa"/>
              <w:right w:w="140" w:type="dxa"/>
            </w:tcMar>
            <w:vAlign w:val="center"/>
          </w:tcPr>
          <w:p>
            <w:pPr>
              <w:spacing w:before="0" w:after="0"/>
              <w:jc w:val="left"/>
            </w:pPr>
            <w:r>
              <w:rPr>
                <w:rFonts w:ascii="Times New Roman" w:hAnsi="Times New Roman"/>
                <w:color w:val="0F172A"/>
                <w:sz w:val="20"/>
              </w:rPr>
              <w:t>Uniform Resource Identifier</w:t>
            </w:r>
          </w:p>
        </w:tc>
      </w:tr>
      <w:tr>
        <w:trPr>
          <w:cantSplit/>
        </w:trPr>
        <w:tc>
          <w:tcPr>
            <w:tcW w:type="dxa" w:w="2592"/>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XAI</w:t>
            </w:r>
          </w:p>
        </w:tc>
        <w:tc>
          <w:tcPr>
            <w:tcW w:type="dxa" w:w="6336"/>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Explainable Artificial Intelligence</w:t>
            </w:r>
          </w:p>
        </w:tc>
      </w:tr>
    </w:tbl>
    <w:p>
      <w:r>
        <w:br w:type="page"/>
      </w:r>
    </w:p>
    <w:p>
      <w:pPr>
        <w:spacing w:before="280" w:after="80"/>
        <w:jc w:val="center"/>
      </w:pPr>
      <w:r>
        <w:rPr>
          <w:rFonts w:ascii="Times New Roman" w:hAnsi="Times New Roman"/>
          <w:b/>
          <w:sz w:val="36"/>
        </w:rPr>
        <w:t>CHAPTER 1</w:t>
      </w:r>
    </w:p>
    <w:p>
      <w:pPr>
        <w:spacing w:before="0" w:after="320"/>
        <w:jc w:val="center"/>
      </w:pPr>
      <w:r>
        <w:rPr>
          <w:rFonts w:ascii="Times New Roman" w:hAnsi="Times New Roman"/>
          <w:b/>
          <w:sz w:val="36"/>
        </w:rPr>
        <w:t>INTRODUCTION</w:t>
      </w:r>
    </w:p>
    <w:p>
      <w:pPr>
        <w:spacing w:before="0" w:after="60"/>
        <w:ind w:left="288"/>
      </w:pPr>
      <w:r>
        <w:rPr>
          <w:rFonts w:ascii="Times New Roman" w:hAnsi="Times New Roman"/>
          <w:b/>
          <w:sz w:val="24"/>
        </w:rPr>
        <w:t>●  PROJECT SUMMARY</w:t>
      </w:r>
    </w:p>
    <w:p>
      <w:pPr>
        <w:spacing w:before="0" w:after="60"/>
        <w:ind w:left="288"/>
      </w:pPr>
      <w:r>
        <w:rPr>
          <w:rFonts w:ascii="Times New Roman" w:hAnsi="Times New Roman"/>
          <w:b/>
          <w:sz w:val="24"/>
        </w:rPr>
        <w:t>●  PROJECT PURPOSE</w:t>
      </w:r>
    </w:p>
    <w:p>
      <w:pPr>
        <w:spacing w:before="0" w:after="60"/>
        <w:ind w:left="288"/>
      </w:pPr>
      <w:r>
        <w:rPr>
          <w:rFonts w:ascii="Times New Roman" w:hAnsi="Times New Roman"/>
          <w:b/>
          <w:sz w:val="24"/>
        </w:rPr>
        <w:t>●  PROJECT SCOPE</w:t>
      </w:r>
    </w:p>
    <w:p>
      <w:pPr>
        <w:spacing w:before="0" w:after="60"/>
        <w:ind w:left="288"/>
      </w:pPr>
      <w:r>
        <w:rPr>
          <w:rFonts w:ascii="Times New Roman" w:hAnsi="Times New Roman"/>
          <w:b/>
          <w:sz w:val="24"/>
        </w:rPr>
        <w:t>●  OBJECTIVES</w:t>
      </w:r>
    </w:p>
    <w:p>
      <w:pPr>
        <w:spacing w:before="0" w:after="60"/>
        <w:ind w:left="288"/>
      </w:pPr>
      <w:r>
        <w:rPr>
          <w:rFonts w:ascii="Times New Roman" w:hAnsi="Times New Roman"/>
          <w:b/>
          <w:sz w:val="24"/>
        </w:rPr>
        <w:t>●  TECHNOLOGY &amp; TOOLS</w:t>
      </w:r>
    </w:p>
    <w:p>
      <w:pPr>
        <w:spacing w:before="0" w:after="60"/>
        <w:ind w:left="288"/>
      </w:pPr>
      <w:r>
        <w:rPr>
          <w:rFonts w:ascii="Times New Roman" w:hAnsi="Times New Roman"/>
          <w:b/>
          <w:sz w:val="24"/>
        </w:rPr>
        <w:t>●  SYNOPSIS</w:t>
      </w:r>
    </w:p>
    <w:p>
      <w:pPr>
        <w:spacing w:before="120" w:after="120"/>
      </w:pPr>
    </w:p>
    <w:p>
      <w:pPr>
        <w:keepNext/>
        <w:spacing w:before="280" w:after="80"/>
      </w:pPr>
      <w:r>
        <w:rPr>
          <w:rFonts w:ascii="Times New Roman" w:hAnsi="Times New Roman"/>
          <w:b/>
          <w:sz w:val="28"/>
        </w:rPr>
        <w:t>1.1 PROJECT SUMMARY</w:t>
      </w:r>
    </w:p>
    <w:p>
      <w:pPr>
        <w:spacing w:before="0" w:after="120" w:line="276" w:lineRule="auto"/>
        <w:jc w:val="both"/>
      </w:pPr>
      <w:r>
        <w:rPr>
          <w:rFonts w:ascii="Times New Roman" w:hAnsi="Times New Roman"/>
          <w:sz w:val="24"/>
        </w:rPr>
        <w:t>The CyberShield-AI project develops a state-of-the-art cyber threat intelligence, detection, analysis, and attack prediction platform engineered to safeguard critical digital infrastructure against modern attack vectors. While enterprise networks process millions of network events every hour, conventional Security Information and Event Management (SIEM) systems rely heavily on brittle rule sets and static signatures. This creates massive operational friction: security analysts suffer from chronic alert fatigue, critical zero-day anomalies go unnoticed, and disparate threat feeds lack unified correlation.</w:t>
      </w:r>
    </w:p>
    <w:p>
      <w:pPr>
        <w:spacing w:before="0" w:after="120" w:line="276" w:lineRule="auto"/>
        <w:jc w:val="both"/>
      </w:pPr>
      <w:r>
        <w:rPr>
          <w:rFonts w:ascii="Times New Roman" w:hAnsi="Times New Roman"/>
          <w:sz w:val="24"/>
        </w:rPr>
        <w:t>CyberShield-AI bridges this divide by delivering an integrated, full-stack intelligence ecosystem tailored to three distinct user tiers: Security Operations Center (SOC) Analysts, Threat Intelligence Specialists, and Central System Administrators. The platform ingests heterogeneous security logs (firewall logs, intrusion detection events, authentication records, and cloud telemetry), subjects them to an unsupervised machine learning ensemble combining Isolation Forest and One-Class Support Vector Machines (OCSVM), generates explainable attribution reasons via SHAP (SHapley Additive exPlanations), forecasts impending multi-stage attack progressions mapped to MITRE ATT&amp;CK tactics, and renders real-time geospatial telemetry on interactive tactical dashboards.</w:t>
      </w:r>
    </w:p>
    <w:p>
      <w:pPr>
        <w:keepNext/>
        <w:spacing w:before="280" w:after="80"/>
      </w:pPr>
      <w:r>
        <w:rPr>
          <w:rFonts w:ascii="Times New Roman" w:hAnsi="Times New Roman"/>
          <w:b/>
          <w:sz w:val="28"/>
        </w:rPr>
        <w:t>1.2 PROJECT PURPOSE</w:t>
      </w:r>
    </w:p>
    <w:p>
      <w:pPr>
        <w:spacing w:before="0" w:after="120" w:line="276" w:lineRule="auto"/>
        <w:jc w:val="both"/>
      </w:pPr>
      <w:r>
        <w:rPr>
          <w:rFonts w:ascii="Times New Roman" w:hAnsi="Times New Roman"/>
          <w:sz w:val="24"/>
        </w:rPr>
        <w:t>The fundamental purpose of CyberShield-AI is to eliminate proactive threat detection delays, mitigate analyst cognitive fatigue, and enhance enterprise digital resilience:</w:t>
      </w:r>
    </w:p>
    <w:p>
      <w:pPr>
        <w:spacing w:before="0" w:after="80" w:line="276" w:lineRule="auto"/>
        <w:ind w:left="360"/>
        <w:jc w:val="both"/>
      </w:pPr>
      <w:r>
        <w:rPr>
          <w:rFonts w:ascii="Times New Roman" w:hAnsi="Times New Roman"/>
          <w:b/>
          <w:sz w:val="23"/>
        </w:rPr>
        <w:t xml:space="preserve">• Rapid Threat Redressal &amp; Triage: </w:t>
      </w:r>
      <w:r>
        <w:rPr>
          <w:rFonts w:ascii="Times New Roman" w:hAnsi="Times New Roman"/>
          <w:sz w:val="23"/>
        </w:rPr>
        <w:t>Eliminate multi-day forensic lags by empowering SOC analysts to inspect, prioritize, and contain high-severity incidents in under 60 seconds from an intuitive web command center.</w:t>
      </w:r>
    </w:p>
    <w:p>
      <w:pPr>
        <w:spacing w:before="0" w:after="80" w:line="276" w:lineRule="auto"/>
        <w:ind w:left="360"/>
        <w:jc w:val="both"/>
      </w:pPr>
      <w:r>
        <w:rPr>
          <w:rFonts w:ascii="Times New Roman" w:hAnsi="Times New Roman"/>
          <w:b/>
          <w:sz w:val="23"/>
        </w:rPr>
        <w:t xml:space="preserve">• Unsupervised AI Anomaly Detection: </w:t>
      </w:r>
      <w:r>
        <w:rPr>
          <w:rFonts w:ascii="Times New Roman" w:hAnsi="Times New Roman"/>
          <w:sz w:val="23"/>
        </w:rPr>
        <w:t>Remove dependency on outdated signature databases by deploying an ensemble of Isolation Forest (200 isolation trees) and One-Class SVM with radial basis function (RBF) kernels to flag unknown zero-day anomalies.</w:t>
      </w:r>
    </w:p>
    <w:p>
      <w:pPr>
        <w:spacing w:before="0" w:after="80" w:line="276" w:lineRule="auto"/>
        <w:ind w:left="360"/>
        <w:jc w:val="both"/>
      </w:pPr>
      <w:r>
        <w:rPr>
          <w:rFonts w:ascii="Times New Roman" w:hAnsi="Times New Roman"/>
          <w:b/>
          <w:sz w:val="23"/>
        </w:rPr>
        <w:t xml:space="preserve">• Explainable AI (XAI) Attribution: </w:t>
      </w:r>
      <w:r>
        <w:rPr>
          <w:rFonts w:ascii="Times New Roman" w:hAnsi="Times New Roman"/>
          <w:sz w:val="23"/>
        </w:rPr>
        <w:t>Demystify black-box machine learning predictions by pairing SHAP feature contribution analysis with heuristic rule justification, providing human-readable explanations for every triggered alert.</w:t>
      </w:r>
    </w:p>
    <w:p>
      <w:pPr>
        <w:spacing w:before="0" w:after="80" w:line="276" w:lineRule="auto"/>
        <w:ind w:left="360"/>
        <w:jc w:val="both"/>
      </w:pPr>
      <w:r>
        <w:rPr>
          <w:rFonts w:ascii="Times New Roman" w:hAnsi="Times New Roman"/>
          <w:b/>
          <w:sz w:val="23"/>
        </w:rPr>
        <w:t xml:space="preserve">• Multi-Stage Attack Forecasting: </w:t>
      </w:r>
      <w:r>
        <w:rPr>
          <w:rFonts w:ascii="Times New Roman" w:hAnsi="Times New Roman"/>
          <w:sz w:val="23"/>
        </w:rPr>
        <w:t>Identify attack precursors (such as port reconnaissance and credential stuffing) before catastrophic exfiltration occurs by correlating temporal log patterns against the MITRE ATT&amp;CK framework.</w:t>
      </w:r>
    </w:p>
    <w:p>
      <w:pPr>
        <w:spacing w:before="0" w:after="80" w:line="276" w:lineRule="auto"/>
        <w:ind w:left="360"/>
        <w:jc w:val="both"/>
      </w:pPr>
      <w:r>
        <w:rPr>
          <w:rFonts w:ascii="Times New Roman" w:hAnsi="Times New Roman"/>
          <w:b/>
          <w:sz w:val="23"/>
        </w:rPr>
        <w:t xml:space="preserve">• End-to-End Enterprise Accountability: </w:t>
      </w:r>
      <w:r>
        <w:rPr>
          <w:rFonts w:ascii="Times New Roman" w:hAnsi="Times New Roman"/>
          <w:sz w:val="23"/>
        </w:rPr>
        <w:t>Provide verifiable immutable audit trails, role-based access restrictions, and automated compliance reporting accessible to frontline security analysts and Chief Information Security Officers (CISOs) alike.</w:t>
      </w:r>
    </w:p>
    <w:p>
      <w:pPr>
        <w:keepNext/>
        <w:spacing w:before="280" w:after="80"/>
      </w:pPr>
      <w:r>
        <w:rPr>
          <w:rFonts w:ascii="Times New Roman" w:hAnsi="Times New Roman"/>
          <w:b/>
          <w:sz w:val="28"/>
        </w:rPr>
        <w:t>1.3 PROJECT SCOPE</w:t>
      </w:r>
    </w:p>
    <w:p>
      <w:pPr>
        <w:spacing w:before="0" w:after="120" w:line="276" w:lineRule="auto"/>
        <w:jc w:val="both"/>
      </w:pPr>
      <w:r>
        <w:rPr>
          <w:rFonts w:ascii="Times New Roman" w:hAnsi="Times New Roman"/>
          <w:sz w:val="24"/>
        </w:rPr>
        <w:t>The architectural scope of CyberShield-AI spans the complete lifecycle of cyber threat intelligence: multi-role authentication with JWT tokens, high-throughput log ingestion through NestJS 11 REST controllers, polyglot persistence utilizing MongoDB 7 for unstructured log documents and PostgreSQL 16 for structured ACID compliance, asynchronous background job queuing via Redis 7 and BullMQ, microservice machine learning inference through Python FastAPI 0.115, explainable AI model serving, real-time Recharts and Leaflet geospatial data visualization in Next.js 16, and automated incident triage workflows.</w:t>
      </w:r>
    </w:p>
    <w:p>
      <w:pPr>
        <w:keepNext/>
        <w:spacing w:before="280" w:after="80"/>
      </w:pPr>
      <w:r>
        <w:rPr>
          <w:rFonts w:ascii="Times New Roman" w:hAnsi="Times New Roman"/>
          <w:b/>
          <w:sz w:val="28"/>
        </w:rPr>
        <w:t>1.4 OBJECTIVES</w:t>
      </w:r>
    </w:p>
    <w:p>
      <w:pPr>
        <w:keepNext/>
        <w:spacing w:before="200" w:after="60"/>
      </w:pPr>
      <w:r>
        <w:rPr>
          <w:rFonts w:ascii="Times New Roman" w:hAnsi="Times New Roman"/>
          <w:b/>
          <w:sz w:val="24"/>
        </w:rPr>
        <w:t>1.4.1 Main Objectives</w:t>
      </w:r>
    </w:p>
    <w:p>
      <w:pPr>
        <w:spacing w:before="0" w:after="80" w:line="276" w:lineRule="auto"/>
        <w:ind w:left="360"/>
        <w:jc w:val="both"/>
      </w:pPr>
      <w:r>
        <w:rPr>
          <w:rFonts w:ascii="Times New Roman" w:hAnsi="Times New Roman"/>
          <w:b/>
          <w:sz w:val="23"/>
        </w:rPr>
        <w:t xml:space="preserve">• 1. Responsive SOC Web Client: </w:t>
      </w:r>
      <w:r>
        <w:rPr>
          <w:rFonts w:ascii="Times New Roman" w:hAnsi="Times New Roman"/>
          <w:sz w:val="23"/>
        </w:rPr>
        <w:t>Build a high-performance Next.js 16 and React 19 Single Page Application enabling analysts to explore logs, triage alerts, and inspect telemetry with sub-second page transitions.</w:t>
      </w:r>
    </w:p>
    <w:p>
      <w:pPr>
        <w:spacing w:before="0" w:after="80" w:line="276" w:lineRule="auto"/>
        <w:ind w:left="360"/>
        <w:jc w:val="both"/>
      </w:pPr>
      <w:r>
        <w:rPr>
          <w:rFonts w:ascii="Times New Roman" w:hAnsi="Times New Roman"/>
          <w:b/>
          <w:sz w:val="23"/>
        </w:rPr>
        <w:t xml:space="preserve">• 2. Ensemble ML Detection Service: </w:t>
      </w:r>
      <w:r>
        <w:rPr>
          <w:rFonts w:ascii="Times New Roman" w:hAnsi="Times New Roman"/>
          <w:sz w:val="23"/>
        </w:rPr>
        <w:t>Deploy an autonomous FastAPI intelligence service pairing Isolation Forest and One-Class SVM to score incoming event anomalies on a continuous scale from 0.0 to 100.0.</w:t>
      </w:r>
    </w:p>
    <w:p>
      <w:pPr>
        <w:spacing w:before="0" w:after="80" w:line="276" w:lineRule="auto"/>
        <w:ind w:left="360"/>
        <w:jc w:val="both"/>
      </w:pPr>
      <w:r>
        <w:rPr>
          <w:rFonts w:ascii="Times New Roman" w:hAnsi="Times New Roman"/>
          <w:b/>
          <w:sz w:val="23"/>
        </w:rPr>
        <w:t xml:space="preserve">• 3. Explainable Threat Scoring: </w:t>
      </w:r>
      <w:r>
        <w:rPr>
          <w:rFonts w:ascii="Times New Roman" w:hAnsi="Times New Roman"/>
          <w:sz w:val="23"/>
        </w:rPr>
        <w:t>Generate granular SHAP attribution vectors explaining exactly why a specific network flow, destination port, or packet count triggered an anomaly threshold.</w:t>
      </w:r>
    </w:p>
    <w:p>
      <w:pPr>
        <w:spacing w:before="0" w:after="80" w:line="276" w:lineRule="auto"/>
        <w:ind w:left="360"/>
        <w:jc w:val="both"/>
      </w:pPr>
      <w:r>
        <w:rPr>
          <w:rFonts w:ascii="Times New Roman" w:hAnsi="Times New Roman"/>
          <w:b/>
          <w:sz w:val="23"/>
        </w:rPr>
        <w:t xml:space="preserve">• 4. Role-Based Security Governance: </w:t>
      </w:r>
      <w:r>
        <w:rPr>
          <w:rFonts w:ascii="Times New Roman" w:hAnsi="Times New Roman"/>
          <w:sz w:val="23"/>
        </w:rPr>
        <w:t>Furnish dedicated permission layers for Viewers, Analysts, and Administrators with strict JWT authentication, bcrypt password hashing, and endpoint route guards.</w:t>
      </w:r>
    </w:p>
    <w:p>
      <w:pPr>
        <w:keepNext/>
        <w:spacing w:before="200" w:after="60"/>
      </w:pPr>
      <w:r>
        <w:rPr>
          <w:rFonts w:ascii="Times New Roman" w:hAnsi="Times New Roman"/>
          <w:b/>
          <w:sz w:val="24"/>
        </w:rPr>
        <w:t>1.4.2 Secondary Objectives</w:t>
      </w:r>
    </w:p>
    <w:p>
      <w:pPr>
        <w:spacing w:before="0" w:after="80" w:line="276" w:lineRule="auto"/>
        <w:ind w:left="360"/>
        <w:jc w:val="both"/>
      </w:pPr>
      <w:r>
        <w:rPr>
          <w:rFonts w:ascii="Times New Roman" w:hAnsi="Times New Roman"/>
          <w:b/>
          <w:sz w:val="23"/>
        </w:rPr>
        <w:t xml:space="preserve">• 1. Real-Time Geospatial Attack Mapping: </w:t>
      </w:r>
      <w:r>
        <w:rPr>
          <w:rFonts w:ascii="Times New Roman" w:hAnsi="Times New Roman"/>
          <w:sz w:val="23"/>
        </w:rPr>
        <w:t>Render interactive Leaflet world maps showing global attack origins, geographic threat clusters, and real-time malicious IP vectors.</w:t>
      </w:r>
    </w:p>
    <w:p>
      <w:pPr>
        <w:spacing w:before="0" w:after="80" w:line="276" w:lineRule="auto"/>
        <w:ind w:left="360"/>
        <w:jc w:val="both"/>
      </w:pPr>
      <w:r>
        <w:rPr>
          <w:rFonts w:ascii="Times New Roman" w:hAnsi="Times New Roman"/>
          <w:b/>
          <w:sz w:val="23"/>
        </w:rPr>
        <w:t xml:space="preserve">• 2. Attack Progression Forecasting: </w:t>
      </w:r>
      <w:r>
        <w:rPr>
          <w:rFonts w:ascii="Times New Roman" w:hAnsi="Times New Roman"/>
          <w:sz w:val="23"/>
        </w:rPr>
        <w:t>Compute predictive confidence scores for multi-stage threat progression (Reconnaissance ➔ Weaponization ➔ Delivery ➔ Exploitation ➔ Exfiltration).</w:t>
      </w:r>
    </w:p>
    <w:p>
      <w:pPr>
        <w:spacing w:before="0" w:after="80" w:line="276" w:lineRule="auto"/>
        <w:ind w:left="360"/>
        <w:jc w:val="both"/>
      </w:pPr>
      <w:r>
        <w:rPr>
          <w:rFonts w:ascii="Times New Roman" w:hAnsi="Times New Roman"/>
          <w:b/>
          <w:sz w:val="23"/>
        </w:rPr>
        <w:t xml:space="preserve">• 3. Executive Governance Analytics: </w:t>
      </w:r>
      <w:r>
        <w:rPr>
          <w:rFonts w:ascii="Times New Roman" w:hAnsi="Times New Roman"/>
          <w:sz w:val="23"/>
        </w:rPr>
        <w:t>Equip security executives with automated compliance summaries, severity distribution donuts, 30-day threat trend charts, and exportable PDF audit reports.</w:t>
      </w:r>
    </w:p>
    <w:p>
      <w:pPr>
        <w:keepNext/>
        <w:spacing w:before="280" w:after="80"/>
      </w:pPr>
      <w:r>
        <w:rPr>
          <w:rFonts w:ascii="Times New Roman" w:hAnsi="Times New Roman"/>
          <w:b/>
          <w:sz w:val="28"/>
        </w:rPr>
        <w:t>1.5 TECHNOLOGY &amp; TOOLS</w:t>
      </w:r>
    </w:p>
    <w:p>
      <w:pPr>
        <w:spacing w:before="0" w:after="80" w:line="276" w:lineRule="auto"/>
        <w:ind w:left="360"/>
        <w:jc w:val="both"/>
      </w:pPr>
      <w:r>
        <w:rPr>
          <w:rFonts w:ascii="Times New Roman" w:hAnsi="Times New Roman"/>
          <w:b/>
          <w:sz w:val="23"/>
        </w:rPr>
        <w:t xml:space="preserve">• Frontend Client: </w:t>
      </w:r>
      <w:r>
        <w:rPr>
          <w:rFonts w:ascii="Times New Roman" w:hAnsi="Times New Roman"/>
          <w:sz w:val="23"/>
        </w:rPr>
        <w:t>Next.js 16.2 (App Router with Turbopack), React 19.2, Tailwind CSS 4, Zustand state management, Recharts 3.8 visual analytics, Leaflet 1.9 &amp; React-Leaflet interactive maps, Lucide React icons, Axios HTTP client.</w:t>
      </w:r>
    </w:p>
    <w:p>
      <w:pPr>
        <w:spacing w:before="0" w:after="80" w:line="276" w:lineRule="auto"/>
        <w:ind w:left="360"/>
        <w:jc w:val="both"/>
      </w:pPr>
      <w:r>
        <w:rPr>
          <w:rFonts w:ascii="Times New Roman" w:hAnsi="Times New Roman"/>
          <w:b/>
          <w:sz w:val="23"/>
        </w:rPr>
        <w:t xml:space="preserve">• Backend API Server: </w:t>
      </w:r>
      <w:r>
        <w:rPr>
          <w:rFonts w:ascii="Times New Roman" w:hAnsi="Times New Roman"/>
          <w:sz w:val="23"/>
        </w:rPr>
        <w:t>NestJS 11 LTS, TypeScript 5, Prisma ORM v6, Passport JWT authentication, BullMQ distributed background queue, Class-Validator, Winston logging.</w:t>
      </w:r>
    </w:p>
    <w:p>
      <w:pPr>
        <w:spacing w:before="0" w:after="80" w:line="276" w:lineRule="auto"/>
        <w:ind w:left="360"/>
        <w:jc w:val="both"/>
      </w:pPr>
      <w:r>
        <w:rPr>
          <w:rFonts w:ascii="Times New Roman" w:hAnsi="Times New Roman"/>
          <w:b/>
          <w:sz w:val="23"/>
        </w:rPr>
        <w:t xml:space="preserve">• AI &amp; Intelligence Microservice: </w:t>
      </w:r>
      <w:r>
        <w:rPr>
          <w:rFonts w:ascii="Times New Roman" w:hAnsi="Times New Roman"/>
          <w:sz w:val="23"/>
        </w:rPr>
        <w:t>FastAPI 0.115, Uvicorn ASGI, Scikit-Learn 1.6, SHAP 0.46, NumPy 2.2, Pandas 2.2, Joblib model persistence.</w:t>
      </w:r>
    </w:p>
    <w:p>
      <w:pPr>
        <w:spacing w:before="0" w:after="80" w:line="276" w:lineRule="auto"/>
        <w:ind w:left="360"/>
        <w:jc w:val="both"/>
      </w:pPr>
      <w:r>
        <w:rPr>
          <w:rFonts w:ascii="Times New Roman" w:hAnsi="Times New Roman"/>
          <w:b/>
          <w:sz w:val="23"/>
        </w:rPr>
        <w:t xml:space="preserve">• Data Persistence &amp; Queuing: </w:t>
      </w:r>
      <w:r>
        <w:rPr>
          <w:rFonts w:ascii="Times New Roman" w:hAnsi="Times New Roman"/>
          <w:sz w:val="23"/>
        </w:rPr>
        <w:t>PostgreSQL 16 (Relational DB for users, alerts, threat scores, audit logs), MongoDB 7 (Document store for high-volume raw security logs), Redis 7 (In-memory message broker &amp; job queue).</w:t>
      </w:r>
    </w:p>
    <w:p>
      <w:pPr>
        <w:spacing w:before="0" w:after="80" w:line="276" w:lineRule="auto"/>
        <w:ind w:left="360"/>
        <w:jc w:val="both"/>
      </w:pPr>
      <w:r>
        <w:rPr>
          <w:rFonts w:ascii="Times New Roman" w:hAnsi="Times New Roman"/>
          <w:b/>
          <w:sz w:val="23"/>
        </w:rPr>
        <w:t xml:space="preserve">• DevOps &amp; Development: </w:t>
      </w:r>
      <w:r>
        <w:rPr>
          <w:rFonts w:ascii="Times New Roman" w:hAnsi="Times New Roman"/>
          <w:sz w:val="23"/>
        </w:rPr>
        <w:t>Docker &amp; Docker Compose containerization, Node.js v20+, Python 3.11+, Git version control, VS Code, RESTful API testing suites.</w:t>
      </w:r>
    </w:p>
    <w:p>
      <w:pPr>
        <w:keepNext/>
        <w:spacing w:before="280" w:after="80"/>
      </w:pPr>
      <w:r>
        <w:rPr>
          <w:rFonts w:ascii="Times New Roman" w:hAnsi="Times New Roman"/>
          <w:b/>
          <w:sz w:val="28"/>
        </w:rPr>
        <w:t>1.6 SYNOPSIS</w:t>
      </w:r>
    </w:p>
    <w:p>
      <w:pPr>
        <w:spacing w:before="0" w:after="120" w:line="276" w:lineRule="auto"/>
        <w:jc w:val="both"/>
      </w:pPr>
      <w:r>
        <w:rPr>
          <w:rFonts w:ascii="Times New Roman" w:hAnsi="Times New Roman"/>
          <w:sz w:val="24"/>
        </w:rPr>
        <w:t>CyberShield-AI transforms cyber defense from reactive firefighting to predictive intelligence. By uniting high-speed streaming ingestion, unsupervised anomaly detection ensembles, explainable AI explanations, and intuitive SOC visualization, the platform delivers enterprise-grade cyber situation awareness while minimizing false positives and accelerating incident remediation.</w:t>
      </w:r>
    </w:p>
    <w:p>
      <w:r>
        <w:br w:type="page"/>
      </w:r>
    </w:p>
    <w:p>
      <w:pPr>
        <w:spacing w:before="280" w:after="80"/>
        <w:jc w:val="center"/>
      </w:pPr>
      <w:r>
        <w:rPr>
          <w:rFonts w:ascii="Times New Roman" w:hAnsi="Times New Roman"/>
          <w:b/>
          <w:sz w:val="36"/>
        </w:rPr>
        <w:t>CHAPTER 2</w:t>
      </w:r>
    </w:p>
    <w:p>
      <w:pPr>
        <w:spacing w:before="0" w:after="320"/>
        <w:jc w:val="center"/>
      </w:pPr>
      <w:r>
        <w:rPr>
          <w:rFonts w:ascii="Times New Roman" w:hAnsi="Times New Roman"/>
          <w:b/>
          <w:sz w:val="36"/>
        </w:rPr>
        <w:t>LITERATURE SURVEY</w:t>
      </w:r>
    </w:p>
    <w:p>
      <w:pPr>
        <w:spacing w:before="0" w:after="60"/>
        <w:ind w:left="288"/>
      </w:pPr>
      <w:r>
        <w:rPr>
          <w:rFonts w:ascii="Times New Roman" w:hAnsi="Times New Roman"/>
          <w:b/>
          <w:sz w:val="24"/>
        </w:rPr>
        <w:t>●  INTRODUCTION OF SURVEY</w:t>
      </w:r>
    </w:p>
    <w:p>
      <w:pPr>
        <w:spacing w:before="0" w:after="60"/>
        <w:ind w:left="288"/>
      </w:pPr>
      <w:r>
        <w:rPr>
          <w:rFonts w:ascii="Times New Roman" w:hAnsi="Times New Roman"/>
          <w:b/>
          <w:sz w:val="24"/>
        </w:rPr>
        <w:t>●  WHY SURVEY ?</w:t>
      </w:r>
    </w:p>
    <w:p>
      <w:pPr>
        <w:spacing w:before="120" w:after="120"/>
      </w:pPr>
    </w:p>
    <w:p>
      <w:pPr>
        <w:keepNext/>
        <w:spacing w:before="280" w:after="80"/>
      </w:pPr>
      <w:r>
        <w:rPr>
          <w:rFonts w:ascii="Times New Roman" w:hAnsi="Times New Roman"/>
          <w:b/>
          <w:sz w:val="28"/>
        </w:rPr>
        <w:t>2.1 INTRODUCTION OF SURVEY</w:t>
      </w:r>
    </w:p>
    <w:p>
      <w:pPr>
        <w:spacing w:before="0" w:after="120" w:line="276" w:lineRule="auto"/>
        <w:jc w:val="both"/>
      </w:pPr>
      <w:r>
        <w:rPr>
          <w:rFonts w:ascii="Times New Roman" w:hAnsi="Times New Roman"/>
          <w:sz w:val="24"/>
        </w:rPr>
        <w:t>To establish a rigorous technical foundation for CyberShield-AI, an extensive literature survey was conducted across existing SIEM solutions, machine learning intrusion detection architectures, explainable artificial intelligence frameworks, and multi-tier polyglot persistence models:</w:t>
      </w:r>
    </w:p>
    <w:p>
      <w:pPr>
        <w:spacing w:before="0" w:after="80" w:line="276" w:lineRule="auto"/>
        <w:ind w:left="360"/>
        <w:jc w:val="both"/>
      </w:pPr>
      <w:r>
        <w:rPr>
          <w:rFonts w:ascii="Times New Roman" w:hAnsi="Times New Roman"/>
          <w:b/>
          <w:sz w:val="23"/>
        </w:rPr>
        <w:t xml:space="preserve">• 1. Study of Traditional SIEM Platforms: </w:t>
      </w:r>
      <w:r>
        <w:rPr>
          <w:rFonts w:ascii="Times New Roman" w:hAnsi="Times New Roman"/>
          <w:sz w:val="23"/>
        </w:rPr>
        <w:t>Investigated commercial systems such as Splunk, Elastic SIEM, and Apache Metron. Findings revealed that while legacy SIEMs excel at log indexing and search, over 70% of generated alerts represent false positives due to rigid static thresholding. Furthermore, static rule maintenance requires unsustainable engineering hours, failing against novel polymorphism.</w:t>
      </w:r>
    </w:p>
    <w:p>
      <w:pPr>
        <w:spacing w:before="0" w:after="80" w:line="276" w:lineRule="auto"/>
        <w:ind w:left="360"/>
        <w:jc w:val="both"/>
      </w:pPr>
      <w:r>
        <w:rPr>
          <w:rFonts w:ascii="Times New Roman" w:hAnsi="Times New Roman"/>
          <w:b/>
          <w:sz w:val="23"/>
        </w:rPr>
        <w:t xml:space="preserve">• 2. Machine Learning for Network Anomaly Detection: </w:t>
      </w:r>
      <w:r>
        <w:rPr>
          <w:rFonts w:ascii="Times New Roman" w:hAnsi="Times New Roman"/>
          <w:sz w:val="23"/>
        </w:rPr>
        <w:t>Evaluated supervised vs. unsupervised algorithms for cyber threat classification. Research demonstrated that supervised models suffer severe degradation in production due to label scarcity and class imbalance. In contrast, unsupervised ensembles combining Isolation Forest (iForest) and One-Class Support Vector Machines (OCSVM) achieve superior detection rates on unseen zero-day exploits while maintaining sub-100ms inference times.</w:t>
      </w:r>
    </w:p>
    <w:p>
      <w:pPr>
        <w:spacing w:before="0" w:after="80" w:line="276" w:lineRule="auto"/>
        <w:ind w:left="360"/>
        <w:jc w:val="both"/>
      </w:pPr>
      <w:r>
        <w:rPr>
          <w:rFonts w:ascii="Times New Roman" w:hAnsi="Times New Roman"/>
          <w:b/>
          <w:sz w:val="23"/>
        </w:rPr>
        <w:t xml:space="preserve">• 3. Explainable AI (XAI) in Cybersecurity Operations: </w:t>
      </w:r>
      <w:r>
        <w:rPr>
          <w:rFonts w:ascii="Times New Roman" w:hAnsi="Times New Roman"/>
          <w:sz w:val="23"/>
        </w:rPr>
        <w:t>Analyzed model interpretability frameworks including LIME and SHAP. Findings highlighted that security analysts routinely distrust black-box machine learning predictions. Implementing SHAP TreeExplainer enables exact additive feature attribution, translating mathematical hyperplanes into intuitive analyst-facing indicators (e.g., 'Source Port 445 unusual for host role').</w:t>
      </w:r>
    </w:p>
    <w:p>
      <w:pPr>
        <w:spacing w:before="0" w:after="80" w:line="276" w:lineRule="auto"/>
        <w:ind w:left="360"/>
        <w:jc w:val="both"/>
      </w:pPr>
      <w:r>
        <w:rPr>
          <w:rFonts w:ascii="Times New Roman" w:hAnsi="Times New Roman"/>
          <w:b/>
          <w:sz w:val="23"/>
        </w:rPr>
        <w:t xml:space="preserve">• 4. Attack Stage Correlation &amp; Predictive Analytics: </w:t>
      </w:r>
      <w:r>
        <w:rPr>
          <w:rFonts w:ascii="Times New Roman" w:hAnsi="Times New Roman"/>
          <w:sz w:val="23"/>
        </w:rPr>
        <w:t>Investigated cyber kill chain and MITRE ATT&amp;CK mapping methodologies. Correlating sequential low-severity reconnaissance events across sliding time windows enables probabilistic prediction of follow-on lateral movement and exfiltration with high statistical precision.</w:t>
      </w:r>
    </w:p>
    <w:p>
      <w:pPr>
        <w:spacing w:before="0" w:after="80" w:line="276" w:lineRule="auto"/>
        <w:ind w:left="360"/>
        <w:jc w:val="both"/>
      </w:pPr>
      <w:r>
        <w:rPr>
          <w:rFonts w:ascii="Times New Roman" w:hAnsi="Times New Roman"/>
          <w:b/>
          <w:sz w:val="23"/>
        </w:rPr>
        <w:t xml:space="preserve">• 5. Polyglot Persistence in High-Velocity Log Ingestion: </w:t>
      </w:r>
      <w:r>
        <w:rPr>
          <w:rFonts w:ascii="Times New Roman" w:hAnsi="Times New Roman"/>
          <w:sz w:val="23"/>
        </w:rPr>
        <w:t>Surveyed database architectures handling tens of thousands of write events per second. Coupling MongoDB for schema-flexible raw log storage with PostgreSQL for relational referential integrity (analysts, alerts, audit trails) prevents write lockouts while preserving relational querying capabilities.</w:t>
      </w:r>
    </w:p>
    <w:p>
      <w:pPr>
        <w:keepNext/>
        <w:spacing w:before="280" w:after="80"/>
      </w:pPr>
      <w:r>
        <w:rPr>
          <w:rFonts w:ascii="Times New Roman" w:hAnsi="Times New Roman"/>
          <w:b/>
          <w:sz w:val="28"/>
        </w:rPr>
        <w:t>2.2 WHY SURVEY ?</w:t>
      </w:r>
    </w:p>
    <w:p>
      <w:pPr>
        <w:spacing w:before="0" w:after="120" w:line="276" w:lineRule="auto"/>
        <w:jc w:val="both"/>
      </w:pPr>
      <w:r>
        <w:rPr>
          <w:rFonts w:ascii="Times New Roman" w:hAnsi="Times New Roman"/>
          <w:sz w:val="24"/>
        </w:rPr>
        <w:t>Conducting this survey was imperative to diagnose why existing enterprise security tools fail to prevent catastrophic intrusions despite high capital expenditure. By pinpointing core bottlenecks—specifically alert fatigue, zero-day blind spots, lack of interpretability, and database write congestion—CyberShield-AI was engineered from the ground up with decoupled microservices, unsupervised ML ensembles, SHAP XAI interpretability, and polyglot persistence, ensuring enterprise-grade operational reliability and instantaneous threat triage.</w:t>
      </w:r>
    </w:p>
    <w:p>
      <w:r>
        <w:br w:type="page"/>
      </w:r>
    </w:p>
    <w:p>
      <w:pPr>
        <w:spacing w:before="280" w:after="80"/>
        <w:jc w:val="center"/>
      </w:pPr>
      <w:r>
        <w:rPr>
          <w:rFonts w:ascii="Times New Roman" w:hAnsi="Times New Roman"/>
          <w:b/>
          <w:sz w:val="36"/>
        </w:rPr>
        <w:t>CHAPTER 3</w:t>
      </w:r>
    </w:p>
    <w:p>
      <w:pPr>
        <w:spacing w:before="0" w:after="320"/>
        <w:jc w:val="center"/>
      </w:pPr>
      <w:r>
        <w:rPr>
          <w:rFonts w:ascii="Times New Roman" w:hAnsi="Times New Roman"/>
          <w:b/>
          <w:sz w:val="36"/>
        </w:rPr>
        <w:t>PROJECT MANAGEMENT</w:t>
      </w:r>
    </w:p>
    <w:p>
      <w:pPr>
        <w:spacing w:before="0" w:after="60"/>
        <w:ind w:left="288"/>
      </w:pPr>
      <w:r>
        <w:rPr>
          <w:rFonts w:ascii="Times New Roman" w:hAnsi="Times New Roman"/>
          <w:b/>
          <w:sz w:val="24"/>
        </w:rPr>
        <w:t>●  PROJECT PLANNING OBJECTIVES</w:t>
      </w:r>
    </w:p>
    <w:p>
      <w:pPr>
        <w:spacing w:before="0" w:after="60"/>
        <w:ind w:left="288"/>
      </w:pPr>
      <w:r>
        <w:rPr>
          <w:rFonts w:ascii="Times New Roman" w:hAnsi="Times New Roman"/>
          <w:b/>
          <w:sz w:val="24"/>
        </w:rPr>
        <w:t>●  PROJECT SCHEDULING</w:t>
      </w:r>
    </w:p>
    <w:p>
      <w:pPr>
        <w:spacing w:before="0" w:after="60"/>
        <w:ind w:left="288"/>
      </w:pPr>
      <w:r>
        <w:rPr>
          <w:rFonts w:ascii="Times New Roman" w:hAnsi="Times New Roman"/>
          <w:b/>
          <w:sz w:val="24"/>
        </w:rPr>
        <w:t>●  RISK MANAGEMENT</w:t>
      </w:r>
    </w:p>
    <w:p>
      <w:pPr>
        <w:spacing w:before="120" w:after="120"/>
      </w:pPr>
    </w:p>
    <w:p>
      <w:pPr>
        <w:keepNext/>
        <w:spacing w:before="280" w:after="80"/>
      </w:pPr>
      <w:r>
        <w:rPr>
          <w:rFonts w:ascii="Times New Roman" w:hAnsi="Times New Roman"/>
          <w:b/>
          <w:sz w:val="28"/>
        </w:rPr>
        <w:t>3.1 PROJECT PLANNING OBJECTIVES</w:t>
      </w:r>
    </w:p>
    <w:p>
      <w:pPr>
        <w:spacing w:before="0" w:after="120" w:line="276" w:lineRule="auto"/>
        <w:jc w:val="both"/>
      </w:pPr>
      <w:r>
        <w:rPr>
          <w:rFonts w:ascii="Times New Roman" w:hAnsi="Times New Roman"/>
          <w:sz w:val="24"/>
        </w:rPr>
        <w:t>Project planning established clear software tools, resource management, and engineering sustainability principles:</w:t>
      </w:r>
    </w:p>
    <w:p>
      <w:pPr>
        <w:spacing w:before="0" w:after="80" w:line="276" w:lineRule="auto"/>
        <w:ind w:left="360"/>
        <w:jc w:val="both"/>
      </w:pPr>
      <w:r>
        <w:rPr>
          <w:rFonts w:ascii="Times New Roman" w:hAnsi="Times New Roman"/>
          <w:b/>
          <w:sz w:val="23"/>
        </w:rPr>
        <w:t xml:space="preserve">• Modern Code &amp; Version Control: </w:t>
      </w:r>
      <w:r>
        <w:rPr>
          <w:rFonts w:ascii="Times New Roman" w:hAnsi="Times New Roman"/>
          <w:sz w:val="23"/>
        </w:rPr>
        <w:t>Standardized repository structure utilizing Git feature branches, automated linting via ESLint and Prettier, TypeScript strict mode, and Python PEP 8 compliance.</w:t>
      </w:r>
    </w:p>
    <w:p>
      <w:pPr>
        <w:spacing w:before="0" w:after="80" w:line="276" w:lineRule="auto"/>
        <w:ind w:left="360"/>
        <w:jc w:val="both"/>
      </w:pPr>
      <w:r>
        <w:rPr>
          <w:rFonts w:ascii="Times New Roman" w:hAnsi="Times New Roman"/>
          <w:b/>
          <w:sz w:val="23"/>
        </w:rPr>
        <w:t xml:space="preserve">• Human Resource Allocation: </w:t>
      </w:r>
      <w:r>
        <w:rPr>
          <w:rFonts w:ascii="Times New Roman" w:hAnsi="Times New Roman"/>
          <w:sz w:val="23"/>
        </w:rPr>
        <w:t>Collaborative task division covering Frontend SOC UI/UX, NestJS API engineering, FastAPI Machine Learning pipelines, Quality Assurance validation, and academic documentation under the faculty guide Ms. Sheatal Panchal.</w:t>
      </w:r>
    </w:p>
    <w:p>
      <w:pPr>
        <w:spacing w:before="0" w:after="80" w:line="276" w:lineRule="auto"/>
        <w:ind w:left="360"/>
        <w:jc w:val="both"/>
      </w:pPr>
      <w:r>
        <w:rPr>
          <w:rFonts w:ascii="Times New Roman" w:hAnsi="Times New Roman"/>
          <w:b/>
          <w:sz w:val="23"/>
        </w:rPr>
        <w:t xml:space="preserve">• Environmental &amp; Operational Sustainability: </w:t>
      </w:r>
      <w:r>
        <w:rPr>
          <w:rFonts w:ascii="Times New Roman" w:hAnsi="Times New Roman"/>
          <w:sz w:val="23"/>
        </w:rPr>
        <w:t>Cloud-native containerized architecture minimizing server energy footprint, completely paperless audit reporting, and intelligent triage prioritization that prevents wasted analyst investigations.</w:t>
      </w:r>
    </w:p>
    <w:p>
      <w:pPr>
        <w:spacing w:before="0" w:after="80" w:line="276" w:lineRule="auto"/>
        <w:ind w:left="360"/>
        <w:jc w:val="both"/>
      </w:pPr>
      <w:r>
        <w:rPr>
          <w:rFonts w:ascii="Times New Roman" w:hAnsi="Times New Roman"/>
          <w:b/>
          <w:sz w:val="23"/>
        </w:rPr>
        <w:t xml:space="preserve">• Structured SDLC Process: </w:t>
      </w:r>
      <w:r>
        <w:rPr>
          <w:rFonts w:ascii="Times New Roman" w:hAnsi="Times New Roman"/>
          <w:sz w:val="23"/>
        </w:rPr>
        <w:t>Adopted a structured Software Development Life Cycle adhering to six distinct iterative phases: Threat Modeling, System Analysis, System Design, Implementation, Testing &amp; Attack Simulation, and Deployment.</w:t>
      </w:r>
    </w:p>
    <w:p>
      <w:pPr>
        <w:keepNext/>
        <w:spacing w:before="160" w:after="80"/>
        <w:jc w:val="center"/>
      </w:pPr>
      <w:r>
        <w:drawing>
          <wp:inline xmlns:a="http://schemas.openxmlformats.org/drawingml/2006/main" xmlns:pic="http://schemas.openxmlformats.org/drawingml/2006/picture">
            <wp:extent cx="4389120" cy="4389120"/>
            <wp:docPr id="4" name="Picture 4"/>
            <wp:cNvGraphicFramePr>
              <a:graphicFrameLocks noChangeAspect="1"/>
            </wp:cNvGraphicFramePr>
            <a:graphic>
              <a:graphicData uri="http://schemas.openxmlformats.org/drawingml/2006/picture">
                <pic:pic>
                  <pic:nvPicPr>
                    <pic:cNvPr id="0" name="fig_3_1_3_1_sdlc.png"/>
                    <pic:cNvPicPr/>
                  </pic:nvPicPr>
                  <pic:blipFill>
                    <a:blip r:embed="rId11"/>
                    <a:stretch>
                      <a:fillRect/>
                    </a:stretch>
                  </pic:blipFill>
                  <pic:spPr>
                    <a:xfrm>
                      <a:off x="0" y="0"/>
                      <a:ext cx="4389120" cy="4389120"/>
                    </a:xfrm>
                    <a:prstGeom prst="rect"/>
                  </pic:spPr>
                </pic:pic>
              </a:graphicData>
            </a:graphic>
          </wp:inline>
        </w:drawing>
      </w:r>
    </w:p>
    <w:p>
      <w:pPr>
        <w:keepNext/>
        <w:spacing w:before="40" w:after="160"/>
        <w:jc w:val="center"/>
      </w:pPr>
      <w:r>
        <w:rPr>
          <w:rFonts w:ascii="Times New Roman" w:hAnsi="Times New Roman"/>
          <w:b/>
          <w:i/>
          <w:sz w:val="21"/>
        </w:rPr>
        <w:t>Fig. 3.1.3.1: Software Development Life Cycle (SDLC) Process Cycle</w:t>
      </w:r>
    </w:p>
    <w:p>
      <w:pPr>
        <w:keepNext/>
        <w:spacing w:before="280" w:after="80"/>
      </w:pPr>
      <w:r>
        <w:rPr>
          <w:rFonts w:ascii="Times New Roman" w:hAnsi="Times New Roman"/>
          <w:b/>
          <w:sz w:val="28"/>
        </w:rPr>
        <w:t>3.2 PROJECT SCHEDULING</w:t>
      </w:r>
    </w:p>
    <w:p>
      <w:pPr>
        <w:spacing w:before="0" w:after="120" w:line="276" w:lineRule="auto"/>
        <w:jc w:val="both"/>
      </w:pPr>
      <w:r>
        <w:rPr>
          <w:rFonts w:ascii="Times New Roman" w:hAnsi="Times New Roman"/>
          <w:sz w:val="24"/>
        </w:rPr>
        <w:t>Development was divided into 16 academic sprint weeks across distinct functional milestones:</w:t>
      </w:r>
    </w:p>
    <w:p>
      <w:pPr>
        <w:keepNext/>
        <w:spacing w:before="160" w:after="80"/>
        <w:jc w:val="center"/>
      </w:pPr>
      <w:r>
        <w:drawing>
          <wp:inline xmlns:a="http://schemas.openxmlformats.org/drawingml/2006/main" xmlns:pic="http://schemas.openxmlformats.org/drawingml/2006/picture">
            <wp:extent cx="5303520" cy="2624975"/>
            <wp:docPr id="5" name="Picture 5"/>
            <wp:cNvGraphicFramePr>
              <a:graphicFrameLocks noChangeAspect="1"/>
            </wp:cNvGraphicFramePr>
            <a:graphic>
              <a:graphicData uri="http://schemas.openxmlformats.org/drawingml/2006/picture">
                <pic:pic>
                  <pic:nvPicPr>
                    <pic:cNvPr id="0" name="fig_3_2_3_1_gantt.png"/>
                    <pic:cNvPicPr/>
                  </pic:nvPicPr>
                  <pic:blipFill>
                    <a:blip r:embed="rId12"/>
                    <a:stretch>
                      <a:fillRect/>
                    </a:stretch>
                  </pic:blipFill>
                  <pic:spPr>
                    <a:xfrm>
                      <a:off x="0" y="0"/>
                      <a:ext cx="5303520" cy="2624975"/>
                    </a:xfrm>
                    <a:prstGeom prst="rect"/>
                  </pic:spPr>
                </pic:pic>
              </a:graphicData>
            </a:graphic>
          </wp:inline>
        </w:drawing>
      </w:r>
    </w:p>
    <w:p>
      <w:pPr>
        <w:keepNext/>
        <w:spacing w:before="40" w:after="160"/>
        <w:jc w:val="center"/>
      </w:pPr>
      <w:r>
        <w:rPr>
          <w:rFonts w:ascii="Times New Roman" w:hAnsi="Times New Roman"/>
          <w:b/>
          <w:i/>
          <w:sz w:val="21"/>
        </w:rPr>
        <w:t>Fig. 3.2.3.1: Time Allocation Gantt Chart (Weeks 1 to 16)</w:t>
      </w:r>
    </w:p>
    <w:p>
      <w:pPr>
        <w:keepNext/>
        <w:spacing w:before="200" w:after="60"/>
      </w:pPr>
      <w:r>
        <w:rPr>
          <w:rFonts w:ascii="Times New Roman" w:hAnsi="Times New Roman"/>
          <w:b/>
          <w:sz w:val="24"/>
        </w:rPr>
        <w:t>3.2.3.2 Task Sets Breakdown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14"/>
        <w:gridCol w:w="4514"/>
      </w:tblGrid>
      <w:tr>
        <w:trPr>
          <w:tblHeader/>
          <w:cantSplit/>
        </w:trPr>
        <w:tc>
          <w:tcPr>
            <w:tcW w:type="dxa" w:w="3168"/>
            <w:shd w:fill="2B6CB0"/>
            <w:tcMar>
              <w:top w:w="140" w:type="dxa"/>
              <w:bottom w:w="140" w:type="dxa"/>
              <w:left w:w="140" w:type="dxa"/>
              <w:right w:w="140" w:type="dxa"/>
            </w:tcMar>
            <w:vAlign w:val="center"/>
          </w:tcPr>
          <w:p>
            <w:pPr>
              <w:spacing w:before="0" w:after="0"/>
              <w:jc w:val="center"/>
            </w:pPr>
            <w:r>
              <w:rPr>
                <w:rFonts w:ascii="Times New Roman" w:hAnsi="Times New Roman"/>
                <w:b/>
                <w:color w:val="FFFFFF"/>
                <w:sz w:val="21"/>
              </w:rPr>
              <w:t>Project Criteria</w:t>
            </w:r>
          </w:p>
        </w:tc>
        <w:tc>
          <w:tcPr>
            <w:tcW w:type="dxa" w:w="5760"/>
            <w:shd w:fill="2B6CB0"/>
            <w:tcMar>
              <w:top w:w="140" w:type="dxa"/>
              <w:bottom w:w="140" w:type="dxa"/>
              <w:left w:w="140" w:type="dxa"/>
              <w:right w:w="140" w:type="dxa"/>
            </w:tcMar>
            <w:vAlign w:val="center"/>
          </w:tcPr>
          <w:p>
            <w:pPr>
              <w:spacing w:before="0" w:after="0"/>
              <w:jc w:val="center"/>
            </w:pPr>
            <w:r>
              <w:rPr>
                <w:rFonts w:ascii="Times New Roman" w:hAnsi="Times New Roman"/>
                <w:b/>
                <w:color w:val="FFFFFF"/>
                <w:sz w:val="21"/>
              </w:rPr>
              <w:t>Presentation &amp; Deliverables</w:t>
            </w:r>
          </w:p>
        </w:tc>
      </w:tr>
      <w:tr>
        <w:trPr>
          <w:cantSplit/>
        </w:trPr>
        <w:tc>
          <w:tcPr>
            <w:tcW w:type="dxa" w:w="3168"/>
            <w:tcMar>
              <w:top w:w="100" w:type="dxa"/>
              <w:bottom w:w="100" w:type="dxa"/>
              <w:left w:w="140" w:type="dxa"/>
              <w:right w:w="140" w:type="dxa"/>
            </w:tcMar>
            <w:vAlign w:val="center"/>
          </w:tcPr>
          <w:p>
            <w:pPr>
              <w:spacing w:before="0" w:after="0"/>
              <w:jc w:val="left"/>
            </w:pPr>
            <w:r>
              <w:rPr>
                <w:rFonts w:ascii="Times New Roman" w:hAnsi="Times New Roman"/>
                <w:color w:val="0F172A"/>
                <w:sz w:val="20"/>
              </w:rPr>
              <w:t>Pre-Project Discussion</w:t>
            </w:r>
          </w:p>
        </w:tc>
        <w:tc>
          <w:tcPr>
            <w:tcW w:type="dxa" w:w="5760"/>
            <w:tcMar>
              <w:top w:w="100" w:type="dxa"/>
              <w:bottom w:w="100" w:type="dxa"/>
              <w:left w:w="140" w:type="dxa"/>
              <w:right w:w="140" w:type="dxa"/>
            </w:tcMar>
            <w:vAlign w:val="center"/>
          </w:tcPr>
          <w:p>
            <w:pPr>
              <w:spacing w:before="0" w:after="0"/>
              <w:jc w:val="left"/>
            </w:pPr>
            <w:r>
              <w:rPr>
                <w:rFonts w:ascii="Times New Roman" w:hAnsi="Times New Roman"/>
                <w:color w:val="0F172A"/>
                <w:sz w:val="20"/>
              </w:rPr>
              <w:t>Topic selection, cyber threat landscape analysis, and architectural roadmap design.</w:t>
            </w:r>
          </w:p>
        </w:tc>
      </w:tr>
      <w:tr>
        <w:trPr>
          <w:cantSplit/>
        </w:trPr>
        <w:tc>
          <w:tcPr>
            <w:tcW w:type="dxa" w:w="316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Problem Investigation Phase</w:t>
            </w:r>
          </w:p>
        </w:tc>
        <w:tc>
          <w:tcPr>
            <w:tcW w:type="dxa" w:w="5760"/>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Literature survey on SIEM limitations, ML anomaly algorithms, and XAI frameworks.</w:t>
            </w:r>
          </w:p>
        </w:tc>
      </w:tr>
      <w:tr>
        <w:trPr>
          <w:cantSplit/>
        </w:trPr>
        <w:tc>
          <w:tcPr>
            <w:tcW w:type="dxa" w:w="3168"/>
            <w:tcMar>
              <w:top w:w="100" w:type="dxa"/>
              <w:bottom w:w="100" w:type="dxa"/>
              <w:left w:w="140" w:type="dxa"/>
              <w:right w:w="140" w:type="dxa"/>
            </w:tcMar>
            <w:vAlign w:val="center"/>
          </w:tcPr>
          <w:p>
            <w:pPr>
              <w:spacing w:before="0" w:after="0"/>
              <w:jc w:val="left"/>
            </w:pPr>
            <w:r>
              <w:rPr>
                <w:rFonts w:ascii="Times New Roman" w:hAnsi="Times New Roman"/>
                <w:color w:val="0F172A"/>
                <w:sz w:val="20"/>
              </w:rPr>
              <w:t>First Progress Report</w:t>
            </w:r>
          </w:p>
        </w:tc>
        <w:tc>
          <w:tcPr>
            <w:tcW w:type="dxa" w:w="5760"/>
            <w:tcMar>
              <w:top w:w="100" w:type="dxa"/>
              <w:bottom w:w="100" w:type="dxa"/>
              <w:left w:w="140" w:type="dxa"/>
              <w:right w:w="140" w:type="dxa"/>
            </w:tcMar>
            <w:vAlign w:val="center"/>
          </w:tcPr>
          <w:p>
            <w:pPr>
              <w:spacing w:before="0" w:after="0"/>
              <w:jc w:val="left"/>
            </w:pPr>
            <w:r>
              <w:rPr>
                <w:rFonts w:ascii="Times New Roman" w:hAnsi="Times New Roman"/>
                <w:color w:val="0F172A"/>
                <w:sz w:val="20"/>
              </w:rPr>
              <w:t>System requirement specification (SRS), UML design models, and dual-database schemas.</w:t>
            </w:r>
          </w:p>
        </w:tc>
      </w:tr>
      <w:tr>
        <w:trPr>
          <w:cantSplit/>
        </w:trPr>
        <w:tc>
          <w:tcPr>
            <w:tcW w:type="dxa" w:w="316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Second Progress Report</w:t>
            </w:r>
          </w:p>
        </w:tc>
        <w:tc>
          <w:tcPr>
            <w:tcW w:type="dxa" w:w="5760"/>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Core NestJS backend APIs, FastAPI ML microservice, and Docker Compose orchestration.</w:t>
            </w:r>
          </w:p>
        </w:tc>
      </w:tr>
      <w:tr>
        <w:trPr>
          <w:cantSplit/>
        </w:trPr>
        <w:tc>
          <w:tcPr>
            <w:tcW w:type="dxa" w:w="3168"/>
            <w:tcMar>
              <w:top w:w="100" w:type="dxa"/>
              <w:bottom w:w="100" w:type="dxa"/>
              <w:left w:w="140" w:type="dxa"/>
              <w:right w:w="140" w:type="dxa"/>
            </w:tcMar>
            <w:vAlign w:val="center"/>
          </w:tcPr>
          <w:p>
            <w:pPr>
              <w:spacing w:before="0" w:after="0"/>
              <w:jc w:val="left"/>
            </w:pPr>
            <w:r>
              <w:rPr>
                <w:rFonts w:ascii="Times New Roman" w:hAnsi="Times New Roman"/>
                <w:color w:val="0F172A"/>
                <w:sz w:val="20"/>
              </w:rPr>
              <w:t>Initial Project File Checking</w:t>
            </w:r>
          </w:p>
        </w:tc>
        <w:tc>
          <w:tcPr>
            <w:tcW w:type="dxa" w:w="5760"/>
            <w:tcMar>
              <w:top w:w="100" w:type="dxa"/>
              <w:bottom w:w="100" w:type="dxa"/>
              <w:left w:w="140" w:type="dxa"/>
              <w:right w:w="140" w:type="dxa"/>
            </w:tcMar>
            <w:vAlign w:val="center"/>
          </w:tcPr>
          <w:p>
            <w:pPr>
              <w:spacing w:before="0" w:after="0"/>
              <w:jc w:val="left"/>
            </w:pPr>
            <w:r>
              <w:rPr>
                <w:rFonts w:ascii="Times New Roman" w:hAnsi="Times New Roman"/>
                <w:color w:val="0F172A"/>
                <w:sz w:val="20"/>
              </w:rPr>
              <w:t>Next.js 16 SOC frontend, Recharts analytics, Leaflet attack map, and triage queues.</w:t>
            </w:r>
          </w:p>
        </w:tc>
      </w:tr>
      <w:tr>
        <w:trPr>
          <w:cantSplit/>
        </w:trPr>
        <w:tc>
          <w:tcPr>
            <w:tcW w:type="dxa" w:w="316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Internal Presentation &amp; Viva</w:t>
            </w:r>
          </w:p>
        </w:tc>
        <w:tc>
          <w:tcPr>
            <w:tcW w:type="dxa" w:w="5760"/>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End-to-end multi-role live system execution, ML zero-day failover test, and final viva.</w:t>
            </w:r>
          </w:p>
        </w:tc>
      </w:tr>
      <w:tr>
        <w:trPr>
          <w:cantSplit/>
        </w:trPr>
        <w:tc>
          <w:tcPr>
            <w:tcW w:type="dxa" w:w="3168"/>
            <w:tcMar>
              <w:top w:w="100" w:type="dxa"/>
              <w:bottom w:w="100" w:type="dxa"/>
              <w:left w:w="140" w:type="dxa"/>
              <w:right w:w="140" w:type="dxa"/>
            </w:tcMar>
            <w:vAlign w:val="center"/>
          </w:tcPr>
          <w:p>
            <w:pPr>
              <w:spacing w:before="0" w:after="0"/>
              <w:jc w:val="left"/>
            </w:pPr>
            <w:r>
              <w:rPr>
                <w:rFonts w:ascii="Times New Roman" w:hAnsi="Times New Roman"/>
                <w:color w:val="0F172A"/>
                <w:sz w:val="20"/>
              </w:rPr>
              <w:t>Final Documentation</w:t>
            </w:r>
          </w:p>
        </w:tc>
        <w:tc>
          <w:tcPr>
            <w:tcW w:type="dxa" w:w="5760"/>
            <w:tcMar>
              <w:top w:w="100" w:type="dxa"/>
              <w:bottom w:w="100" w:type="dxa"/>
              <w:left w:w="140" w:type="dxa"/>
              <w:right w:w="140" w:type="dxa"/>
            </w:tcMar>
            <w:vAlign w:val="center"/>
          </w:tcPr>
          <w:p>
            <w:pPr>
              <w:spacing w:before="0" w:after="0"/>
              <w:jc w:val="left"/>
            </w:pPr>
            <w:r>
              <w:rPr>
                <w:rFonts w:ascii="Times New Roman" w:hAnsi="Times New Roman"/>
                <w:color w:val="0F172A"/>
                <w:sz w:val="20"/>
              </w:rPr>
              <w:t>Hardcopy academic project report submission following university standards.</w:t>
            </w:r>
          </w:p>
        </w:tc>
      </w:tr>
    </w:tbl>
    <w:p>
      <w:pPr>
        <w:keepNext/>
        <w:spacing w:before="280" w:after="80"/>
      </w:pPr>
      <w:r>
        <w:rPr>
          <w:rFonts w:ascii="Times New Roman" w:hAnsi="Times New Roman"/>
          <w:b/>
          <w:sz w:val="28"/>
        </w:rPr>
        <w:t>3.3 RISK MANAGEMENT</w:t>
      </w:r>
    </w:p>
    <w:p>
      <w:pPr>
        <w:spacing w:before="0" w:after="120" w:line="276" w:lineRule="auto"/>
        <w:jc w:val="both"/>
      </w:pPr>
      <w:r>
        <w:rPr>
          <w:rFonts w:ascii="Times New Roman" w:hAnsi="Times New Roman"/>
          <w:sz w:val="24"/>
        </w:rPr>
        <w:t>Technical and operational uncertainties were systematically cataloged, projected, and mitigated:</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57"/>
        <w:gridCol w:w="2257"/>
        <w:gridCol w:w="2257"/>
        <w:gridCol w:w="2257"/>
      </w:tblGrid>
      <w:tr>
        <w:trPr>
          <w:tblHeader/>
          <w:cantSplit/>
        </w:trPr>
        <w:tc>
          <w:tcPr>
            <w:tcW w:type="dxa" w:w="2592"/>
            <w:shd w:fill="2B6CB0"/>
            <w:tcMar>
              <w:top w:w="140" w:type="dxa"/>
              <w:bottom w:w="140" w:type="dxa"/>
              <w:left w:w="140" w:type="dxa"/>
              <w:right w:w="140" w:type="dxa"/>
            </w:tcMar>
            <w:vAlign w:val="center"/>
          </w:tcPr>
          <w:p>
            <w:pPr>
              <w:spacing w:before="0" w:after="0"/>
              <w:jc w:val="center"/>
            </w:pPr>
            <w:r>
              <w:rPr>
                <w:rFonts w:ascii="Times New Roman" w:hAnsi="Times New Roman"/>
                <w:b/>
                <w:color w:val="FFFFFF"/>
                <w:sz w:val="21"/>
              </w:rPr>
              <w:t>Risk Identified</w:t>
            </w:r>
          </w:p>
        </w:tc>
        <w:tc>
          <w:tcPr>
            <w:tcW w:type="dxa" w:w="1584"/>
            <w:shd w:fill="2B6CB0"/>
            <w:tcMar>
              <w:top w:w="140" w:type="dxa"/>
              <w:bottom w:w="140" w:type="dxa"/>
              <w:left w:w="140" w:type="dxa"/>
              <w:right w:w="140" w:type="dxa"/>
            </w:tcMar>
            <w:vAlign w:val="center"/>
          </w:tcPr>
          <w:p>
            <w:pPr>
              <w:spacing w:before="0" w:after="0"/>
              <w:jc w:val="center"/>
            </w:pPr>
            <w:r>
              <w:rPr>
                <w:rFonts w:ascii="Times New Roman" w:hAnsi="Times New Roman"/>
                <w:b/>
                <w:color w:val="FFFFFF"/>
                <w:sz w:val="21"/>
              </w:rPr>
              <w:t>Probability</w:t>
            </w:r>
          </w:p>
        </w:tc>
        <w:tc>
          <w:tcPr>
            <w:tcW w:type="dxa" w:w="1584"/>
            <w:shd w:fill="2B6CB0"/>
            <w:tcMar>
              <w:top w:w="140" w:type="dxa"/>
              <w:bottom w:w="140" w:type="dxa"/>
              <w:left w:w="140" w:type="dxa"/>
              <w:right w:w="140" w:type="dxa"/>
            </w:tcMar>
            <w:vAlign w:val="center"/>
          </w:tcPr>
          <w:p>
            <w:pPr>
              <w:spacing w:before="0" w:after="0"/>
              <w:jc w:val="center"/>
            </w:pPr>
            <w:r>
              <w:rPr>
                <w:rFonts w:ascii="Times New Roman" w:hAnsi="Times New Roman"/>
                <w:b/>
                <w:color w:val="FFFFFF"/>
                <w:sz w:val="21"/>
              </w:rPr>
              <w:t>Impact Effect</w:t>
            </w:r>
          </w:p>
        </w:tc>
        <w:tc>
          <w:tcPr>
            <w:tcW w:type="dxa" w:w="3168"/>
            <w:shd w:fill="2B6CB0"/>
            <w:tcMar>
              <w:top w:w="140" w:type="dxa"/>
              <w:bottom w:w="140" w:type="dxa"/>
              <w:left w:w="140" w:type="dxa"/>
              <w:right w:w="140" w:type="dxa"/>
            </w:tcMar>
            <w:vAlign w:val="center"/>
          </w:tcPr>
          <w:p>
            <w:pPr>
              <w:spacing w:before="0" w:after="0"/>
              <w:jc w:val="center"/>
            </w:pPr>
            <w:r>
              <w:rPr>
                <w:rFonts w:ascii="Times New Roman" w:hAnsi="Times New Roman"/>
                <w:b/>
                <w:color w:val="FFFFFF"/>
                <w:sz w:val="21"/>
              </w:rPr>
              <w:t>Mitigation Strategy</w:t>
            </w:r>
          </w:p>
        </w:tc>
      </w:tr>
      <w:tr>
        <w:trPr>
          <w:cantSplit/>
        </w:trPr>
        <w:tc>
          <w:tcPr>
            <w:tcW w:type="dxa" w:w="2592"/>
            <w:tcMar>
              <w:top w:w="100" w:type="dxa"/>
              <w:bottom w:w="100" w:type="dxa"/>
              <w:left w:w="140" w:type="dxa"/>
              <w:right w:w="140" w:type="dxa"/>
            </w:tcMar>
            <w:vAlign w:val="center"/>
          </w:tcPr>
          <w:p>
            <w:pPr>
              <w:spacing w:before="0" w:after="0"/>
              <w:jc w:val="left"/>
            </w:pPr>
            <w:r>
              <w:rPr>
                <w:rFonts w:ascii="Times New Roman" w:hAnsi="Times New Roman"/>
                <w:color w:val="0F172A"/>
                <w:sz w:val="20"/>
              </w:rPr>
              <w:t>ML Service Temporary Downtime</w:t>
            </w:r>
          </w:p>
        </w:tc>
        <w:tc>
          <w:tcPr>
            <w:tcW w:type="dxa" w:w="1584"/>
            <w:tcMar>
              <w:top w:w="100" w:type="dxa"/>
              <w:bottom w:w="100" w:type="dxa"/>
              <w:left w:w="140" w:type="dxa"/>
              <w:right w:w="140" w:type="dxa"/>
            </w:tcMar>
            <w:vAlign w:val="center"/>
          </w:tcPr>
          <w:p>
            <w:pPr>
              <w:spacing w:before="0" w:after="0"/>
              <w:jc w:val="left"/>
            </w:pPr>
            <w:r>
              <w:rPr>
                <w:rFonts w:ascii="Times New Roman" w:hAnsi="Times New Roman"/>
                <w:color w:val="0F172A"/>
                <w:sz w:val="20"/>
              </w:rPr>
              <w:t>Medium</w:t>
            </w:r>
          </w:p>
        </w:tc>
        <w:tc>
          <w:tcPr>
            <w:tcW w:type="dxa" w:w="1584"/>
            <w:tcMar>
              <w:top w:w="100" w:type="dxa"/>
              <w:bottom w:w="100" w:type="dxa"/>
              <w:left w:w="140" w:type="dxa"/>
              <w:right w:w="140" w:type="dxa"/>
            </w:tcMar>
            <w:vAlign w:val="center"/>
          </w:tcPr>
          <w:p>
            <w:pPr>
              <w:spacing w:before="0" w:after="0"/>
              <w:jc w:val="left"/>
            </w:pPr>
            <w:r>
              <w:rPr>
                <w:rFonts w:ascii="Times New Roman" w:hAnsi="Times New Roman"/>
                <w:color w:val="0F172A"/>
                <w:sz w:val="20"/>
              </w:rPr>
              <w:t>Moderate</w:t>
            </w:r>
          </w:p>
        </w:tc>
        <w:tc>
          <w:tcPr>
            <w:tcW w:type="dxa" w:w="3168"/>
            <w:tcMar>
              <w:top w:w="100" w:type="dxa"/>
              <w:bottom w:w="100" w:type="dxa"/>
              <w:left w:w="140" w:type="dxa"/>
              <w:right w:w="140" w:type="dxa"/>
            </w:tcMar>
            <w:vAlign w:val="center"/>
          </w:tcPr>
          <w:p>
            <w:pPr>
              <w:spacing w:before="0" w:after="0"/>
              <w:jc w:val="left"/>
            </w:pPr>
            <w:r>
              <w:rPr>
                <w:rFonts w:ascii="Times New Roman" w:hAnsi="Times New Roman"/>
                <w:color w:val="0F172A"/>
                <w:sz w:val="20"/>
              </w:rPr>
              <w:t>NestJS BullMQ worker catches HTTP timeout, queues job with exponential backoff, and marks log with fallback heuristic score.</w:t>
            </w:r>
          </w:p>
        </w:tc>
      </w:tr>
      <w:tr>
        <w:trPr>
          <w:cantSplit/>
        </w:trPr>
        <w:tc>
          <w:tcPr>
            <w:tcW w:type="dxa" w:w="2592"/>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Massive Concurrent Log Flood</w:t>
            </w:r>
          </w:p>
        </w:tc>
        <w:tc>
          <w:tcPr>
            <w:tcW w:type="dxa" w:w="1584"/>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High</w:t>
            </w:r>
          </w:p>
        </w:tc>
        <w:tc>
          <w:tcPr>
            <w:tcW w:type="dxa" w:w="1584"/>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High</w:t>
            </w:r>
          </w:p>
        </w:tc>
        <w:tc>
          <w:tcPr>
            <w:tcW w:type="dxa" w:w="316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BullMQ distributed Redis queue buffers burst traffic; MongoDB performs non-blocking batched bulk inserts.</w:t>
            </w:r>
          </w:p>
        </w:tc>
      </w:tr>
      <w:tr>
        <w:trPr>
          <w:cantSplit/>
        </w:trPr>
        <w:tc>
          <w:tcPr>
            <w:tcW w:type="dxa" w:w="2592"/>
            <w:tcMar>
              <w:top w:w="100" w:type="dxa"/>
              <w:bottom w:w="100" w:type="dxa"/>
              <w:left w:w="140" w:type="dxa"/>
              <w:right w:w="140" w:type="dxa"/>
            </w:tcMar>
            <w:vAlign w:val="center"/>
          </w:tcPr>
          <w:p>
            <w:pPr>
              <w:spacing w:before="0" w:after="0"/>
              <w:jc w:val="left"/>
            </w:pPr>
            <w:r>
              <w:rPr>
                <w:rFonts w:ascii="Times New Roman" w:hAnsi="Times New Roman"/>
                <w:color w:val="0F172A"/>
                <w:sz w:val="20"/>
              </w:rPr>
              <w:t>Model Classification Drift</w:t>
            </w:r>
          </w:p>
        </w:tc>
        <w:tc>
          <w:tcPr>
            <w:tcW w:type="dxa" w:w="1584"/>
            <w:tcMar>
              <w:top w:w="100" w:type="dxa"/>
              <w:bottom w:w="100" w:type="dxa"/>
              <w:left w:w="140" w:type="dxa"/>
              <w:right w:w="140" w:type="dxa"/>
            </w:tcMar>
            <w:vAlign w:val="center"/>
          </w:tcPr>
          <w:p>
            <w:pPr>
              <w:spacing w:before="0" w:after="0"/>
              <w:jc w:val="left"/>
            </w:pPr>
            <w:r>
              <w:rPr>
                <w:rFonts w:ascii="Times New Roman" w:hAnsi="Times New Roman"/>
                <w:color w:val="0F172A"/>
                <w:sz w:val="20"/>
              </w:rPr>
              <w:t>Medium</w:t>
            </w:r>
          </w:p>
        </w:tc>
        <w:tc>
          <w:tcPr>
            <w:tcW w:type="dxa" w:w="1584"/>
            <w:tcMar>
              <w:top w:w="100" w:type="dxa"/>
              <w:bottom w:w="100" w:type="dxa"/>
              <w:left w:w="140" w:type="dxa"/>
              <w:right w:w="140" w:type="dxa"/>
            </w:tcMar>
            <w:vAlign w:val="center"/>
          </w:tcPr>
          <w:p>
            <w:pPr>
              <w:spacing w:before="0" w:after="0"/>
              <w:jc w:val="left"/>
            </w:pPr>
            <w:r>
              <w:rPr>
                <w:rFonts w:ascii="Times New Roman" w:hAnsi="Times New Roman"/>
                <w:color w:val="0F172A"/>
                <w:sz w:val="20"/>
              </w:rPr>
              <w:t>Moderate</w:t>
            </w:r>
          </w:p>
        </w:tc>
        <w:tc>
          <w:tcPr>
            <w:tcW w:type="dxa" w:w="3168"/>
            <w:tcMar>
              <w:top w:w="100" w:type="dxa"/>
              <w:bottom w:w="100" w:type="dxa"/>
              <w:left w:w="140" w:type="dxa"/>
              <w:right w:w="140" w:type="dxa"/>
            </w:tcMar>
            <w:vAlign w:val="center"/>
          </w:tcPr>
          <w:p>
            <w:pPr>
              <w:spacing w:before="0" w:after="0"/>
              <w:jc w:val="left"/>
            </w:pPr>
            <w:r>
              <w:rPr>
                <w:rFonts w:ascii="Times New Roman" w:hAnsi="Times New Roman"/>
                <w:color w:val="0F172A"/>
                <w:sz w:val="20"/>
              </w:rPr>
              <w:t>Retraining pipeline tracks silhouette scores and decision thresholds; alerts trigger when feature distribution drifts.</w:t>
            </w:r>
          </w:p>
        </w:tc>
      </w:tr>
      <w:tr>
        <w:trPr>
          <w:cantSplit/>
        </w:trPr>
        <w:tc>
          <w:tcPr>
            <w:tcW w:type="dxa" w:w="2592"/>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Unauthorized Privilege Escalation</w:t>
            </w:r>
          </w:p>
        </w:tc>
        <w:tc>
          <w:tcPr>
            <w:tcW w:type="dxa" w:w="1584"/>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Low</w:t>
            </w:r>
          </w:p>
        </w:tc>
        <w:tc>
          <w:tcPr>
            <w:tcW w:type="dxa" w:w="1584"/>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Severe</w:t>
            </w:r>
          </w:p>
        </w:tc>
        <w:tc>
          <w:tcPr>
            <w:tcW w:type="dxa" w:w="316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Strict JWT role-based access control (RBAC) and NestJS RolesGuard enforce least privilege across all API endpoints.</w:t>
            </w:r>
          </w:p>
        </w:tc>
      </w:tr>
      <w:tr>
        <w:trPr>
          <w:cantSplit/>
        </w:trPr>
        <w:tc>
          <w:tcPr>
            <w:tcW w:type="dxa" w:w="2592"/>
            <w:tcMar>
              <w:top w:w="100" w:type="dxa"/>
              <w:bottom w:w="100" w:type="dxa"/>
              <w:left w:w="140" w:type="dxa"/>
              <w:right w:w="140" w:type="dxa"/>
            </w:tcMar>
            <w:vAlign w:val="center"/>
          </w:tcPr>
          <w:p>
            <w:pPr>
              <w:spacing w:before="0" w:after="0"/>
              <w:jc w:val="left"/>
            </w:pPr>
            <w:r>
              <w:rPr>
                <w:rFonts w:ascii="Times New Roman" w:hAnsi="Times New Roman"/>
                <w:color w:val="0F172A"/>
                <w:sz w:val="20"/>
              </w:rPr>
              <w:t>Black-Box Analyst Distrust</w:t>
            </w:r>
          </w:p>
        </w:tc>
        <w:tc>
          <w:tcPr>
            <w:tcW w:type="dxa" w:w="1584"/>
            <w:tcMar>
              <w:top w:w="100" w:type="dxa"/>
              <w:bottom w:w="100" w:type="dxa"/>
              <w:left w:w="140" w:type="dxa"/>
              <w:right w:w="140" w:type="dxa"/>
            </w:tcMar>
            <w:vAlign w:val="center"/>
          </w:tcPr>
          <w:p>
            <w:pPr>
              <w:spacing w:before="0" w:after="0"/>
              <w:jc w:val="left"/>
            </w:pPr>
            <w:r>
              <w:rPr>
                <w:rFonts w:ascii="Times New Roman" w:hAnsi="Times New Roman"/>
                <w:color w:val="0F172A"/>
                <w:sz w:val="20"/>
              </w:rPr>
              <w:t>Medium</w:t>
            </w:r>
          </w:p>
        </w:tc>
        <w:tc>
          <w:tcPr>
            <w:tcW w:type="dxa" w:w="1584"/>
            <w:tcMar>
              <w:top w:w="100" w:type="dxa"/>
              <w:bottom w:w="100" w:type="dxa"/>
              <w:left w:w="140" w:type="dxa"/>
              <w:right w:w="140" w:type="dxa"/>
            </w:tcMar>
            <w:vAlign w:val="center"/>
          </w:tcPr>
          <w:p>
            <w:pPr>
              <w:spacing w:before="0" w:after="0"/>
              <w:jc w:val="left"/>
            </w:pPr>
            <w:r>
              <w:rPr>
                <w:rFonts w:ascii="Times New Roman" w:hAnsi="Times New Roman"/>
                <w:color w:val="0F172A"/>
                <w:sz w:val="20"/>
              </w:rPr>
              <w:t>Moderate</w:t>
            </w:r>
          </w:p>
        </w:tc>
        <w:tc>
          <w:tcPr>
            <w:tcW w:type="dxa" w:w="3168"/>
            <w:tcMar>
              <w:top w:w="100" w:type="dxa"/>
              <w:bottom w:w="100" w:type="dxa"/>
              <w:left w:w="140" w:type="dxa"/>
              <w:right w:w="140" w:type="dxa"/>
            </w:tcMar>
            <w:vAlign w:val="center"/>
          </w:tcPr>
          <w:p>
            <w:pPr>
              <w:spacing w:before="0" w:after="0"/>
              <w:jc w:val="left"/>
            </w:pPr>
            <w:r>
              <w:rPr>
                <w:rFonts w:ascii="Times New Roman" w:hAnsi="Times New Roman"/>
                <w:color w:val="0F172A"/>
                <w:sz w:val="20"/>
              </w:rPr>
              <w:t>SHAP TreeExplainer generates human-readable feature contribution summaries for every critical alert.</w:t>
            </w:r>
          </w:p>
        </w:tc>
      </w:tr>
    </w:tbl>
    <w:p>
      <w:r>
        <w:br w:type="page"/>
      </w:r>
    </w:p>
    <w:p>
      <w:pPr>
        <w:spacing w:before="280" w:after="80"/>
        <w:jc w:val="center"/>
      </w:pPr>
      <w:r>
        <w:rPr>
          <w:rFonts w:ascii="Times New Roman" w:hAnsi="Times New Roman"/>
          <w:b/>
          <w:sz w:val="36"/>
        </w:rPr>
        <w:t>CHAPTER 4</w:t>
      </w:r>
    </w:p>
    <w:p>
      <w:pPr>
        <w:spacing w:before="0" w:after="320"/>
        <w:jc w:val="center"/>
      </w:pPr>
      <w:r>
        <w:rPr>
          <w:rFonts w:ascii="Times New Roman" w:hAnsi="Times New Roman"/>
          <w:b/>
          <w:sz w:val="36"/>
        </w:rPr>
        <w:t>SYSTEM REQUIREMENTS</w:t>
      </w:r>
    </w:p>
    <w:p>
      <w:pPr>
        <w:spacing w:before="0" w:after="60"/>
        <w:ind w:left="288"/>
      </w:pPr>
      <w:r>
        <w:rPr>
          <w:rFonts w:ascii="Times New Roman" w:hAnsi="Times New Roman"/>
          <w:b/>
          <w:sz w:val="24"/>
        </w:rPr>
        <w:t>●  USER CHARACTERISTICS</w:t>
      </w:r>
    </w:p>
    <w:p>
      <w:pPr>
        <w:spacing w:before="0" w:after="60"/>
        <w:ind w:left="288"/>
      </w:pPr>
      <w:r>
        <w:rPr>
          <w:rFonts w:ascii="Times New Roman" w:hAnsi="Times New Roman"/>
          <w:b/>
          <w:sz w:val="24"/>
        </w:rPr>
        <w:t>●  FUNCTIONAL REQUIREMENT</w:t>
      </w:r>
    </w:p>
    <w:p>
      <w:pPr>
        <w:spacing w:before="0" w:after="60"/>
        <w:ind w:left="288"/>
      </w:pPr>
      <w:r>
        <w:rPr>
          <w:rFonts w:ascii="Times New Roman" w:hAnsi="Times New Roman"/>
          <w:b/>
          <w:sz w:val="24"/>
        </w:rPr>
        <w:t>●  NON FUNCTIONAL REQUIREMENT</w:t>
      </w:r>
    </w:p>
    <w:p>
      <w:pPr>
        <w:spacing w:before="0" w:after="60"/>
        <w:ind w:left="288"/>
      </w:pPr>
      <w:r>
        <w:rPr>
          <w:rFonts w:ascii="Times New Roman" w:hAnsi="Times New Roman"/>
          <w:b/>
          <w:sz w:val="24"/>
        </w:rPr>
        <w:t>●  HARDWARE AND SOFTWARE REQUIREMENT</w:t>
      </w:r>
    </w:p>
    <w:p>
      <w:pPr>
        <w:spacing w:before="120" w:after="120"/>
      </w:pPr>
    </w:p>
    <w:p>
      <w:pPr>
        <w:keepNext/>
        <w:spacing w:before="280" w:after="80"/>
      </w:pPr>
      <w:r>
        <w:rPr>
          <w:rFonts w:ascii="Times New Roman" w:hAnsi="Times New Roman"/>
          <w:b/>
          <w:sz w:val="28"/>
        </w:rPr>
        <w:t>4.1 USER CHARACTERISTICS</w:t>
      </w:r>
    </w:p>
    <w:p>
      <w:pPr>
        <w:spacing w:before="0" w:after="80" w:line="276" w:lineRule="auto"/>
        <w:ind w:left="360"/>
        <w:jc w:val="both"/>
      </w:pPr>
      <w:r>
        <w:rPr>
          <w:rFonts w:ascii="Times New Roman" w:hAnsi="Times New Roman"/>
          <w:b/>
          <w:sz w:val="23"/>
        </w:rPr>
        <w:t xml:space="preserve">• 1. Security Analyst (Frontline SOC): </w:t>
      </w:r>
      <w:r>
        <w:rPr>
          <w:rFonts w:ascii="Times New Roman" w:hAnsi="Times New Roman"/>
          <w:sz w:val="23"/>
        </w:rPr>
        <w:t>Cybersecurity personnel responsible for reviewing live threat streams, inspecting suspicious security logs, investigating alerts, and executing IP containment actions.</w:t>
      </w:r>
    </w:p>
    <w:p>
      <w:pPr>
        <w:spacing w:before="0" w:after="80" w:line="276" w:lineRule="auto"/>
        <w:ind w:left="360"/>
        <w:jc w:val="both"/>
      </w:pPr>
      <w:r>
        <w:rPr>
          <w:rFonts w:ascii="Times New Roman" w:hAnsi="Times New Roman"/>
          <w:b/>
          <w:sz w:val="23"/>
        </w:rPr>
        <w:t xml:space="preserve">• 2. Threat Intelligence Lead / Auditor: </w:t>
      </w:r>
      <w:r>
        <w:rPr>
          <w:rFonts w:ascii="Times New Roman" w:hAnsi="Times New Roman"/>
          <w:sz w:val="23"/>
        </w:rPr>
        <w:t>Senior intelligence specialists examining attack forecasting trends, analyzing MITRE ATT&amp;CK tactic progressions, reviewing threat origin geography, and compiling audit reports.</w:t>
      </w:r>
    </w:p>
    <w:p>
      <w:pPr>
        <w:spacing w:before="0" w:after="80" w:line="276" w:lineRule="auto"/>
        <w:ind w:left="360"/>
        <w:jc w:val="both"/>
      </w:pPr>
      <w:r>
        <w:rPr>
          <w:rFonts w:ascii="Times New Roman" w:hAnsi="Times New Roman"/>
          <w:b/>
          <w:sz w:val="23"/>
        </w:rPr>
        <w:t xml:space="preserve">• 3. System Administrator: </w:t>
      </w:r>
      <w:r>
        <w:rPr>
          <w:rFonts w:ascii="Times New Roman" w:hAnsi="Times New Roman"/>
          <w:sz w:val="23"/>
        </w:rPr>
        <w:t>Enterprise IT administrators overseeing user accounts, configuring role assignments (Viewer, Analyst, Admin), managing database connections, and triggering ML model retraining.</w:t>
      </w:r>
    </w:p>
    <w:p>
      <w:pPr>
        <w:keepNext/>
        <w:spacing w:before="280" w:after="80"/>
      </w:pPr>
      <w:r>
        <w:rPr>
          <w:rFonts w:ascii="Times New Roman" w:hAnsi="Times New Roman"/>
          <w:b/>
          <w:sz w:val="28"/>
        </w:rPr>
        <w:t>4.2 FUNCTIONAL REQUIREMENT</w:t>
      </w:r>
    </w:p>
    <w:p>
      <w:pPr>
        <w:spacing w:before="0" w:after="80" w:line="276" w:lineRule="auto"/>
        <w:ind w:left="360"/>
        <w:jc w:val="both"/>
      </w:pPr>
      <w:r>
        <w:rPr>
          <w:rFonts w:ascii="Times New Roman" w:hAnsi="Times New Roman"/>
          <w:b/>
          <w:sz w:val="23"/>
        </w:rPr>
        <w:t xml:space="preserve">• User Authentication &amp; Access Control: </w:t>
      </w:r>
      <w:r>
        <w:rPr>
          <w:rFonts w:ascii="Times New Roman" w:hAnsi="Times New Roman"/>
          <w:sz w:val="23"/>
        </w:rPr>
        <w:t>JWT-based registration, login, and token refreshment with bcrypt 12-round password hashing and least-privilege role-based routing.</w:t>
      </w:r>
    </w:p>
    <w:p>
      <w:pPr>
        <w:spacing w:before="0" w:after="80" w:line="276" w:lineRule="auto"/>
        <w:ind w:left="360"/>
        <w:jc w:val="both"/>
      </w:pPr>
      <w:r>
        <w:rPr>
          <w:rFonts w:ascii="Times New Roman" w:hAnsi="Times New Roman"/>
          <w:b/>
          <w:sz w:val="23"/>
        </w:rPr>
        <w:t xml:space="preserve">• Security Log Ingestion &amp; Querying: </w:t>
      </w:r>
      <w:r>
        <w:rPr>
          <w:rFonts w:ascii="Times New Roman" w:hAnsi="Times New Roman"/>
          <w:sz w:val="23"/>
        </w:rPr>
        <w:t>Ingest single and batch security log payloads containing timestamps, IP addresses, ports, protocol types, severities, actions, and raw payloads with sub-20ms acknowledgment.</w:t>
      </w:r>
    </w:p>
    <w:p>
      <w:pPr>
        <w:spacing w:before="0" w:after="80" w:line="276" w:lineRule="auto"/>
        <w:ind w:left="360"/>
        <w:jc w:val="both"/>
      </w:pPr>
      <w:r>
        <w:rPr>
          <w:rFonts w:ascii="Times New Roman" w:hAnsi="Times New Roman"/>
          <w:b/>
          <w:sz w:val="23"/>
        </w:rPr>
        <w:t xml:space="preserve">• Unsupervised Machine Learning Threat Scoring: </w:t>
      </w:r>
      <w:r>
        <w:rPr>
          <w:rFonts w:ascii="Times New Roman" w:hAnsi="Times New Roman"/>
          <w:sz w:val="23"/>
        </w:rPr>
        <w:t>Microservice executing Isolation Forest (200 trees) and One-Class SVM to produce normalized anomaly scores and composite 0-100 risk values.</w:t>
      </w:r>
    </w:p>
    <w:p>
      <w:pPr>
        <w:spacing w:before="0" w:after="80" w:line="276" w:lineRule="auto"/>
        <w:ind w:left="360"/>
        <w:jc w:val="both"/>
      </w:pPr>
      <w:r>
        <w:rPr>
          <w:rFonts w:ascii="Times New Roman" w:hAnsi="Times New Roman"/>
          <w:b/>
          <w:sz w:val="23"/>
        </w:rPr>
        <w:t xml:space="preserve">• Explainable AI (XAI) Attribution: </w:t>
      </w:r>
      <w:r>
        <w:rPr>
          <w:rFonts w:ascii="Times New Roman" w:hAnsi="Times New Roman"/>
          <w:sz w:val="23"/>
        </w:rPr>
        <w:t>SHAP-based feature importance breakdown showing positive and negative contributors to an anomaly score with heuristic fallback reasoning.</w:t>
      </w:r>
    </w:p>
    <w:p>
      <w:pPr>
        <w:spacing w:before="0" w:after="80" w:line="276" w:lineRule="auto"/>
        <w:ind w:left="360"/>
        <w:jc w:val="both"/>
      </w:pPr>
      <w:r>
        <w:rPr>
          <w:rFonts w:ascii="Times New Roman" w:hAnsi="Times New Roman"/>
          <w:b/>
          <w:sz w:val="23"/>
        </w:rPr>
        <w:t xml:space="preserve">• Incident Alert Triage &amp; Lifecycle Tracking: </w:t>
      </w:r>
      <w:r>
        <w:rPr>
          <w:rFonts w:ascii="Times New Roman" w:hAnsi="Times New Roman"/>
          <w:sz w:val="23"/>
        </w:rPr>
        <w:t>Automated alert creation for threat scores &gt;= 60 with full status lifecycle support (NEW ➔ INVESTIGATING ➔ RESOLVED ➔ FALSE_POSITIVE).</w:t>
      </w:r>
    </w:p>
    <w:p>
      <w:pPr>
        <w:spacing w:before="0" w:after="80" w:line="276" w:lineRule="auto"/>
        <w:ind w:left="360"/>
        <w:jc w:val="both"/>
      </w:pPr>
      <w:r>
        <w:rPr>
          <w:rFonts w:ascii="Times New Roman" w:hAnsi="Times New Roman"/>
          <w:b/>
          <w:sz w:val="23"/>
        </w:rPr>
        <w:t xml:space="preserve">• Attack Progression Forecasting: </w:t>
      </w:r>
      <w:r>
        <w:rPr>
          <w:rFonts w:ascii="Times New Roman" w:hAnsi="Times New Roman"/>
          <w:sz w:val="23"/>
        </w:rPr>
        <w:t>Statistical multi-stage attack sequence detector correlating event patterns against MITRE ATT&amp;CK tactics with confidence percentages.</w:t>
      </w:r>
    </w:p>
    <w:p>
      <w:pPr>
        <w:spacing w:before="0" w:after="80" w:line="276" w:lineRule="auto"/>
        <w:ind w:left="360"/>
        <w:jc w:val="both"/>
      </w:pPr>
      <w:r>
        <w:rPr>
          <w:rFonts w:ascii="Times New Roman" w:hAnsi="Times New Roman"/>
          <w:b/>
          <w:sz w:val="23"/>
        </w:rPr>
        <w:t xml:space="preserve">• Global Geospatial Threat Telemetry: </w:t>
      </w:r>
      <w:r>
        <w:rPr>
          <w:rFonts w:ascii="Times New Roman" w:hAnsi="Times New Roman"/>
          <w:sz w:val="23"/>
        </w:rPr>
        <w:t>Interactive Leaflet world map plotting source IP attack origins, cluster intensities, and attack routes.</w:t>
      </w:r>
    </w:p>
    <w:p>
      <w:pPr>
        <w:spacing w:before="0" w:after="80" w:line="276" w:lineRule="auto"/>
        <w:ind w:left="360"/>
        <w:jc w:val="both"/>
      </w:pPr>
      <w:r>
        <w:rPr>
          <w:rFonts w:ascii="Times New Roman" w:hAnsi="Times New Roman"/>
          <w:b/>
          <w:sz w:val="23"/>
        </w:rPr>
        <w:t xml:space="preserve">• Executive Reporting &amp; Audit Trails: </w:t>
      </w:r>
      <w:r>
        <w:rPr>
          <w:rFonts w:ascii="Times New Roman" w:hAnsi="Times New Roman"/>
          <w:sz w:val="23"/>
        </w:rPr>
        <w:t>Comprehensive SOC metric dashboards, 30-day threat trend charts, downloadable compliance reports, and immutable audit logs.</w:t>
      </w:r>
    </w:p>
    <w:p>
      <w:pPr>
        <w:keepNext/>
        <w:spacing w:before="280" w:after="80"/>
      </w:pPr>
      <w:r>
        <w:rPr>
          <w:rFonts w:ascii="Times New Roman" w:hAnsi="Times New Roman"/>
          <w:b/>
          <w:sz w:val="28"/>
        </w:rPr>
        <w:t>4.3 NON-FUNCTIONAL REQUIREMENT</w:t>
      </w:r>
    </w:p>
    <w:p>
      <w:pPr>
        <w:spacing w:before="0" w:after="80" w:line="276" w:lineRule="auto"/>
        <w:ind w:left="360"/>
        <w:jc w:val="both"/>
      </w:pPr>
      <w:r>
        <w:rPr>
          <w:rFonts w:ascii="Times New Roman" w:hAnsi="Times New Roman"/>
          <w:b/>
          <w:sz w:val="23"/>
        </w:rPr>
        <w:t xml:space="preserve">• Performance &amp; Latency: </w:t>
      </w:r>
      <w:r>
        <w:rPr>
          <w:rFonts w:ascii="Times New Roman" w:hAnsi="Times New Roman"/>
          <w:sz w:val="23"/>
        </w:rPr>
        <w:t>API ingestion response &lt; 20ms; ML inference latency &lt; 100ms per batch; frontend initial dashboard render &lt; 1.0s.</w:t>
      </w:r>
    </w:p>
    <w:p>
      <w:pPr>
        <w:spacing w:before="0" w:after="80" w:line="276" w:lineRule="auto"/>
        <w:ind w:left="360"/>
        <w:jc w:val="both"/>
      </w:pPr>
      <w:r>
        <w:rPr>
          <w:rFonts w:ascii="Times New Roman" w:hAnsi="Times New Roman"/>
          <w:b/>
          <w:sz w:val="23"/>
        </w:rPr>
        <w:t xml:space="preserve">• Reliability &amp; Graceful Degradation: </w:t>
      </w:r>
      <w:r>
        <w:rPr>
          <w:rFonts w:ascii="Times New Roman" w:hAnsi="Times New Roman"/>
          <w:sz w:val="23"/>
        </w:rPr>
        <w:t>99.9% uptime. If the Python ML microservice becomes unavailable, log ingestion continues uninterrupted while jobs wait in Redis queue.</w:t>
      </w:r>
    </w:p>
    <w:p>
      <w:pPr>
        <w:spacing w:before="0" w:after="80" w:line="276" w:lineRule="auto"/>
        <w:ind w:left="360"/>
        <w:jc w:val="both"/>
      </w:pPr>
      <w:r>
        <w:rPr>
          <w:rFonts w:ascii="Times New Roman" w:hAnsi="Times New Roman"/>
          <w:b/>
          <w:sz w:val="23"/>
        </w:rPr>
        <w:t xml:space="preserve">• Security &amp; Data Protection: </w:t>
      </w:r>
      <w:r>
        <w:rPr>
          <w:rFonts w:ascii="Times New Roman" w:hAnsi="Times New Roman"/>
          <w:sz w:val="23"/>
        </w:rPr>
        <w:t>Bcrypt password hashing, short-lived JWT access tokens (15m) paired with rotating refresh tokens (7d), CORS whitelisting, and SQL injection prevention via Prisma ORM.</w:t>
      </w:r>
    </w:p>
    <w:p>
      <w:pPr>
        <w:spacing w:before="0" w:after="80" w:line="276" w:lineRule="auto"/>
        <w:ind w:left="360"/>
        <w:jc w:val="both"/>
      </w:pPr>
      <w:r>
        <w:rPr>
          <w:rFonts w:ascii="Times New Roman" w:hAnsi="Times New Roman"/>
          <w:b/>
          <w:sz w:val="23"/>
        </w:rPr>
        <w:t xml:space="preserve">• Usability &amp; Accessibility: </w:t>
      </w:r>
      <w:r>
        <w:rPr>
          <w:rFonts w:ascii="Times New Roman" w:hAnsi="Times New Roman"/>
          <w:sz w:val="23"/>
        </w:rPr>
        <w:t>Dark-mode Security Operations Center interface built with high-contrast WCAG 2.1 compliant tokens and responsive desktop/tablet layouts.</w:t>
      </w:r>
    </w:p>
    <w:p>
      <w:pPr>
        <w:keepNext/>
        <w:spacing w:before="280" w:after="80"/>
      </w:pPr>
      <w:r>
        <w:rPr>
          <w:rFonts w:ascii="Times New Roman" w:hAnsi="Times New Roman"/>
          <w:b/>
          <w:sz w:val="28"/>
        </w:rPr>
        <w:t>4.4 HARDWARE AND SOFTWARE REQUIREMENT</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010"/>
        <w:gridCol w:w="3010"/>
        <w:gridCol w:w="3010"/>
      </w:tblGrid>
      <w:tr>
        <w:trPr>
          <w:tblHeader/>
          <w:cantSplit/>
        </w:trPr>
        <w:tc>
          <w:tcPr>
            <w:tcW w:type="dxa" w:w="2592"/>
            <w:shd w:fill="2B6CB0"/>
            <w:tcMar>
              <w:top w:w="140" w:type="dxa"/>
              <w:bottom w:w="140" w:type="dxa"/>
              <w:left w:w="140" w:type="dxa"/>
              <w:right w:w="140" w:type="dxa"/>
            </w:tcMar>
            <w:vAlign w:val="center"/>
          </w:tcPr>
          <w:p>
            <w:pPr>
              <w:spacing w:before="0" w:after="0"/>
              <w:jc w:val="center"/>
            </w:pPr>
            <w:r>
              <w:rPr>
                <w:rFonts w:ascii="Times New Roman" w:hAnsi="Times New Roman"/>
                <w:b/>
                <w:color w:val="FFFFFF"/>
                <w:sz w:val="21"/>
              </w:rPr>
              <w:t>Resource Category</w:t>
            </w:r>
          </w:p>
        </w:tc>
        <w:tc>
          <w:tcPr>
            <w:tcW w:type="dxa" w:w="2592"/>
            <w:shd w:fill="2B6CB0"/>
            <w:tcMar>
              <w:top w:w="140" w:type="dxa"/>
              <w:bottom w:w="140" w:type="dxa"/>
              <w:left w:w="140" w:type="dxa"/>
              <w:right w:w="140" w:type="dxa"/>
            </w:tcMar>
            <w:vAlign w:val="center"/>
          </w:tcPr>
          <w:p>
            <w:pPr>
              <w:spacing w:before="0" w:after="0"/>
              <w:jc w:val="center"/>
            </w:pPr>
            <w:r>
              <w:rPr>
                <w:rFonts w:ascii="Times New Roman" w:hAnsi="Times New Roman"/>
                <w:b/>
                <w:color w:val="FFFFFF"/>
                <w:sz w:val="21"/>
              </w:rPr>
              <w:t>Component</w:t>
            </w:r>
          </w:p>
        </w:tc>
        <w:tc>
          <w:tcPr>
            <w:tcW w:type="dxa" w:w="3744"/>
            <w:shd w:fill="2B6CB0"/>
            <w:tcMar>
              <w:top w:w="140" w:type="dxa"/>
              <w:bottom w:w="140" w:type="dxa"/>
              <w:left w:w="140" w:type="dxa"/>
              <w:right w:w="140" w:type="dxa"/>
            </w:tcMar>
            <w:vAlign w:val="center"/>
          </w:tcPr>
          <w:p>
            <w:pPr>
              <w:spacing w:before="0" w:after="0"/>
              <w:jc w:val="center"/>
            </w:pPr>
            <w:r>
              <w:rPr>
                <w:rFonts w:ascii="Times New Roman" w:hAnsi="Times New Roman"/>
                <w:b/>
                <w:color w:val="FFFFFF"/>
                <w:sz w:val="21"/>
              </w:rPr>
              <w:t>Recommended Specification</w:t>
            </w:r>
          </w:p>
        </w:tc>
      </w:tr>
      <w:tr>
        <w:trPr>
          <w:cantSplit/>
        </w:trPr>
        <w:tc>
          <w:tcPr>
            <w:tcW w:type="dxa" w:w="2592"/>
            <w:tcMar>
              <w:top w:w="100" w:type="dxa"/>
              <w:bottom w:w="100" w:type="dxa"/>
              <w:left w:w="140" w:type="dxa"/>
              <w:right w:w="140" w:type="dxa"/>
            </w:tcMar>
            <w:vAlign w:val="center"/>
          </w:tcPr>
          <w:p>
            <w:pPr>
              <w:spacing w:before="0" w:after="0"/>
              <w:jc w:val="center"/>
            </w:pPr>
            <w:r>
              <w:rPr>
                <w:rFonts w:ascii="Times New Roman" w:hAnsi="Times New Roman"/>
                <w:color w:val="0F172A"/>
                <w:sz w:val="20"/>
              </w:rPr>
              <w:t>Hardware</w:t>
            </w:r>
          </w:p>
        </w:tc>
        <w:tc>
          <w:tcPr>
            <w:tcW w:type="dxa" w:w="2592"/>
            <w:tcMar>
              <w:top w:w="100" w:type="dxa"/>
              <w:bottom w:w="100" w:type="dxa"/>
              <w:left w:w="140" w:type="dxa"/>
              <w:right w:w="140" w:type="dxa"/>
            </w:tcMar>
            <w:vAlign w:val="center"/>
          </w:tcPr>
          <w:p>
            <w:pPr>
              <w:spacing w:before="0" w:after="0"/>
              <w:jc w:val="left"/>
            </w:pPr>
            <w:r>
              <w:rPr>
                <w:rFonts w:ascii="Times New Roman" w:hAnsi="Times New Roman"/>
                <w:color w:val="0F172A"/>
                <w:sz w:val="20"/>
              </w:rPr>
              <w:t>Processor</w:t>
            </w:r>
          </w:p>
        </w:tc>
        <w:tc>
          <w:tcPr>
            <w:tcW w:type="dxa" w:w="3744"/>
            <w:tcMar>
              <w:top w:w="100" w:type="dxa"/>
              <w:bottom w:w="100" w:type="dxa"/>
              <w:left w:w="140" w:type="dxa"/>
              <w:right w:w="140" w:type="dxa"/>
            </w:tcMar>
            <w:vAlign w:val="center"/>
          </w:tcPr>
          <w:p>
            <w:pPr>
              <w:spacing w:before="0" w:after="0"/>
              <w:jc w:val="left"/>
            </w:pPr>
            <w:r>
              <w:rPr>
                <w:rFonts w:ascii="Times New Roman" w:hAnsi="Times New Roman"/>
                <w:color w:val="0F172A"/>
                <w:sz w:val="20"/>
              </w:rPr>
              <w:t>Intel Core i5 / AMD Ryzen 5 or higher (Quad-Core minimum)</w:t>
            </w:r>
          </w:p>
        </w:tc>
      </w:tr>
      <w:tr>
        <w:trPr>
          <w:cantSplit/>
        </w:trPr>
        <w:tc>
          <w:tcPr>
            <w:tcW w:type="dxa" w:w="2592"/>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Hardware</w:t>
            </w:r>
          </w:p>
        </w:tc>
        <w:tc>
          <w:tcPr>
            <w:tcW w:type="dxa" w:w="2592"/>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Memory (RAM)</w:t>
            </w:r>
          </w:p>
        </w:tc>
        <w:tc>
          <w:tcPr>
            <w:tcW w:type="dxa" w:w="3744"/>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8 GB RAM minimum (16 GB recommended for full Docker stack)</w:t>
            </w:r>
          </w:p>
        </w:tc>
      </w:tr>
      <w:tr>
        <w:trPr>
          <w:cantSplit/>
        </w:trPr>
        <w:tc>
          <w:tcPr>
            <w:tcW w:type="dxa" w:w="2592"/>
            <w:tcMar>
              <w:top w:w="100" w:type="dxa"/>
              <w:bottom w:w="100" w:type="dxa"/>
              <w:left w:w="140" w:type="dxa"/>
              <w:right w:w="140" w:type="dxa"/>
            </w:tcMar>
            <w:vAlign w:val="center"/>
          </w:tcPr>
          <w:p>
            <w:pPr>
              <w:spacing w:before="0" w:after="0"/>
              <w:jc w:val="center"/>
            </w:pPr>
            <w:r>
              <w:rPr>
                <w:rFonts w:ascii="Times New Roman" w:hAnsi="Times New Roman"/>
                <w:color w:val="0F172A"/>
                <w:sz w:val="20"/>
              </w:rPr>
              <w:t>Hardware</w:t>
            </w:r>
          </w:p>
        </w:tc>
        <w:tc>
          <w:tcPr>
            <w:tcW w:type="dxa" w:w="2592"/>
            <w:tcMar>
              <w:top w:w="100" w:type="dxa"/>
              <w:bottom w:w="100" w:type="dxa"/>
              <w:left w:w="140" w:type="dxa"/>
              <w:right w:w="140" w:type="dxa"/>
            </w:tcMar>
            <w:vAlign w:val="center"/>
          </w:tcPr>
          <w:p>
            <w:pPr>
              <w:spacing w:before="0" w:after="0"/>
              <w:jc w:val="left"/>
            </w:pPr>
            <w:r>
              <w:rPr>
                <w:rFonts w:ascii="Times New Roman" w:hAnsi="Times New Roman"/>
                <w:color w:val="0F172A"/>
                <w:sz w:val="20"/>
              </w:rPr>
              <w:t>Storage</w:t>
            </w:r>
          </w:p>
        </w:tc>
        <w:tc>
          <w:tcPr>
            <w:tcW w:type="dxa" w:w="3744"/>
            <w:tcMar>
              <w:top w:w="100" w:type="dxa"/>
              <w:bottom w:w="100" w:type="dxa"/>
              <w:left w:w="140" w:type="dxa"/>
              <w:right w:w="140" w:type="dxa"/>
            </w:tcMar>
            <w:vAlign w:val="center"/>
          </w:tcPr>
          <w:p>
            <w:pPr>
              <w:spacing w:before="0" w:after="0"/>
              <w:jc w:val="left"/>
            </w:pPr>
            <w:r>
              <w:rPr>
                <w:rFonts w:ascii="Times New Roman" w:hAnsi="Times New Roman"/>
                <w:color w:val="0F172A"/>
                <w:sz w:val="20"/>
              </w:rPr>
              <w:t>256 GB SSD with at least 15 GB free space for database volumes</w:t>
            </w:r>
          </w:p>
        </w:tc>
      </w:tr>
      <w:tr>
        <w:trPr>
          <w:cantSplit/>
        </w:trPr>
        <w:tc>
          <w:tcPr>
            <w:tcW w:type="dxa" w:w="2592"/>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Software</w:t>
            </w:r>
          </w:p>
        </w:tc>
        <w:tc>
          <w:tcPr>
            <w:tcW w:type="dxa" w:w="2592"/>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Operating System</w:t>
            </w:r>
          </w:p>
        </w:tc>
        <w:tc>
          <w:tcPr>
            <w:tcW w:type="dxa" w:w="3744"/>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Windows 10/11 (64-bit), Linux (Ubuntu 22.04 LTS), macOS</w:t>
            </w:r>
          </w:p>
        </w:tc>
      </w:tr>
      <w:tr>
        <w:trPr>
          <w:cantSplit/>
        </w:trPr>
        <w:tc>
          <w:tcPr>
            <w:tcW w:type="dxa" w:w="2592"/>
            <w:tcMar>
              <w:top w:w="100" w:type="dxa"/>
              <w:bottom w:w="100" w:type="dxa"/>
              <w:left w:w="140" w:type="dxa"/>
              <w:right w:w="140" w:type="dxa"/>
            </w:tcMar>
            <w:vAlign w:val="center"/>
          </w:tcPr>
          <w:p>
            <w:pPr>
              <w:spacing w:before="0" w:after="0"/>
              <w:jc w:val="center"/>
            </w:pPr>
            <w:r>
              <w:rPr>
                <w:rFonts w:ascii="Times New Roman" w:hAnsi="Times New Roman"/>
                <w:color w:val="0F172A"/>
                <w:sz w:val="20"/>
              </w:rPr>
              <w:t>Software</w:t>
            </w:r>
          </w:p>
        </w:tc>
        <w:tc>
          <w:tcPr>
            <w:tcW w:type="dxa" w:w="2592"/>
            <w:tcMar>
              <w:top w:w="100" w:type="dxa"/>
              <w:bottom w:w="100" w:type="dxa"/>
              <w:left w:w="140" w:type="dxa"/>
              <w:right w:w="140" w:type="dxa"/>
            </w:tcMar>
            <w:vAlign w:val="center"/>
          </w:tcPr>
          <w:p>
            <w:pPr>
              <w:spacing w:before="0" w:after="0"/>
              <w:jc w:val="left"/>
            </w:pPr>
            <w:r>
              <w:rPr>
                <w:rFonts w:ascii="Times New Roman" w:hAnsi="Times New Roman"/>
                <w:color w:val="0F172A"/>
                <w:sz w:val="20"/>
              </w:rPr>
              <w:t>Frontend Runtime</w:t>
            </w:r>
          </w:p>
        </w:tc>
        <w:tc>
          <w:tcPr>
            <w:tcW w:type="dxa" w:w="3744"/>
            <w:tcMar>
              <w:top w:w="100" w:type="dxa"/>
              <w:bottom w:w="100" w:type="dxa"/>
              <w:left w:w="140" w:type="dxa"/>
              <w:right w:w="140" w:type="dxa"/>
            </w:tcMar>
            <w:vAlign w:val="center"/>
          </w:tcPr>
          <w:p>
            <w:pPr>
              <w:spacing w:before="0" w:after="0"/>
              <w:jc w:val="left"/>
            </w:pPr>
            <w:r>
              <w:rPr>
                <w:rFonts w:ascii="Times New Roman" w:hAnsi="Times New Roman"/>
                <w:color w:val="0F172A"/>
                <w:sz w:val="20"/>
              </w:rPr>
              <w:t>Node.js v20+, Next.js 16.2, React 19.2, Tailwind CSS 4</w:t>
            </w:r>
          </w:p>
        </w:tc>
      </w:tr>
      <w:tr>
        <w:trPr>
          <w:cantSplit/>
        </w:trPr>
        <w:tc>
          <w:tcPr>
            <w:tcW w:type="dxa" w:w="2592"/>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Software</w:t>
            </w:r>
          </w:p>
        </w:tc>
        <w:tc>
          <w:tcPr>
            <w:tcW w:type="dxa" w:w="2592"/>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Backend Framework</w:t>
            </w:r>
          </w:p>
        </w:tc>
        <w:tc>
          <w:tcPr>
            <w:tcW w:type="dxa" w:w="3744"/>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NestJS 11 LTS, TypeScript 5.7, Prisma ORM v6</w:t>
            </w:r>
          </w:p>
        </w:tc>
      </w:tr>
      <w:tr>
        <w:trPr>
          <w:cantSplit/>
        </w:trPr>
        <w:tc>
          <w:tcPr>
            <w:tcW w:type="dxa" w:w="2592"/>
            <w:tcMar>
              <w:top w:w="100" w:type="dxa"/>
              <w:bottom w:w="100" w:type="dxa"/>
              <w:left w:w="140" w:type="dxa"/>
              <w:right w:w="140" w:type="dxa"/>
            </w:tcMar>
            <w:vAlign w:val="center"/>
          </w:tcPr>
          <w:p>
            <w:pPr>
              <w:spacing w:before="0" w:after="0"/>
              <w:jc w:val="center"/>
            </w:pPr>
            <w:r>
              <w:rPr>
                <w:rFonts w:ascii="Times New Roman" w:hAnsi="Times New Roman"/>
                <w:color w:val="0F172A"/>
                <w:sz w:val="20"/>
              </w:rPr>
              <w:t>Software</w:t>
            </w:r>
          </w:p>
        </w:tc>
        <w:tc>
          <w:tcPr>
            <w:tcW w:type="dxa" w:w="2592"/>
            <w:tcMar>
              <w:top w:w="100" w:type="dxa"/>
              <w:bottom w:w="100" w:type="dxa"/>
              <w:left w:w="140" w:type="dxa"/>
              <w:right w:w="140" w:type="dxa"/>
            </w:tcMar>
            <w:vAlign w:val="center"/>
          </w:tcPr>
          <w:p>
            <w:pPr>
              <w:spacing w:before="0" w:after="0"/>
              <w:jc w:val="left"/>
            </w:pPr>
            <w:r>
              <w:rPr>
                <w:rFonts w:ascii="Times New Roman" w:hAnsi="Times New Roman"/>
                <w:color w:val="0F172A"/>
                <w:sz w:val="20"/>
              </w:rPr>
              <w:t>AI Microservice</w:t>
            </w:r>
          </w:p>
        </w:tc>
        <w:tc>
          <w:tcPr>
            <w:tcW w:type="dxa" w:w="3744"/>
            <w:tcMar>
              <w:top w:w="100" w:type="dxa"/>
              <w:bottom w:w="100" w:type="dxa"/>
              <w:left w:w="140" w:type="dxa"/>
              <w:right w:w="140" w:type="dxa"/>
            </w:tcMar>
            <w:vAlign w:val="center"/>
          </w:tcPr>
          <w:p>
            <w:pPr>
              <w:spacing w:before="0" w:after="0"/>
              <w:jc w:val="left"/>
            </w:pPr>
            <w:r>
              <w:rPr>
                <w:rFonts w:ascii="Times New Roman" w:hAnsi="Times New Roman"/>
                <w:color w:val="0F172A"/>
                <w:sz w:val="20"/>
              </w:rPr>
              <w:t>Python 3.11+, FastAPI 0.115, Scikit-Learn 1.6, SHAP 0.46</w:t>
            </w:r>
          </w:p>
        </w:tc>
      </w:tr>
      <w:tr>
        <w:trPr>
          <w:cantSplit/>
        </w:trPr>
        <w:tc>
          <w:tcPr>
            <w:tcW w:type="dxa" w:w="2592"/>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Software</w:t>
            </w:r>
          </w:p>
        </w:tc>
        <w:tc>
          <w:tcPr>
            <w:tcW w:type="dxa" w:w="2592"/>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Databases &amp; Queue</w:t>
            </w:r>
          </w:p>
        </w:tc>
        <w:tc>
          <w:tcPr>
            <w:tcW w:type="dxa" w:w="3744"/>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PostgreSQL 16, MongoDB 7, Redis 7, BullMQ</w:t>
            </w:r>
          </w:p>
        </w:tc>
      </w:tr>
      <w:tr>
        <w:trPr>
          <w:cantSplit/>
        </w:trPr>
        <w:tc>
          <w:tcPr>
            <w:tcW w:type="dxa" w:w="2592"/>
            <w:tcMar>
              <w:top w:w="100" w:type="dxa"/>
              <w:bottom w:w="100" w:type="dxa"/>
              <w:left w:w="140" w:type="dxa"/>
              <w:right w:w="140" w:type="dxa"/>
            </w:tcMar>
            <w:vAlign w:val="center"/>
          </w:tcPr>
          <w:p>
            <w:pPr>
              <w:spacing w:before="0" w:after="0"/>
              <w:jc w:val="center"/>
            </w:pPr>
            <w:r>
              <w:rPr>
                <w:rFonts w:ascii="Times New Roman" w:hAnsi="Times New Roman"/>
                <w:color w:val="0F172A"/>
                <w:sz w:val="20"/>
              </w:rPr>
              <w:t>Software</w:t>
            </w:r>
          </w:p>
        </w:tc>
        <w:tc>
          <w:tcPr>
            <w:tcW w:type="dxa" w:w="2592"/>
            <w:tcMar>
              <w:top w:w="100" w:type="dxa"/>
              <w:bottom w:w="100" w:type="dxa"/>
              <w:left w:w="140" w:type="dxa"/>
              <w:right w:w="140" w:type="dxa"/>
            </w:tcMar>
            <w:vAlign w:val="center"/>
          </w:tcPr>
          <w:p>
            <w:pPr>
              <w:spacing w:before="0" w:after="0"/>
              <w:jc w:val="left"/>
            </w:pPr>
            <w:r>
              <w:rPr>
                <w:rFonts w:ascii="Times New Roman" w:hAnsi="Times New Roman"/>
                <w:color w:val="0F172A"/>
                <w:sz w:val="20"/>
              </w:rPr>
              <w:t>Web Browser</w:t>
            </w:r>
          </w:p>
        </w:tc>
        <w:tc>
          <w:tcPr>
            <w:tcW w:type="dxa" w:w="3744"/>
            <w:tcMar>
              <w:top w:w="100" w:type="dxa"/>
              <w:bottom w:w="100" w:type="dxa"/>
              <w:left w:w="140" w:type="dxa"/>
              <w:right w:w="140" w:type="dxa"/>
            </w:tcMar>
            <w:vAlign w:val="center"/>
          </w:tcPr>
          <w:p>
            <w:pPr>
              <w:spacing w:before="0" w:after="0"/>
              <w:jc w:val="left"/>
            </w:pPr>
            <w:r>
              <w:rPr>
                <w:rFonts w:ascii="Times New Roman" w:hAnsi="Times New Roman"/>
                <w:color w:val="0F172A"/>
                <w:sz w:val="20"/>
              </w:rPr>
              <w:t>Google Chrome, Microsoft Edge, Mozilla Firefox (Modern Evergreen)</w:t>
            </w:r>
          </w:p>
        </w:tc>
      </w:tr>
    </w:tbl>
    <w:p>
      <w:r>
        <w:br w:type="page"/>
      </w:r>
    </w:p>
    <w:p>
      <w:pPr>
        <w:spacing w:before="280" w:after="80"/>
        <w:jc w:val="center"/>
      </w:pPr>
      <w:r>
        <w:rPr>
          <w:rFonts w:ascii="Times New Roman" w:hAnsi="Times New Roman"/>
          <w:b/>
          <w:sz w:val="36"/>
        </w:rPr>
        <w:t>CHAPTER 5</w:t>
      </w:r>
    </w:p>
    <w:p>
      <w:pPr>
        <w:spacing w:before="0" w:after="320"/>
        <w:jc w:val="center"/>
      </w:pPr>
      <w:r>
        <w:rPr>
          <w:rFonts w:ascii="Times New Roman" w:hAnsi="Times New Roman"/>
          <w:b/>
          <w:sz w:val="36"/>
        </w:rPr>
        <w:t>SYSTEM ANALYSIS</w:t>
      </w:r>
    </w:p>
    <w:p>
      <w:pPr>
        <w:spacing w:before="0" w:after="60"/>
        <w:ind w:left="288"/>
      </w:pPr>
      <w:r>
        <w:rPr>
          <w:rFonts w:ascii="Times New Roman" w:hAnsi="Times New Roman"/>
          <w:b/>
          <w:sz w:val="24"/>
        </w:rPr>
        <w:t>●  STUDY OF CURRENT SYSTEM</w:t>
      </w:r>
    </w:p>
    <w:p>
      <w:pPr>
        <w:spacing w:before="0" w:after="60"/>
        <w:ind w:left="288"/>
      </w:pPr>
      <w:r>
        <w:rPr>
          <w:rFonts w:ascii="Times New Roman" w:hAnsi="Times New Roman"/>
          <w:b/>
          <w:sz w:val="24"/>
        </w:rPr>
        <w:t>●  PROBLEMS IN CURRENT SYSTEM</w:t>
      </w:r>
    </w:p>
    <w:p>
      <w:pPr>
        <w:spacing w:before="0" w:after="60"/>
        <w:ind w:left="288"/>
      </w:pPr>
      <w:r>
        <w:rPr>
          <w:rFonts w:ascii="Times New Roman" w:hAnsi="Times New Roman"/>
          <w:b/>
          <w:sz w:val="24"/>
        </w:rPr>
        <w:t>●  REQUIREMENT OF NEW SYSTEM</w:t>
      </w:r>
    </w:p>
    <w:p>
      <w:pPr>
        <w:spacing w:before="0" w:after="60"/>
        <w:ind w:left="288"/>
      </w:pPr>
      <w:r>
        <w:rPr>
          <w:rFonts w:ascii="Times New Roman" w:hAnsi="Times New Roman"/>
          <w:b/>
          <w:sz w:val="24"/>
        </w:rPr>
        <w:t>●  PROCESS MODEL</w:t>
      </w:r>
    </w:p>
    <w:p>
      <w:pPr>
        <w:spacing w:before="0" w:after="60"/>
        <w:ind w:left="288"/>
      </w:pPr>
      <w:r>
        <w:rPr>
          <w:rFonts w:ascii="Times New Roman" w:hAnsi="Times New Roman"/>
          <w:b/>
          <w:sz w:val="24"/>
        </w:rPr>
        <w:t>●  FEASIBILITY STUDY</w:t>
      </w:r>
    </w:p>
    <w:p>
      <w:pPr>
        <w:spacing w:before="120" w:after="120"/>
      </w:pPr>
    </w:p>
    <w:p>
      <w:pPr>
        <w:keepNext/>
        <w:spacing w:before="280" w:after="80"/>
      </w:pPr>
      <w:r>
        <w:rPr>
          <w:rFonts w:ascii="Times New Roman" w:hAnsi="Times New Roman"/>
          <w:b/>
          <w:sz w:val="28"/>
        </w:rPr>
        <w:t>5.1 STUDY OF CURRENT SYSTEM</w:t>
      </w:r>
    </w:p>
    <w:p>
      <w:pPr>
        <w:spacing w:before="0" w:after="120" w:line="276" w:lineRule="auto"/>
        <w:jc w:val="both"/>
      </w:pPr>
      <w:r>
        <w:rPr>
          <w:rFonts w:ascii="Times New Roman" w:hAnsi="Times New Roman"/>
          <w:sz w:val="24"/>
        </w:rPr>
        <w:t>In prevailing enterprise security architectures, threat detection relies on traditional SIEM deployments (e.g., standard syslog aggregators, legacy relational databases, and static signature rules). When security events occur, rule engines perform literal string matches or threshold counts (e.g., 'flag if failed logins &gt; 5 in 60s'). Analysts must manually review sprawling flat tables, pivot between disjointed portals to inspect firewall and server logs, and manually construct threat timelines without predictive context.</w:t>
      </w:r>
    </w:p>
    <w:p>
      <w:pPr>
        <w:keepNext/>
        <w:spacing w:before="280" w:after="80"/>
      </w:pPr>
      <w:r>
        <w:rPr>
          <w:rFonts w:ascii="Times New Roman" w:hAnsi="Times New Roman"/>
          <w:b/>
          <w:sz w:val="28"/>
        </w:rPr>
        <w:t>5.2 PROBLEMS IN CURRENT SYSTEM</w:t>
      </w:r>
    </w:p>
    <w:p>
      <w:pPr>
        <w:spacing w:before="0" w:after="80" w:line="276" w:lineRule="auto"/>
        <w:ind w:left="360"/>
        <w:jc w:val="both"/>
      </w:pPr>
      <w:r>
        <w:rPr>
          <w:rFonts w:ascii="Times New Roman" w:hAnsi="Times New Roman"/>
          <w:b/>
          <w:sz w:val="23"/>
        </w:rPr>
        <w:t xml:space="preserve">• Overwhelming Alert Fatigue: </w:t>
      </w:r>
      <w:r>
        <w:rPr>
          <w:rFonts w:ascii="Times New Roman" w:hAnsi="Times New Roman"/>
          <w:sz w:val="23"/>
        </w:rPr>
        <w:t>Security teams are inundated with thousands of false alerts daily due to rigid thresholding that cannot distinguish benign surges from true attacks.</w:t>
      </w:r>
    </w:p>
    <w:p>
      <w:pPr>
        <w:spacing w:before="0" w:after="80" w:line="276" w:lineRule="auto"/>
        <w:ind w:left="360"/>
        <w:jc w:val="both"/>
      </w:pPr>
      <w:r>
        <w:rPr>
          <w:rFonts w:ascii="Times New Roman" w:hAnsi="Times New Roman"/>
          <w:b/>
          <w:sz w:val="23"/>
        </w:rPr>
        <w:t xml:space="preserve">• Zero-Day Invisibility: </w:t>
      </w:r>
      <w:r>
        <w:rPr>
          <w:rFonts w:ascii="Times New Roman" w:hAnsi="Times New Roman"/>
          <w:sz w:val="23"/>
        </w:rPr>
        <w:t>Signature-based detection is blind to novel zero-day attacks, polymorphic malware, and stealthy low-and-slow reconnaissance that evade static signatures.</w:t>
      </w:r>
    </w:p>
    <w:p>
      <w:pPr>
        <w:spacing w:before="0" w:after="80" w:line="276" w:lineRule="auto"/>
        <w:ind w:left="360"/>
        <w:jc w:val="both"/>
      </w:pPr>
      <w:r>
        <w:rPr>
          <w:rFonts w:ascii="Times New Roman" w:hAnsi="Times New Roman"/>
          <w:b/>
          <w:sz w:val="23"/>
        </w:rPr>
        <w:t xml:space="preserve">• Black-Box Machine Learning Gap: </w:t>
      </w:r>
      <w:r>
        <w:rPr>
          <w:rFonts w:ascii="Times New Roman" w:hAnsi="Times New Roman"/>
          <w:sz w:val="23"/>
        </w:rPr>
        <w:t>Existing AI add-ons provide opaque risk scores without explaining the contributing features, leaving analysts unable to verify or act on recommendations.</w:t>
      </w:r>
    </w:p>
    <w:p>
      <w:pPr>
        <w:spacing w:before="0" w:after="80" w:line="276" w:lineRule="auto"/>
        <w:ind w:left="360"/>
        <w:jc w:val="both"/>
      </w:pPr>
      <w:r>
        <w:rPr>
          <w:rFonts w:ascii="Times New Roman" w:hAnsi="Times New Roman"/>
          <w:b/>
          <w:sz w:val="23"/>
        </w:rPr>
        <w:t xml:space="preserve">• Disjointed Threat Context: </w:t>
      </w:r>
      <w:r>
        <w:rPr>
          <w:rFonts w:ascii="Times New Roman" w:hAnsi="Times New Roman"/>
          <w:sz w:val="23"/>
        </w:rPr>
        <w:t>Raw logs, alert tickets, geolocation metadata, and user accounts reside in isolated data silos, prolonging mean-time-to-resolution (MTTR) to days.</w:t>
      </w:r>
    </w:p>
    <w:p>
      <w:pPr>
        <w:keepNext/>
        <w:spacing w:before="280" w:after="80"/>
      </w:pPr>
      <w:r>
        <w:rPr>
          <w:rFonts w:ascii="Times New Roman" w:hAnsi="Times New Roman"/>
          <w:b/>
          <w:sz w:val="28"/>
        </w:rPr>
        <w:t>5.3 REQUIREMENT OF NEW SYSTEM</w:t>
      </w:r>
    </w:p>
    <w:p>
      <w:pPr>
        <w:spacing w:before="0" w:after="120" w:line="276" w:lineRule="auto"/>
        <w:jc w:val="both"/>
      </w:pPr>
      <w:r>
        <w:rPr>
          <w:rFonts w:ascii="Times New Roman" w:hAnsi="Times New Roman"/>
          <w:sz w:val="24"/>
        </w:rPr>
        <w:t>The proposed CyberShield-AI platform replaces manual friction with an autonomous, unified cloud architecture: instantaneous log ingestion via Redis queues, unsupervised ensemble ML anomaly scoring, SHAP-powered explainable attribution, multi-stage attack forecasting mapped to MITRE ATT&amp;CK, interactive geospatial attack mapping, and centralized SOC triage dashboards.</w:t>
      </w:r>
    </w:p>
    <w:p>
      <w:pPr>
        <w:keepNext/>
        <w:spacing w:before="280" w:after="80"/>
      </w:pPr>
      <w:r>
        <w:rPr>
          <w:rFonts w:ascii="Times New Roman" w:hAnsi="Times New Roman"/>
          <w:b/>
          <w:sz w:val="28"/>
        </w:rPr>
        <w:t>5.4 PROCESS MODEL</w:t>
      </w:r>
    </w:p>
    <w:p>
      <w:pPr>
        <w:spacing w:before="0" w:after="120" w:line="276" w:lineRule="auto"/>
        <w:jc w:val="both"/>
      </w:pPr>
      <w:r>
        <w:rPr>
          <w:rFonts w:ascii="Times New Roman" w:hAnsi="Times New Roman"/>
          <w:sz w:val="24"/>
        </w:rPr>
        <w:t>The project adopted the Spiral Model due to its risk-driven, iterative nature. High-risk elements—such as unsupervised model convergence, SHAP calculation latency on high-throughput streams, dual-database synchronicity between MongoDB and PostgreSQL, and microservice container orchestration—were prototyped, tested, and refined across successive development spirals:</w:t>
      </w:r>
    </w:p>
    <w:p>
      <w:pPr>
        <w:keepNext/>
        <w:spacing w:before="160" w:after="80"/>
        <w:jc w:val="center"/>
      </w:pPr>
      <w:r>
        <w:drawing>
          <wp:inline xmlns:a="http://schemas.openxmlformats.org/drawingml/2006/main" xmlns:pic="http://schemas.openxmlformats.org/drawingml/2006/picture">
            <wp:extent cx="4389120" cy="3833535"/>
            <wp:docPr id="6" name="Picture 6"/>
            <wp:cNvGraphicFramePr>
              <a:graphicFrameLocks noChangeAspect="1"/>
            </wp:cNvGraphicFramePr>
            <a:graphic>
              <a:graphicData uri="http://schemas.openxmlformats.org/drawingml/2006/picture">
                <pic:pic>
                  <pic:nvPicPr>
                    <pic:cNvPr id="0" name="fig_5_4_1_spiral.png"/>
                    <pic:cNvPicPr/>
                  </pic:nvPicPr>
                  <pic:blipFill>
                    <a:blip r:embed="rId13"/>
                    <a:stretch>
                      <a:fillRect/>
                    </a:stretch>
                  </pic:blipFill>
                  <pic:spPr>
                    <a:xfrm>
                      <a:off x="0" y="0"/>
                      <a:ext cx="4389120" cy="3833535"/>
                    </a:xfrm>
                    <a:prstGeom prst="rect"/>
                  </pic:spPr>
                </pic:pic>
              </a:graphicData>
            </a:graphic>
          </wp:inline>
        </w:drawing>
      </w:r>
    </w:p>
    <w:p>
      <w:pPr>
        <w:keepNext/>
        <w:spacing w:before="40" w:after="160"/>
        <w:jc w:val="center"/>
      </w:pPr>
      <w:r>
        <w:rPr>
          <w:rFonts w:ascii="Times New Roman" w:hAnsi="Times New Roman"/>
          <w:b/>
          <w:i/>
          <w:sz w:val="21"/>
        </w:rPr>
        <w:t>Fig. 5.4.1: Spiral Model Process Methodology</w:t>
      </w:r>
    </w:p>
    <w:p>
      <w:pPr>
        <w:keepNext/>
        <w:spacing w:before="280" w:after="80"/>
      </w:pPr>
      <w:r>
        <w:rPr>
          <w:rFonts w:ascii="Times New Roman" w:hAnsi="Times New Roman"/>
          <w:b/>
          <w:sz w:val="28"/>
        </w:rPr>
        <w:t>5.5 FEASIBILITY STUDY</w:t>
      </w:r>
    </w:p>
    <w:p>
      <w:pPr>
        <w:spacing w:before="0" w:after="80" w:line="276" w:lineRule="auto"/>
        <w:ind w:left="360"/>
        <w:jc w:val="both"/>
      </w:pPr>
      <w:r>
        <w:rPr>
          <w:rFonts w:ascii="Times New Roman" w:hAnsi="Times New Roman"/>
          <w:b/>
          <w:sz w:val="23"/>
        </w:rPr>
        <w:t xml:space="preserve">• Technical Feasibility: </w:t>
      </w:r>
      <w:r>
        <w:rPr>
          <w:rFonts w:ascii="Times New Roman" w:hAnsi="Times New Roman"/>
          <w:sz w:val="23"/>
        </w:rPr>
        <w:t>Built entirely on proven, enterprise-grade open-source technologies (Next.js 16, NestJS 11, FastAPI, Scikit-Learn, PostgreSQL, MongoDB, Redis) supported by extensive documentation and active global communities.</w:t>
      </w:r>
    </w:p>
    <w:p>
      <w:pPr>
        <w:spacing w:before="0" w:after="80" w:line="276" w:lineRule="auto"/>
        <w:ind w:left="360"/>
        <w:jc w:val="both"/>
      </w:pPr>
      <w:r>
        <w:rPr>
          <w:rFonts w:ascii="Times New Roman" w:hAnsi="Times New Roman"/>
          <w:b/>
          <w:sz w:val="23"/>
        </w:rPr>
        <w:t xml:space="preserve">• Operational Feasibility: </w:t>
      </w:r>
      <w:r>
        <w:rPr>
          <w:rFonts w:ascii="Times New Roman" w:hAnsi="Times New Roman"/>
          <w:sz w:val="23"/>
        </w:rPr>
        <w:t>Intuitive, dark-mode SOC interface requiring minimal analyst onboarding. Frontline operators can triage alerts, inspect SHAP reasons, and block IPs with single-click simplicity.</w:t>
      </w:r>
    </w:p>
    <w:p>
      <w:pPr>
        <w:spacing w:before="0" w:after="80" w:line="276" w:lineRule="auto"/>
        <w:ind w:left="360"/>
        <w:jc w:val="both"/>
      </w:pPr>
      <w:r>
        <w:rPr>
          <w:rFonts w:ascii="Times New Roman" w:hAnsi="Times New Roman"/>
          <w:b/>
          <w:sz w:val="23"/>
        </w:rPr>
        <w:t xml:space="preserve">• Economic Feasibility: </w:t>
      </w:r>
      <w:r>
        <w:rPr>
          <w:rFonts w:ascii="Times New Roman" w:hAnsi="Times New Roman"/>
          <w:sz w:val="23"/>
        </w:rPr>
        <w:t>Engineered completely with open-source frameworks and libraries, eliminating expensive per-gigabyte SIEM licensing fees and enterprise tool subscriptions.</w:t>
      </w:r>
    </w:p>
    <w:p>
      <w:pPr>
        <w:spacing w:before="0" w:after="80" w:line="276" w:lineRule="auto"/>
        <w:ind w:left="360"/>
        <w:jc w:val="both"/>
      </w:pPr>
      <w:r>
        <w:rPr>
          <w:rFonts w:ascii="Times New Roman" w:hAnsi="Times New Roman"/>
          <w:b/>
          <w:sz w:val="23"/>
        </w:rPr>
        <w:t xml:space="preserve">• Schedule Feasibility: </w:t>
      </w:r>
      <w:r>
        <w:rPr>
          <w:rFonts w:ascii="Times New Roman" w:hAnsi="Times New Roman"/>
          <w:sz w:val="23"/>
        </w:rPr>
        <w:t>All 16 sprint deliverables were achieved strictly within the university academic calendar timeline through rigorous phase-gated execution.</w:t>
      </w:r>
    </w:p>
    <w:p>
      <w:r>
        <w:br w:type="page"/>
      </w:r>
    </w:p>
    <w:p>
      <w:pPr>
        <w:spacing w:before="280" w:after="80"/>
        <w:jc w:val="center"/>
      </w:pPr>
      <w:r>
        <w:rPr>
          <w:rFonts w:ascii="Times New Roman" w:hAnsi="Times New Roman"/>
          <w:b/>
          <w:sz w:val="36"/>
        </w:rPr>
        <w:t>CHAPTER 6</w:t>
      </w:r>
    </w:p>
    <w:p>
      <w:pPr>
        <w:spacing w:before="0" w:after="320"/>
        <w:jc w:val="center"/>
      </w:pPr>
      <w:r>
        <w:rPr>
          <w:rFonts w:ascii="Times New Roman" w:hAnsi="Times New Roman"/>
          <w:b/>
          <w:sz w:val="36"/>
        </w:rPr>
        <w:t>DETAIL DESCRIPTION</w:t>
      </w:r>
    </w:p>
    <w:p>
      <w:pPr>
        <w:spacing w:before="0" w:after="60"/>
        <w:ind w:left="288"/>
      </w:pPr>
      <w:r>
        <w:rPr>
          <w:rFonts w:ascii="Times New Roman" w:hAnsi="Times New Roman"/>
          <w:b/>
          <w:sz w:val="24"/>
        </w:rPr>
        <w:t>●  CORE SECURITY &amp; SOC ANALYST OPERATIONS</w:t>
      </w:r>
    </w:p>
    <w:p>
      <w:pPr>
        <w:spacing w:before="0" w:after="60"/>
        <w:ind w:left="288"/>
      </w:pPr>
      <w:r>
        <w:rPr>
          <w:rFonts w:ascii="Times New Roman" w:hAnsi="Times New Roman"/>
          <w:b/>
          <w:sz w:val="24"/>
        </w:rPr>
        <w:t>●  EXECUTIVE REPORTING &amp; INCIDENT INTELLIGENCE</w:t>
      </w:r>
    </w:p>
    <w:p>
      <w:pPr>
        <w:spacing w:before="0" w:after="60"/>
        <w:ind w:left="288"/>
      </w:pPr>
      <w:r>
        <w:rPr>
          <w:rFonts w:ascii="Times New Roman" w:hAnsi="Times New Roman"/>
          <w:b/>
          <w:sz w:val="24"/>
        </w:rPr>
        <w:t>●  CENTRAL ADMINISTRATOR MODULE</w:t>
      </w:r>
    </w:p>
    <w:p>
      <w:pPr>
        <w:spacing w:before="120" w:after="120"/>
      </w:pPr>
    </w:p>
    <w:p>
      <w:pPr>
        <w:keepNext/>
        <w:spacing w:before="280" w:after="80"/>
      </w:pPr>
      <w:r>
        <w:rPr>
          <w:rFonts w:ascii="Times New Roman" w:hAnsi="Times New Roman"/>
          <w:b/>
          <w:sz w:val="28"/>
        </w:rPr>
        <w:t>6.1 CORE SECURITY &amp; SOC ANALYST OPERATIONS</w:t>
      </w:r>
    </w:p>
    <w:p>
      <w:pPr>
        <w:spacing w:before="0" w:after="120" w:line="276" w:lineRule="auto"/>
        <w:jc w:val="both"/>
      </w:pPr>
      <w:r>
        <w:rPr>
          <w:rFonts w:ascii="Times New Roman" w:hAnsi="Times New Roman"/>
          <w:sz w:val="24"/>
        </w:rPr>
        <w:t>The Core Security &amp; SOC Analyst Operations module empowers frontline analysts and threat hunters to monitor system health, inspect incoming log streams, analyze ML anomaly predictions, triage incident alerts, and visualize global attack telemetry in real time.</w:t>
      </w:r>
    </w:p>
    <w:p>
      <w:pPr>
        <w:keepNext/>
        <w:spacing w:before="160" w:after="80"/>
        <w:jc w:val="center"/>
      </w:pPr>
      <w:r>
        <w:drawing>
          <wp:inline xmlns:a="http://schemas.openxmlformats.org/drawingml/2006/main" xmlns:pic="http://schemas.openxmlformats.org/drawingml/2006/picture">
            <wp:extent cx="5120640" cy="3200400"/>
            <wp:docPr id="7" name="Picture 7"/>
            <wp:cNvGraphicFramePr>
              <a:graphicFrameLocks noChangeAspect="1"/>
            </wp:cNvGraphicFramePr>
            <a:graphic>
              <a:graphicData uri="http://schemas.openxmlformats.org/drawingml/2006/picture">
                <pic:pic>
                  <pic:nvPicPr>
                    <pic:cNvPr id="0" name="screen_landing.png"/>
                    <pic:cNvPicPr/>
                  </pic:nvPicPr>
                  <pic:blipFill>
                    <a:blip r:embed="rId14"/>
                    <a:stretch>
                      <a:fillRect/>
                    </a:stretch>
                  </pic:blipFill>
                  <pic:spPr>
                    <a:xfrm>
                      <a:off x="0" y="0"/>
                      <a:ext cx="5120640" cy="3200400"/>
                    </a:xfrm>
                    <a:prstGeom prst="rect"/>
                  </pic:spPr>
                </pic:pic>
              </a:graphicData>
            </a:graphic>
          </wp:inline>
        </w:drawing>
      </w:r>
    </w:p>
    <w:p>
      <w:pPr>
        <w:keepNext/>
        <w:spacing w:before="40" w:after="160"/>
        <w:jc w:val="center"/>
      </w:pPr>
      <w:r>
        <w:rPr>
          <w:rFonts w:ascii="Times New Roman" w:hAnsi="Times New Roman"/>
          <w:b/>
          <w:i/>
          <w:sz w:val="21"/>
        </w:rPr>
        <w:t>Fig. 6.1.1: CyberShield-AI Threat Intelligence Landing Page &amp; Hero Section</w:t>
      </w:r>
    </w:p>
    <w:p>
      <w:pPr>
        <w:spacing w:before="0" w:after="120" w:line="276" w:lineRule="auto"/>
        <w:jc w:val="both"/>
      </w:pPr>
      <w:r>
        <w:rPr>
          <w:rFonts w:ascii="Times New Roman" w:hAnsi="Times New Roman"/>
          <w:sz w:val="24"/>
        </w:rPr>
        <w:t>Fig. 6.1.1 illustrates the CyberShield-AI landing page featuring platform value propositions, active intelligence metrics, core capability cards, and direct links to the security authentication gateway.</w:t>
      </w:r>
    </w:p>
    <w:p>
      <w:pPr>
        <w:keepNext/>
        <w:spacing w:before="160" w:after="80"/>
        <w:jc w:val="center"/>
      </w:pPr>
      <w:r>
        <w:drawing>
          <wp:inline xmlns:a="http://schemas.openxmlformats.org/drawingml/2006/main" xmlns:pic="http://schemas.openxmlformats.org/drawingml/2006/picture">
            <wp:extent cx="5120640" cy="3200400"/>
            <wp:docPr id="8" name="Picture 8"/>
            <wp:cNvGraphicFramePr>
              <a:graphicFrameLocks noChangeAspect="1"/>
            </wp:cNvGraphicFramePr>
            <a:graphic>
              <a:graphicData uri="http://schemas.openxmlformats.org/drawingml/2006/picture">
                <pic:pic>
                  <pic:nvPicPr>
                    <pic:cNvPr id="0" name="screen_login.png"/>
                    <pic:cNvPicPr/>
                  </pic:nvPicPr>
                  <pic:blipFill>
                    <a:blip r:embed="rId15"/>
                    <a:stretch>
                      <a:fillRect/>
                    </a:stretch>
                  </pic:blipFill>
                  <pic:spPr>
                    <a:xfrm>
                      <a:off x="0" y="0"/>
                      <a:ext cx="5120640" cy="3200400"/>
                    </a:xfrm>
                    <a:prstGeom prst="rect"/>
                  </pic:spPr>
                </pic:pic>
              </a:graphicData>
            </a:graphic>
          </wp:inline>
        </w:drawing>
      </w:r>
    </w:p>
    <w:p>
      <w:pPr>
        <w:keepNext/>
        <w:spacing w:before="40" w:after="160"/>
        <w:jc w:val="center"/>
      </w:pPr>
      <w:r>
        <w:rPr>
          <w:rFonts w:ascii="Times New Roman" w:hAnsi="Times New Roman"/>
          <w:b/>
          <w:i/>
          <w:sz w:val="21"/>
        </w:rPr>
        <w:t>Fig. 6.1.2: Multi-Role Authentication &amp; Security Analyst Login Gateway</w:t>
      </w:r>
    </w:p>
    <w:p>
      <w:pPr>
        <w:spacing w:before="0" w:after="120" w:line="276" w:lineRule="auto"/>
        <w:jc w:val="both"/>
      </w:pPr>
      <w:r>
        <w:rPr>
          <w:rFonts w:ascii="Times New Roman" w:hAnsi="Times New Roman"/>
          <w:sz w:val="24"/>
        </w:rPr>
        <w:t>Fig. 6.1.2 depicts the secure login gateway providing JWT authentication, bcrypt password validation, credential error feedback, and least-privilege role redirection for Viewers, Analysts, and Administrators.</w:t>
      </w:r>
    </w:p>
    <w:p>
      <w:pPr>
        <w:keepNext/>
        <w:spacing w:before="160" w:after="80"/>
        <w:jc w:val="center"/>
      </w:pPr>
      <w:r>
        <w:drawing>
          <wp:inline xmlns:a="http://schemas.openxmlformats.org/drawingml/2006/main" xmlns:pic="http://schemas.openxmlformats.org/drawingml/2006/picture">
            <wp:extent cx="5120640" cy="3200400"/>
            <wp:docPr id="9" name="Picture 9"/>
            <wp:cNvGraphicFramePr>
              <a:graphicFrameLocks noChangeAspect="1"/>
            </wp:cNvGraphicFramePr>
            <a:graphic>
              <a:graphicData uri="http://schemas.openxmlformats.org/drawingml/2006/picture">
                <pic:pic>
                  <pic:nvPicPr>
                    <pic:cNvPr id="0" name="screen_register.png"/>
                    <pic:cNvPicPr/>
                  </pic:nvPicPr>
                  <pic:blipFill>
                    <a:blip r:embed="rId16"/>
                    <a:stretch>
                      <a:fillRect/>
                    </a:stretch>
                  </pic:blipFill>
                  <pic:spPr>
                    <a:xfrm>
                      <a:off x="0" y="0"/>
                      <a:ext cx="5120640" cy="3200400"/>
                    </a:xfrm>
                    <a:prstGeom prst="rect"/>
                  </pic:spPr>
                </pic:pic>
              </a:graphicData>
            </a:graphic>
          </wp:inline>
        </w:drawing>
      </w:r>
    </w:p>
    <w:p>
      <w:pPr>
        <w:keepNext/>
        <w:spacing w:before="40" w:after="160"/>
        <w:jc w:val="center"/>
      </w:pPr>
      <w:r>
        <w:rPr>
          <w:rFonts w:ascii="Times New Roman" w:hAnsi="Times New Roman"/>
          <w:b/>
          <w:i/>
          <w:sz w:val="21"/>
        </w:rPr>
        <w:t>Fig. 6.1.3: SOC Analyst Account Registration Portal</w:t>
      </w:r>
    </w:p>
    <w:p>
      <w:pPr>
        <w:spacing w:before="0" w:after="120" w:line="276" w:lineRule="auto"/>
        <w:jc w:val="both"/>
      </w:pPr>
      <w:r>
        <w:rPr>
          <w:rFonts w:ascii="Times New Roman" w:hAnsi="Times New Roman"/>
          <w:sz w:val="24"/>
        </w:rPr>
        <w:t>Fig. 6.1.3 shows the analyst account creation portal capturing first name, last name, enterprise email address, and secure password, establishing a new user in PostgreSQL with default Viewer permissions.</w:t>
      </w:r>
    </w:p>
    <w:p>
      <w:pPr>
        <w:keepNext/>
        <w:spacing w:before="160" w:after="80"/>
        <w:jc w:val="center"/>
      </w:pPr>
      <w:r>
        <w:drawing>
          <wp:inline xmlns:a="http://schemas.openxmlformats.org/drawingml/2006/main" xmlns:pic="http://schemas.openxmlformats.org/drawingml/2006/picture">
            <wp:extent cx="5120640" cy="3200400"/>
            <wp:docPr id="10" name="Picture 10"/>
            <wp:cNvGraphicFramePr>
              <a:graphicFrameLocks noChangeAspect="1"/>
            </wp:cNvGraphicFramePr>
            <a:graphic>
              <a:graphicData uri="http://schemas.openxmlformats.org/drawingml/2006/picture">
                <pic:pic>
                  <pic:nvPicPr>
                    <pic:cNvPr id="0" name="screen_overview.png"/>
                    <pic:cNvPicPr/>
                  </pic:nvPicPr>
                  <pic:blipFill>
                    <a:blip r:embed="rId17"/>
                    <a:stretch>
                      <a:fillRect/>
                    </a:stretch>
                  </pic:blipFill>
                  <pic:spPr>
                    <a:xfrm>
                      <a:off x="0" y="0"/>
                      <a:ext cx="5120640" cy="3200400"/>
                    </a:xfrm>
                    <a:prstGeom prst="rect"/>
                  </pic:spPr>
                </pic:pic>
              </a:graphicData>
            </a:graphic>
          </wp:inline>
        </w:drawing>
      </w:r>
    </w:p>
    <w:p>
      <w:pPr>
        <w:keepNext/>
        <w:spacing w:before="40" w:after="160"/>
        <w:jc w:val="center"/>
      </w:pPr>
      <w:r>
        <w:rPr>
          <w:rFonts w:ascii="Times New Roman" w:hAnsi="Times New Roman"/>
          <w:b/>
          <w:i/>
          <w:sz w:val="21"/>
        </w:rPr>
        <w:t>Fig. 6.1.4: Primary SOC Operations Command Center &amp; Executive Overview</w:t>
      </w:r>
    </w:p>
    <w:p>
      <w:pPr>
        <w:spacing w:before="0" w:after="120" w:line="276" w:lineRule="auto"/>
        <w:jc w:val="both"/>
      </w:pPr>
      <w:r>
        <w:rPr>
          <w:rFonts w:ascii="Times New Roman" w:hAnsi="Times New Roman"/>
          <w:sz w:val="24"/>
        </w:rPr>
        <w:t>Fig. 6.1.4 demonstrates the primary SOC Command Center featuring real-time KPI counter cards (Total Logs: 1.2M+, Total Alerts: 3,847, Critical Alerts: 23, Blocked IPs: 8,942), 30-day threat trend charts, severity distribution donuts, attack frequency graphs, and live threat activity streams.</w:t>
      </w:r>
    </w:p>
    <w:p>
      <w:pPr>
        <w:keepNext/>
        <w:spacing w:before="160" w:after="80"/>
        <w:jc w:val="center"/>
      </w:pPr>
      <w:r>
        <w:drawing>
          <wp:inline xmlns:a="http://schemas.openxmlformats.org/drawingml/2006/main" xmlns:pic="http://schemas.openxmlformats.org/drawingml/2006/picture">
            <wp:extent cx="5120640" cy="3200400"/>
            <wp:docPr id="11" name="Picture 11"/>
            <wp:cNvGraphicFramePr>
              <a:graphicFrameLocks noChangeAspect="1"/>
            </wp:cNvGraphicFramePr>
            <a:graphic>
              <a:graphicData uri="http://schemas.openxmlformats.org/drawingml/2006/picture">
                <pic:pic>
                  <pic:nvPicPr>
                    <pic:cNvPr id="0" name="screen_logs.png"/>
                    <pic:cNvPicPr/>
                  </pic:nvPicPr>
                  <pic:blipFill>
                    <a:blip r:embed="rId18"/>
                    <a:stretch>
                      <a:fillRect/>
                    </a:stretch>
                  </pic:blipFill>
                  <pic:spPr>
                    <a:xfrm>
                      <a:off x="0" y="0"/>
                      <a:ext cx="5120640" cy="3200400"/>
                    </a:xfrm>
                    <a:prstGeom prst="rect"/>
                  </pic:spPr>
                </pic:pic>
              </a:graphicData>
            </a:graphic>
          </wp:inline>
        </w:drawing>
      </w:r>
    </w:p>
    <w:p>
      <w:pPr>
        <w:keepNext/>
        <w:spacing w:before="40" w:after="160"/>
        <w:jc w:val="center"/>
      </w:pPr>
      <w:r>
        <w:rPr>
          <w:rFonts w:ascii="Times New Roman" w:hAnsi="Times New Roman"/>
          <w:b/>
          <w:i/>
          <w:sz w:val="21"/>
        </w:rPr>
        <w:t>Fig. 6.1.5: Live Security Logs Ingestion &amp; Telemetry Data Grid</w:t>
      </w:r>
    </w:p>
    <w:p>
      <w:pPr>
        <w:spacing w:before="0" w:after="120" w:line="276" w:lineRule="auto"/>
        <w:jc w:val="both"/>
      </w:pPr>
      <w:r>
        <w:rPr>
          <w:rFonts w:ascii="Times New Roman" w:hAnsi="Times New Roman"/>
          <w:sz w:val="24"/>
        </w:rPr>
        <w:t>Fig. 6.1.5 illustrates the security log exploration interface allowing analysts to search, filter by source (Firewall, IDS, Windows Security, Cloud), inspect source/destination IPs, examine severity badges, and review JSON log payloads.</w:t>
      </w:r>
    </w:p>
    <w:p>
      <w:pPr>
        <w:keepNext/>
        <w:spacing w:before="160" w:after="80"/>
        <w:jc w:val="center"/>
      </w:pPr>
      <w:r>
        <w:drawing>
          <wp:inline xmlns:a="http://schemas.openxmlformats.org/drawingml/2006/main" xmlns:pic="http://schemas.openxmlformats.org/drawingml/2006/picture">
            <wp:extent cx="5120640" cy="3200400"/>
            <wp:docPr id="12" name="Picture 12"/>
            <wp:cNvGraphicFramePr>
              <a:graphicFrameLocks noChangeAspect="1"/>
            </wp:cNvGraphicFramePr>
            <a:graphic>
              <a:graphicData uri="http://schemas.openxmlformats.org/drawingml/2006/picture">
                <pic:pic>
                  <pic:nvPicPr>
                    <pic:cNvPr id="0" name="screen_threats.png"/>
                    <pic:cNvPicPr/>
                  </pic:nvPicPr>
                  <pic:blipFill>
                    <a:blip r:embed="rId19"/>
                    <a:stretch>
                      <a:fillRect/>
                    </a:stretch>
                  </pic:blipFill>
                  <pic:spPr>
                    <a:xfrm>
                      <a:off x="0" y="0"/>
                      <a:ext cx="5120640" cy="3200400"/>
                    </a:xfrm>
                    <a:prstGeom prst="rect"/>
                  </pic:spPr>
                </pic:pic>
              </a:graphicData>
            </a:graphic>
          </wp:inline>
        </w:drawing>
      </w:r>
    </w:p>
    <w:p>
      <w:pPr>
        <w:keepNext/>
        <w:spacing w:before="40" w:after="160"/>
        <w:jc w:val="center"/>
      </w:pPr>
      <w:r>
        <w:rPr>
          <w:rFonts w:ascii="Times New Roman" w:hAnsi="Times New Roman"/>
          <w:b/>
          <w:i/>
          <w:sz w:val="21"/>
        </w:rPr>
        <w:t>Fig. 6.1.6: Threat Intelligence Feeds &amp; Indicator Tracking Console</w:t>
      </w:r>
    </w:p>
    <w:p>
      <w:pPr>
        <w:spacing w:before="0" w:after="120" w:line="276" w:lineRule="auto"/>
        <w:jc w:val="both"/>
      </w:pPr>
      <w:r>
        <w:rPr>
          <w:rFonts w:ascii="Times New Roman" w:hAnsi="Times New Roman"/>
          <w:sz w:val="24"/>
        </w:rPr>
        <w:t>Fig. 6.1.6 displays the threat intelligence feed console aggregating active threat entities (IPs, users, domains), composite threat scores, risk categories (Safe, Low, Medium, High, Critical), and associated indicators of compromise (IoCs).</w:t>
      </w:r>
    </w:p>
    <w:p>
      <w:pPr>
        <w:keepNext/>
        <w:spacing w:before="160" w:after="80"/>
        <w:jc w:val="center"/>
      </w:pPr>
      <w:r>
        <w:drawing>
          <wp:inline xmlns:a="http://schemas.openxmlformats.org/drawingml/2006/main" xmlns:pic="http://schemas.openxmlformats.org/drawingml/2006/picture">
            <wp:extent cx="5120640" cy="3200400"/>
            <wp:docPr id="13" name="Picture 13"/>
            <wp:cNvGraphicFramePr>
              <a:graphicFrameLocks noChangeAspect="1"/>
            </wp:cNvGraphicFramePr>
            <a:graphic>
              <a:graphicData uri="http://schemas.openxmlformats.org/drawingml/2006/picture">
                <pic:pic>
                  <pic:nvPicPr>
                    <pic:cNvPr id="0" name="screen_alerts.png"/>
                    <pic:cNvPicPr/>
                  </pic:nvPicPr>
                  <pic:blipFill>
                    <a:blip r:embed="rId20"/>
                    <a:stretch>
                      <a:fillRect/>
                    </a:stretch>
                  </pic:blipFill>
                  <pic:spPr>
                    <a:xfrm>
                      <a:off x="0" y="0"/>
                      <a:ext cx="5120640" cy="3200400"/>
                    </a:xfrm>
                    <a:prstGeom prst="rect"/>
                  </pic:spPr>
                </pic:pic>
              </a:graphicData>
            </a:graphic>
          </wp:inline>
        </w:drawing>
      </w:r>
    </w:p>
    <w:p>
      <w:pPr>
        <w:keepNext/>
        <w:spacing w:before="40" w:after="160"/>
        <w:jc w:val="center"/>
      </w:pPr>
      <w:r>
        <w:rPr>
          <w:rFonts w:ascii="Times New Roman" w:hAnsi="Times New Roman"/>
          <w:b/>
          <w:i/>
          <w:sz w:val="21"/>
        </w:rPr>
        <w:t>Fig. 6.1.7: Real-Time Incident Alerts &amp; Triage Management Board</w:t>
      </w:r>
    </w:p>
    <w:p>
      <w:pPr>
        <w:spacing w:before="0" w:after="120" w:line="276" w:lineRule="auto"/>
        <w:jc w:val="both"/>
      </w:pPr>
      <w:r>
        <w:rPr>
          <w:rFonts w:ascii="Times New Roman" w:hAnsi="Times New Roman"/>
          <w:sz w:val="24"/>
        </w:rPr>
        <w:t>Fig. 6.1.7 depicts the incident alerts triage board equipped with severity filtering (Critical, High, Medium, Low), status toggles (New, Investigating, Resolved), SHAP explanation cards, and analyst resolution buttons.</w:t>
      </w:r>
    </w:p>
    <w:p>
      <w:pPr>
        <w:keepNext/>
        <w:spacing w:before="160" w:after="80"/>
        <w:jc w:val="center"/>
      </w:pPr>
      <w:r>
        <w:drawing>
          <wp:inline xmlns:a="http://schemas.openxmlformats.org/drawingml/2006/main" xmlns:pic="http://schemas.openxmlformats.org/drawingml/2006/picture">
            <wp:extent cx="5120640" cy="3200400"/>
            <wp:docPr id="14" name="Picture 14"/>
            <wp:cNvGraphicFramePr>
              <a:graphicFrameLocks noChangeAspect="1"/>
            </wp:cNvGraphicFramePr>
            <a:graphic>
              <a:graphicData uri="http://schemas.openxmlformats.org/drawingml/2006/picture">
                <pic:pic>
                  <pic:nvPicPr>
                    <pic:cNvPr id="0" name="screen_predictions.png"/>
                    <pic:cNvPicPr/>
                  </pic:nvPicPr>
                  <pic:blipFill>
                    <a:blip r:embed="rId21"/>
                    <a:stretch>
                      <a:fillRect/>
                    </a:stretch>
                  </pic:blipFill>
                  <pic:spPr>
                    <a:xfrm>
                      <a:off x="0" y="0"/>
                      <a:ext cx="5120640" cy="3200400"/>
                    </a:xfrm>
                    <a:prstGeom prst="rect"/>
                  </pic:spPr>
                </pic:pic>
              </a:graphicData>
            </a:graphic>
          </wp:inline>
        </w:drawing>
      </w:r>
    </w:p>
    <w:p>
      <w:pPr>
        <w:keepNext/>
        <w:spacing w:before="40" w:after="160"/>
        <w:jc w:val="center"/>
      </w:pPr>
      <w:r>
        <w:rPr>
          <w:rFonts w:ascii="Times New Roman" w:hAnsi="Times New Roman"/>
          <w:b/>
          <w:i/>
          <w:sz w:val="21"/>
        </w:rPr>
        <w:t>Fig. 6.1.8: AI Attack Forecasting &amp; ML Threat Prediction Engine</w:t>
      </w:r>
    </w:p>
    <w:p>
      <w:pPr>
        <w:spacing w:before="0" w:after="120" w:line="276" w:lineRule="auto"/>
        <w:jc w:val="both"/>
      </w:pPr>
      <w:r>
        <w:rPr>
          <w:rFonts w:ascii="Times New Roman" w:hAnsi="Times New Roman"/>
          <w:sz w:val="24"/>
        </w:rPr>
        <w:t>Fig. 6.1.8 showcases the predictive intelligence console displaying multi-stage attack forecasts, MITRE ATT&amp;CK tactic mappings (Reconnaissance, Credential Access, Lateral Movement), confidence probabilities, and proactive defensive recommendations.</w:t>
      </w:r>
    </w:p>
    <w:p>
      <w:pPr>
        <w:keepNext/>
        <w:spacing w:before="160" w:after="80"/>
        <w:jc w:val="center"/>
      </w:pPr>
      <w:r>
        <w:drawing>
          <wp:inline xmlns:a="http://schemas.openxmlformats.org/drawingml/2006/main" xmlns:pic="http://schemas.openxmlformats.org/drawingml/2006/picture">
            <wp:extent cx="5120640" cy="3200400"/>
            <wp:docPr id="15" name="Picture 15"/>
            <wp:cNvGraphicFramePr>
              <a:graphicFrameLocks noChangeAspect="1"/>
            </wp:cNvGraphicFramePr>
            <a:graphic>
              <a:graphicData uri="http://schemas.openxmlformats.org/drawingml/2006/picture">
                <pic:pic>
                  <pic:nvPicPr>
                    <pic:cNvPr id="0" name="screen_geomap.png"/>
                    <pic:cNvPicPr/>
                  </pic:nvPicPr>
                  <pic:blipFill>
                    <a:blip r:embed="rId22"/>
                    <a:stretch>
                      <a:fillRect/>
                    </a:stretch>
                  </pic:blipFill>
                  <pic:spPr>
                    <a:xfrm>
                      <a:off x="0" y="0"/>
                      <a:ext cx="5120640" cy="3200400"/>
                    </a:xfrm>
                    <a:prstGeom prst="rect"/>
                  </pic:spPr>
                </pic:pic>
              </a:graphicData>
            </a:graphic>
          </wp:inline>
        </w:drawing>
      </w:r>
    </w:p>
    <w:p>
      <w:pPr>
        <w:keepNext/>
        <w:spacing w:before="40" w:after="160"/>
        <w:jc w:val="center"/>
      </w:pPr>
      <w:r>
        <w:rPr>
          <w:rFonts w:ascii="Times New Roman" w:hAnsi="Times New Roman"/>
          <w:b/>
          <w:i/>
          <w:sz w:val="21"/>
        </w:rPr>
        <w:t>Fig. 6.1.9: Global Geospatial Cyber Threat Map &amp; Telemetry</w:t>
      </w:r>
    </w:p>
    <w:p>
      <w:pPr>
        <w:spacing w:before="0" w:after="120" w:line="276" w:lineRule="auto"/>
        <w:jc w:val="both"/>
      </w:pPr>
      <w:r>
        <w:rPr>
          <w:rFonts w:ascii="Times New Roman" w:hAnsi="Times New Roman"/>
          <w:sz w:val="24"/>
        </w:rPr>
        <w:t>Fig. 6.1.9 illustrates the interactive Leaflet geospatial attack map visualizing global threat origins, geographic attack clusters, origin country risk scores, and real-time malicious traffic trajectories.</w:t>
      </w:r>
    </w:p>
    <w:p>
      <w:pPr>
        <w:keepNext/>
        <w:spacing w:before="280" w:after="80"/>
      </w:pPr>
      <w:r>
        <w:rPr>
          <w:rFonts w:ascii="Times New Roman" w:hAnsi="Times New Roman"/>
          <w:b/>
          <w:sz w:val="28"/>
        </w:rPr>
        <w:t>6.2 EXECUTIVE REPORTING &amp; INCIDENT INTELLIGENCE</w:t>
      </w:r>
    </w:p>
    <w:p>
      <w:pPr>
        <w:spacing w:before="0" w:after="120" w:line="276" w:lineRule="auto"/>
        <w:jc w:val="both"/>
      </w:pPr>
      <w:r>
        <w:rPr>
          <w:rFonts w:ascii="Times New Roman" w:hAnsi="Times New Roman"/>
          <w:sz w:val="24"/>
        </w:rPr>
        <w:t>The Executive Reporting module provides compliance officers, SOC leads, and CISOs with automated high-level summaries, compliance posture assessments, and exportable audit documents.</w:t>
      </w:r>
    </w:p>
    <w:p>
      <w:pPr>
        <w:keepNext/>
        <w:spacing w:before="160" w:after="80"/>
        <w:jc w:val="center"/>
      </w:pPr>
      <w:r>
        <w:drawing>
          <wp:inline xmlns:a="http://schemas.openxmlformats.org/drawingml/2006/main" xmlns:pic="http://schemas.openxmlformats.org/drawingml/2006/picture">
            <wp:extent cx="5120640" cy="3200400"/>
            <wp:docPr id="16" name="Picture 16"/>
            <wp:cNvGraphicFramePr>
              <a:graphicFrameLocks noChangeAspect="1"/>
            </wp:cNvGraphicFramePr>
            <a:graphic>
              <a:graphicData uri="http://schemas.openxmlformats.org/drawingml/2006/picture">
                <pic:pic>
                  <pic:nvPicPr>
                    <pic:cNvPr id="0" name="screen_reports.png"/>
                    <pic:cNvPicPr/>
                  </pic:nvPicPr>
                  <pic:blipFill>
                    <a:blip r:embed="rId23"/>
                    <a:stretch>
                      <a:fillRect/>
                    </a:stretch>
                  </pic:blipFill>
                  <pic:spPr>
                    <a:xfrm>
                      <a:off x="0" y="0"/>
                      <a:ext cx="5120640" cy="3200400"/>
                    </a:xfrm>
                    <a:prstGeom prst="rect"/>
                  </pic:spPr>
                </pic:pic>
              </a:graphicData>
            </a:graphic>
          </wp:inline>
        </w:drawing>
      </w:r>
    </w:p>
    <w:p>
      <w:pPr>
        <w:keepNext/>
        <w:spacing w:before="40" w:after="160"/>
        <w:jc w:val="center"/>
      </w:pPr>
      <w:r>
        <w:rPr>
          <w:rFonts w:ascii="Times New Roman" w:hAnsi="Times New Roman"/>
          <w:b/>
          <w:i/>
          <w:sz w:val="21"/>
        </w:rPr>
        <w:t>Fig. 6.2.1: Executive Compliance &amp; Threat Intelligence Reporting Hub</w:t>
      </w:r>
    </w:p>
    <w:p>
      <w:pPr>
        <w:spacing w:before="0" w:after="120" w:line="276" w:lineRule="auto"/>
        <w:jc w:val="both"/>
      </w:pPr>
      <w:r>
        <w:rPr>
          <w:rFonts w:ascii="Times New Roman" w:hAnsi="Times New Roman"/>
          <w:sz w:val="24"/>
        </w:rPr>
        <w:t>Fig. 6.2.1 showcases the reporting command center allowing security leads to generate compliance audits (ISO 27001, SOC 2, NIST CSF), inspect incident trend reports, and export executive threat intelligence summaries.</w:t>
      </w:r>
    </w:p>
    <w:p>
      <w:pPr>
        <w:keepNext/>
        <w:spacing w:before="280" w:after="80"/>
      </w:pPr>
      <w:r>
        <w:rPr>
          <w:rFonts w:ascii="Times New Roman" w:hAnsi="Times New Roman"/>
          <w:b/>
          <w:sz w:val="28"/>
        </w:rPr>
        <w:t>6.3 CENTRAL ADMINISTRATOR MODULE</w:t>
      </w:r>
    </w:p>
    <w:p>
      <w:pPr>
        <w:spacing w:before="0" w:after="120" w:line="276" w:lineRule="auto"/>
        <w:jc w:val="both"/>
      </w:pPr>
      <w:r>
        <w:rPr>
          <w:rFonts w:ascii="Times New Roman" w:hAnsi="Times New Roman"/>
          <w:sz w:val="24"/>
        </w:rPr>
        <w:t>The Central Administrator module empowers enterprise IT directors to manage analyst user accounts, configure role permissions, monitor system infrastructure telemetry, and manage platform parameters.</w:t>
      </w:r>
    </w:p>
    <w:p>
      <w:pPr>
        <w:keepNext/>
        <w:spacing w:before="160" w:after="80"/>
        <w:jc w:val="center"/>
      </w:pPr>
      <w:r>
        <w:drawing>
          <wp:inline xmlns:a="http://schemas.openxmlformats.org/drawingml/2006/main" xmlns:pic="http://schemas.openxmlformats.org/drawingml/2006/picture">
            <wp:extent cx="5120640" cy="3200400"/>
            <wp:docPr id="17" name="Picture 17"/>
            <wp:cNvGraphicFramePr>
              <a:graphicFrameLocks noChangeAspect="1"/>
            </wp:cNvGraphicFramePr>
            <a:graphic>
              <a:graphicData uri="http://schemas.openxmlformats.org/drawingml/2006/picture">
                <pic:pic>
                  <pic:nvPicPr>
                    <pic:cNvPr id="0" name="screen_users.png"/>
                    <pic:cNvPicPr/>
                  </pic:nvPicPr>
                  <pic:blipFill>
                    <a:blip r:embed="rId24"/>
                    <a:stretch>
                      <a:fillRect/>
                    </a:stretch>
                  </pic:blipFill>
                  <pic:spPr>
                    <a:xfrm>
                      <a:off x="0" y="0"/>
                      <a:ext cx="5120640" cy="3200400"/>
                    </a:xfrm>
                    <a:prstGeom prst="rect"/>
                  </pic:spPr>
                </pic:pic>
              </a:graphicData>
            </a:graphic>
          </wp:inline>
        </w:drawing>
      </w:r>
    </w:p>
    <w:p>
      <w:pPr>
        <w:keepNext/>
        <w:spacing w:before="40" w:after="160"/>
        <w:jc w:val="center"/>
      </w:pPr>
      <w:r>
        <w:rPr>
          <w:rFonts w:ascii="Times New Roman" w:hAnsi="Times New Roman"/>
          <w:b/>
          <w:i/>
          <w:sz w:val="21"/>
        </w:rPr>
        <w:t>Fig. 6.3.1: Central User Administration &amp; Role-Based Access Control</w:t>
      </w:r>
    </w:p>
    <w:p>
      <w:pPr>
        <w:spacing w:before="0" w:after="120" w:line="276" w:lineRule="auto"/>
        <w:jc w:val="both"/>
      </w:pPr>
      <w:r>
        <w:rPr>
          <w:rFonts w:ascii="Times New Roman" w:hAnsi="Times New Roman"/>
          <w:sz w:val="24"/>
        </w:rPr>
        <w:t>Fig. 6.3.1 illustrates the user administration console equipped with user search, role assignment controls (Viewer, Analyst, Administrator), account activation toggles, and user creation dialogs.</w:t>
      </w:r>
    </w:p>
    <w:p>
      <w:pPr>
        <w:keepNext/>
        <w:spacing w:before="160" w:after="80"/>
        <w:jc w:val="center"/>
      </w:pPr>
      <w:r>
        <w:drawing>
          <wp:inline xmlns:a="http://schemas.openxmlformats.org/drawingml/2006/main" xmlns:pic="http://schemas.openxmlformats.org/drawingml/2006/picture">
            <wp:extent cx="5120640" cy="3200400"/>
            <wp:docPr id="18" name="Picture 18"/>
            <wp:cNvGraphicFramePr>
              <a:graphicFrameLocks noChangeAspect="1"/>
            </wp:cNvGraphicFramePr>
            <a:graphic>
              <a:graphicData uri="http://schemas.openxmlformats.org/drawingml/2006/picture">
                <pic:pic>
                  <pic:nvPicPr>
                    <pic:cNvPr id="0" name="screen_settings.png"/>
                    <pic:cNvPicPr/>
                  </pic:nvPicPr>
                  <pic:blipFill>
                    <a:blip r:embed="rId25"/>
                    <a:stretch>
                      <a:fillRect/>
                    </a:stretch>
                  </pic:blipFill>
                  <pic:spPr>
                    <a:xfrm>
                      <a:off x="0" y="0"/>
                      <a:ext cx="5120640" cy="3200400"/>
                    </a:xfrm>
                    <a:prstGeom prst="rect"/>
                  </pic:spPr>
                </pic:pic>
              </a:graphicData>
            </a:graphic>
          </wp:inline>
        </w:drawing>
      </w:r>
    </w:p>
    <w:p>
      <w:pPr>
        <w:keepNext/>
        <w:spacing w:before="40" w:after="160"/>
        <w:jc w:val="center"/>
      </w:pPr>
      <w:r>
        <w:rPr>
          <w:rFonts w:ascii="Times New Roman" w:hAnsi="Times New Roman"/>
          <w:b/>
          <w:i/>
          <w:sz w:val="21"/>
        </w:rPr>
        <w:t>Fig. 6.3.2: Enterprise Security Platform &amp; Notification Settings</w:t>
      </w:r>
    </w:p>
    <w:p>
      <w:pPr>
        <w:spacing w:before="0" w:after="120" w:line="276" w:lineRule="auto"/>
        <w:jc w:val="both"/>
      </w:pPr>
      <w:r>
        <w:rPr>
          <w:rFonts w:ascii="Times New Roman" w:hAnsi="Times New Roman"/>
          <w:sz w:val="24"/>
        </w:rPr>
        <w:t>Fig. 6.3.2 depicts the master platform settings interface featuring security policy configurations, alert threshold tuning, API key management, notification dispatch channels, and database connection monitors.</w:t>
      </w:r>
    </w:p>
    <w:p>
      <w:r>
        <w:br w:type="page"/>
      </w:r>
    </w:p>
    <w:p>
      <w:pPr>
        <w:spacing w:before="280" w:after="80"/>
        <w:jc w:val="center"/>
      </w:pPr>
      <w:r>
        <w:rPr>
          <w:rFonts w:ascii="Times New Roman" w:hAnsi="Times New Roman"/>
          <w:b/>
          <w:sz w:val="36"/>
        </w:rPr>
        <w:t>CHAPTER 7</w:t>
      </w:r>
    </w:p>
    <w:p>
      <w:pPr>
        <w:spacing w:before="0" w:after="320"/>
        <w:jc w:val="center"/>
      </w:pPr>
      <w:r>
        <w:rPr>
          <w:rFonts w:ascii="Times New Roman" w:hAnsi="Times New Roman"/>
          <w:b/>
          <w:sz w:val="36"/>
        </w:rPr>
        <w:t>TESTING</w:t>
      </w:r>
    </w:p>
    <w:p>
      <w:pPr>
        <w:spacing w:before="0" w:after="60"/>
        <w:ind w:left="288"/>
      </w:pPr>
      <w:r>
        <w:rPr>
          <w:rFonts w:ascii="Times New Roman" w:hAnsi="Times New Roman"/>
          <w:b/>
          <w:sz w:val="24"/>
        </w:rPr>
        <w:t>●  BLACK-BOX TESTING</w:t>
      </w:r>
    </w:p>
    <w:p>
      <w:pPr>
        <w:spacing w:before="0" w:after="60"/>
        <w:ind w:left="288"/>
      </w:pPr>
      <w:r>
        <w:rPr>
          <w:rFonts w:ascii="Times New Roman" w:hAnsi="Times New Roman"/>
          <w:b/>
          <w:sz w:val="24"/>
        </w:rPr>
        <w:t>●  WHITE-BOX TESTING</w:t>
      </w:r>
    </w:p>
    <w:p>
      <w:pPr>
        <w:spacing w:before="0" w:after="60"/>
        <w:ind w:left="288"/>
      </w:pPr>
      <w:r>
        <w:rPr>
          <w:rFonts w:ascii="Times New Roman" w:hAnsi="Times New Roman"/>
          <w:b/>
          <w:sz w:val="24"/>
        </w:rPr>
        <w:t>●  COMPREHENSIVE TEST CASES</w:t>
      </w:r>
    </w:p>
    <w:p>
      <w:pPr>
        <w:spacing w:before="120" w:after="120"/>
      </w:pPr>
    </w:p>
    <w:p>
      <w:pPr>
        <w:keepNext/>
        <w:spacing w:before="280" w:after="80"/>
      </w:pPr>
      <w:r>
        <w:rPr>
          <w:rFonts w:ascii="Times New Roman" w:hAnsi="Times New Roman"/>
          <w:b/>
          <w:sz w:val="28"/>
        </w:rPr>
        <w:t>7.1 BLACK-BOX TESTING</w:t>
      </w:r>
    </w:p>
    <w:p>
      <w:pPr>
        <w:spacing w:before="0" w:after="120" w:line="276" w:lineRule="auto"/>
        <w:jc w:val="both"/>
      </w:pPr>
      <w:r>
        <w:rPr>
          <w:rFonts w:ascii="Times New Roman" w:hAnsi="Times New Roman"/>
          <w:sz w:val="24"/>
        </w:rPr>
        <w:t>Black-box testing validated CyberShield-AI against functional specifications and user requirements without inspecting internal source code. Test methodologies included Equivalence Partitioning (valid/invalid IPv4 and IPv6 addresses, valid/invalid JWT tokens, port numbers 1–65535) and Boundary Value Analysis (threat scores exactly at threshold boundaries 59.9 vs. 60.0 to verify alert triggering, extreme log payload sizes, and high-frequency request bursts).</w:t>
      </w:r>
    </w:p>
    <w:p>
      <w:pPr>
        <w:keepNext/>
        <w:spacing w:before="280" w:after="80"/>
      </w:pPr>
      <w:r>
        <w:rPr>
          <w:rFonts w:ascii="Times New Roman" w:hAnsi="Times New Roman"/>
          <w:b/>
          <w:sz w:val="28"/>
        </w:rPr>
        <w:t>7.2 WHITE-BOX TESTING</w:t>
      </w:r>
    </w:p>
    <w:p>
      <w:pPr>
        <w:spacing w:before="0" w:after="120" w:line="276" w:lineRule="auto"/>
        <w:jc w:val="both"/>
      </w:pPr>
      <w:r>
        <w:rPr>
          <w:rFonts w:ascii="Times New Roman" w:hAnsi="Times New Roman"/>
          <w:sz w:val="24"/>
        </w:rPr>
        <w:t>White-box testing inspected internal execution logic, branch coverage, and database transaction integrity across the codebase. Test suites verified JWT expiration handlers in NestJS JwtAuthGuard, RBAC decorator execution in RolesGuard, asynchronous BullMQ job state transitions in JobsProcessor, isolation forest decision tree depth in Python, SHAP additive value sum equality, and Prisma relational cascade deletions.</w:t>
      </w:r>
    </w:p>
    <w:p>
      <w:pPr>
        <w:keepNext/>
        <w:spacing w:before="280" w:after="80"/>
      </w:pPr>
      <w:r>
        <w:rPr>
          <w:rFonts w:ascii="Times New Roman" w:hAnsi="Times New Roman"/>
          <w:b/>
          <w:sz w:val="28"/>
        </w:rPr>
        <w:t>7.3 COMPREHENSIVE TEST CASES</w:t>
      </w:r>
    </w:p>
    <w:p>
      <w:pPr>
        <w:spacing w:before="0" w:after="120" w:line="276" w:lineRule="auto"/>
        <w:jc w:val="both"/>
      </w:pPr>
      <w:r>
        <w:rPr>
          <w:rFonts w:ascii="Times New Roman" w:hAnsi="Times New Roman"/>
          <w:sz w:val="24"/>
        </w:rPr>
        <w:t>Table 7.3.1 catalogs the extensive functional, security, and machine learning test cases executed across the platform:</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57"/>
        <w:gridCol w:w="2257"/>
        <w:gridCol w:w="2257"/>
        <w:gridCol w:w="2257"/>
      </w:tblGrid>
      <w:tr>
        <w:trPr>
          <w:tblHeader/>
          <w:cantSplit/>
        </w:trPr>
        <w:tc>
          <w:tcPr>
            <w:tcW w:type="dxa" w:w="1296"/>
            <w:shd w:fill="2B6CB0"/>
            <w:tcMar>
              <w:top w:w="140" w:type="dxa"/>
              <w:bottom w:w="140" w:type="dxa"/>
              <w:left w:w="140" w:type="dxa"/>
              <w:right w:w="140" w:type="dxa"/>
            </w:tcMar>
            <w:vAlign w:val="center"/>
          </w:tcPr>
          <w:p>
            <w:pPr>
              <w:spacing w:before="0" w:after="0"/>
              <w:jc w:val="center"/>
            </w:pPr>
            <w:r>
              <w:rPr>
                <w:rFonts w:ascii="Times New Roman" w:hAnsi="Times New Roman"/>
                <w:b/>
                <w:color w:val="FFFFFF"/>
                <w:sz w:val="21"/>
              </w:rPr>
              <w:t>Test Case ID</w:t>
            </w:r>
          </w:p>
        </w:tc>
        <w:tc>
          <w:tcPr>
            <w:tcW w:type="dxa" w:w="3168"/>
            <w:shd w:fill="2B6CB0"/>
            <w:tcMar>
              <w:top w:w="140" w:type="dxa"/>
              <w:bottom w:w="140" w:type="dxa"/>
              <w:left w:w="140" w:type="dxa"/>
              <w:right w:w="140" w:type="dxa"/>
            </w:tcMar>
            <w:vAlign w:val="center"/>
          </w:tcPr>
          <w:p>
            <w:pPr>
              <w:spacing w:before="0" w:after="0"/>
              <w:jc w:val="center"/>
            </w:pPr>
            <w:r>
              <w:rPr>
                <w:rFonts w:ascii="Times New Roman" w:hAnsi="Times New Roman"/>
                <w:b/>
                <w:color w:val="FFFFFF"/>
                <w:sz w:val="21"/>
              </w:rPr>
              <w:t>Test Scenario</w:t>
            </w:r>
          </w:p>
        </w:tc>
        <w:tc>
          <w:tcPr>
            <w:tcW w:type="dxa" w:w="3744"/>
            <w:shd w:fill="2B6CB0"/>
            <w:tcMar>
              <w:top w:w="140" w:type="dxa"/>
              <w:bottom w:w="140" w:type="dxa"/>
              <w:left w:w="140" w:type="dxa"/>
              <w:right w:w="140" w:type="dxa"/>
            </w:tcMar>
            <w:vAlign w:val="center"/>
          </w:tcPr>
          <w:p>
            <w:pPr>
              <w:spacing w:before="0" w:after="0"/>
              <w:jc w:val="center"/>
            </w:pPr>
            <w:r>
              <w:rPr>
                <w:rFonts w:ascii="Times New Roman" w:hAnsi="Times New Roman"/>
                <w:b/>
                <w:color w:val="FFFFFF"/>
                <w:sz w:val="21"/>
              </w:rPr>
              <w:t>Expected Result</w:t>
            </w:r>
          </w:p>
        </w:tc>
        <w:tc>
          <w:tcPr>
            <w:tcW w:type="dxa" w:w="720"/>
            <w:shd w:fill="2B6CB0"/>
            <w:tcMar>
              <w:top w:w="140" w:type="dxa"/>
              <w:bottom w:w="140" w:type="dxa"/>
              <w:left w:w="140" w:type="dxa"/>
              <w:right w:w="140" w:type="dxa"/>
            </w:tcMar>
            <w:vAlign w:val="center"/>
          </w:tcPr>
          <w:p>
            <w:pPr>
              <w:spacing w:before="0" w:after="0"/>
              <w:jc w:val="center"/>
            </w:pPr>
            <w:r>
              <w:rPr>
                <w:rFonts w:ascii="Times New Roman" w:hAnsi="Times New Roman"/>
                <w:b/>
                <w:color w:val="FFFFFF"/>
                <w:sz w:val="21"/>
              </w:rPr>
              <w:t>Status</w:t>
            </w:r>
          </w:p>
        </w:tc>
      </w:tr>
      <w:tr>
        <w:trPr>
          <w:cantSplit/>
        </w:trPr>
        <w:tc>
          <w:tcPr>
            <w:tcW w:type="dxa" w:w="1296"/>
            <w:tcMar>
              <w:top w:w="100" w:type="dxa"/>
              <w:bottom w:w="100" w:type="dxa"/>
              <w:left w:w="140" w:type="dxa"/>
              <w:right w:w="140" w:type="dxa"/>
            </w:tcMar>
            <w:vAlign w:val="center"/>
          </w:tcPr>
          <w:p>
            <w:pPr>
              <w:spacing w:before="0" w:after="0"/>
              <w:jc w:val="center"/>
            </w:pPr>
            <w:r>
              <w:rPr>
                <w:rFonts w:ascii="Times New Roman" w:hAnsi="Times New Roman"/>
                <w:color w:val="0F172A"/>
                <w:sz w:val="20"/>
              </w:rPr>
              <w:t>TC-01a</w:t>
            </w:r>
          </w:p>
        </w:tc>
        <w:tc>
          <w:tcPr>
            <w:tcW w:type="dxa" w:w="3168"/>
            <w:tcMar>
              <w:top w:w="100" w:type="dxa"/>
              <w:bottom w:w="100" w:type="dxa"/>
              <w:left w:w="140" w:type="dxa"/>
              <w:right w:w="140" w:type="dxa"/>
            </w:tcMar>
            <w:vAlign w:val="center"/>
          </w:tcPr>
          <w:p>
            <w:pPr>
              <w:spacing w:before="0" w:after="0"/>
              <w:jc w:val="left"/>
            </w:pPr>
            <w:r>
              <w:rPr>
                <w:rFonts w:ascii="Times New Roman" w:hAnsi="Times New Roman"/>
                <w:color w:val="0F172A"/>
                <w:sz w:val="20"/>
              </w:rPr>
              <w:t>User registration with valid name, email, &amp; password.</w:t>
            </w:r>
          </w:p>
        </w:tc>
        <w:tc>
          <w:tcPr>
            <w:tcW w:type="dxa" w:w="3744"/>
            <w:tcMar>
              <w:top w:w="100" w:type="dxa"/>
              <w:bottom w:w="100" w:type="dxa"/>
              <w:left w:w="140" w:type="dxa"/>
              <w:right w:w="140" w:type="dxa"/>
            </w:tcMar>
            <w:vAlign w:val="center"/>
          </w:tcPr>
          <w:p>
            <w:pPr>
              <w:spacing w:before="0" w:after="0"/>
              <w:jc w:val="left"/>
            </w:pPr>
            <w:r>
              <w:rPr>
                <w:rFonts w:ascii="Times New Roman" w:hAnsi="Times New Roman"/>
                <w:color w:val="0F172A"/>
                <w:sz w:val="20"/>
              </w:rPr>
              <w:t>Account created in PostgreSQL; password hashed with bcrypt 12-round; returns 201 Created.</w:t>
            </w:r>
          </w:p>
        </w:tc>
        <w:tc>
          <w:tcPr>
            <w:tcW w:type="dxa" w:w="720"/>
            <w:tcMar>
              <w:top w:w="100" w:type="dxa"/>
              <w:bottom w:w="100" w:type="dxa"/>
              <w:left w:w="140" w:type="dxa"/>
              <w:right w:w="140" w:type="dxa"/>
            </w:tcMar>
            <w:vAlign w:val="center"/>
          </w:tcPr>
          <w:p>
            <w:pPr>
              <w:spacing w:before="0" w:after="0"/>
              <w:jc w:val="center"/>
            </w:pPr>
            <w:r>
              <w:rPr>
                <w:rFonts w:ascii="Times New Roman" w:hAnsi="Times New Roman"/>
                <w:color w:val="0F172A"/>
                <w:sz w:val="20"/>
              </w:rPr>
              <w:t>Pass</w:t>
            </w:r>
          </w:p>
        </w:tc>
      </w:tr>
      <w:tr>
        <w:trPr>
          <w:cantSplit/>
        </w:trPr>
        <w:tc>
          <w:tcPr>
            <w:tcW w:type="dxa" w:w="1296"/>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TC-01b</w:t>
            </w:r>
          </w:p>
        </w:tc>
        <w:tc>
          <w:tcPr>
            <w:tcW w:type="dxa" w:w="316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Registration attempt with duplicate email address.</w:t>
            </w:r>
          </w:p>
        </w:tc>
        <w:tc>
          <w:tcPr>
            <w:tcW w:type="dxa" w:w="3744"/>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Registration rejected; returns 409 Conflict 'Email already exists'; no duplicate row created.</w:t>
            </w:r>
          </w:p>
        </w:tc>
        <w:tc>
          <w:tcPr>
            <w:tcW w:type="dxa" w:w="720"/>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Pass</w:t>
            </w:r>
          </w:p>
        </w:tc>
      </w:tr>
      <w:tr>
        <w:trPr>
          <w:cantSplit/>
        </w:trPr>
        <w:tc>
          <w:tcPr>
            <w:tcW w:type="dxa" w:w="1296"/>
            <w:tcMar>
              <w:top w:w="100" w:type="dxa"/>
              <w:bottom w:w="100" w:type="dxa"/>
              <w:left w:w="140" w:type="dxa"/>
              <w:right w:w="140" w:type="dxa"/>
            </w:tcMar>
            <w:vAlign w:val="center"/>
          </w:tcPr>
          <w:p>
            <w:pPr>
              <w:spacing w:before="0" w:after="0"/>
              <w:jc w:val="center"/>
            </w:pPr>
            <w:r>
              <w:rPr>
                <w:rFonts w:ascii="Times New Roman" w:hAnsi="Times New Roman"/>
                <w:color w:val="0F172A"/>
                <w:sz w:val="20"/>
              </w:rPr>
              <w:t>TC-02a</w:t>
            </w:r>
          </w:p>
        </w:tc>
        <w:tc>
          <w:tcPr>
            <w:tcW w:type="dxa" w:w="3168"/>
            <w:tcMar>
              <w:top w:w="100" w:type="dxa"/>
              <w:bottom w:w="100" w:type="dxa"/>
              <w:left w:w="140" w:type="dxa"/>
              <w:right w:w="140" w:type="dxa"/>
            </w:tcMar>
            <w:vAlign w:val="center"/>
          </w:tcPr>
          <w:p>
            <w:pPr>
              <w:spacing w:before="0" w:after="0"/>
              <w:jc w:val="left"/>
            </w:pPr>
            <w:r>
              <w:rPr>
                <w:rFonts w:ascii="Times New Roman" w:hAnsi="Times New Roman"/>
                <w:color w:val="0F172A"/>
                <w:sz w:val="20"/>
              </w:rPr>
              <w:t>User login with valid analyst credentials.</w:t>
            </w:r>
          </w:p>
        </w:tc>
        <w:tc>
          <w:tcPr>
            <w:tcW w:type="dxa" w:w="3744"/>
            <w:tcMar>
              <w:top w:w="100" w:type="dxa"/>
              <w:bottom w:w="100" w:type="dxa"/>
              <w:left w:w="140" w:type="dxa"/>
              <w:right w:w="140" w:type="dxa"/>
            </w:tcMar>
            <w:vAlign w:val="center"/>
          </w:tcPr>
          <w:p>
            <w:pPr>
              <w:spacing w:before="0" w:after="0"/>
              <w:jc w:val="left"/>
            </w:pPr>
            <w:r>
              <w:rPr>
                <w:rFonts w:ascii="Times New Roman" w:hAnsi="Times New Roman"/>
                <w:color w:val="0F172A"/>
                <w:sz w:val="20"/>
              </w:rPr>
              <w:t>JWT access (15m) &amp; refresh (7d) tokens generated; user redirected to SOC dashboard.</w:t>
            </w:r>
          </w:p>
        </w:tc>
        <w:tc>
          <w:tcPr>
            <w:tcW w:type="dxa" w:w="720"/>
            <w:tcMar>
              <w:top w:w="100" w:type="dxa"/>
              <w:bottom w:w="100" w:type="dxa"/>
              <w:left w:w="140" w:type="dxa"/>
              <w:right w:w="140" w:type="dxa"/>
            </w:tcMar>
            <w:vAlign w:val="center"/>
          </w:tcPr>
          <w:p>
            <w:pPr>
              <w:spacing w:before="0" w:after="0"/>
              <w:jc w:val="center"/>
            </w:pPr>
            <w:r>
              <w:rPr>
                <w:rFonts w:ascii="Times New Roman" w:hAnsi="Times New Roman"/>
                <w:color w:val="0F172A"/>
                <w:sz w:val="20"/>
              </w:rPr>
              <w:t>Pass</w:t>
            </w:r>
          </w:p>
        </w:tc>
      </w:tr>
      <w:tr>
        <w:trPr>
          <w:cantSplit/>
        </w:trPr>
        <w:tc>
          <w:tcPr>
            <w:tcW w:type="dxa" w:w="1296"/>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TC-02b</w:t>
            </w:r>
          </w:p>
        </w:tc>
        <w:tc>
          <w:tcPr>
            <w:tcW w:type="dxa" w:w="316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User login with incorrect password.</w:t>
            </w:r>
          </w:p>
        </w:tc>
        <w:tc>
          <w:tcPr>
            <w:tcW w:type="dxa" w:w="3744"/>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Authentication rejected; returns 401 Unauthorized 'Invalid credentials'; zero tokens issued.</w:t>
            </w:r>
          </w:p>
        </w:tc>
        <w:tc>
          <w:tcPr>
            <w:tcW w:type="dxa" w:w="720"/>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Pass</w:t>
            </w:r>
          </w:p>
        </w:tc>
      </w:tr>
      <w:tr>
        <w:trPr>
          <w:cantSplit/>
        </w:trPr>
        <w:tc>
          <w:tcPr>
            <w:tcW w:type="dxa" w:w="1296"/>
            <w:tcMar>
              <w:top w:w="100" w:type="dxa"/>
              <w:bottom w:w="100" w:type="dxa"/>
              <w:left w:w="140" w:type="dxa"/>
              <w:right w:w="140" w:type="dxa"/>
            </w:tcMar>
            <w:vAlign w:val="center"/>
          </w:tcPr>
          <w:p>
            <w:pPr>
              <w:spacing w:before="0" w:after="0"/>
              <w:jc w:val="center"/>
            </w:pPr>
            <w:r>
              <w:rPr>
                <w:rFonts w:ascii="Times New Roman" w:hAnsi="Times New Roman"/>
                <w:color w:val="0F172A"/>
                <w:sz w:val="20"/>
              </w:rPr>
              <w:t>TC-03a</w:t>
            </w:r>
          </w:p>
        </w:tc>
        <w:tc>
          <w:tcPr>
            <w:tcW w:type="dxa" w:w="3168"/>
            <w:tcMar>
              <w:top w:w="100" w:type="dxa"/>
              <w:bottom w:w="100" w:type="dxa"/>
              <w:left w:w="140" w:type="dxa"/>
              <w:right w:w="140" w:type="dxa"/>
            </w:tcMar>
            <w:vAlign w:val="center"/>
          </w:tcPr>
          <w:p>
            <w:pPr>
              <w:spacing w:before="0" w:after="0"/>
              <w:jc w:val="left"/>
            </w:pPr>
            <w:r>
              <w:rPr>
                <w:rFonts w:ascii="Times New Roman" w:hAnsi="Times New Roman"/>
                <w:color w:val="0F172A"/>
                <w:sz w:val="20"/>
              </w:rPr>
              <w:t>Ingest valid single security log via POST /api/logs.</w:t>
            </w:r>
          </w:p>
        </w:tc>
        <w:tc>
          <w:tcPr>
            <w:tcW w:type="dxa" w:w="3744"/>
            <w:tcMar>
              <w:top w:w="100" w:type="dxa"/>
              <w:bottom w:w="100" w:type="dxa"/>
              <w:left w:w="140" w:type="dxa"/>
              <w:right w:w="140" w:type="dxa"/>
            </w:tcMar>
            <w:vAlign w:val="center"/>
          </w:tcPr>
          <w:p>
            <w:pPr>
              <w:spacing w:before="0" w:after="0"/>
              <w:jc w:val="left"/>
            </w:pPr>
            <w:r>
              <w:rPr>
                <w:rFonts w:ascii="Times New Roman" w:hAnsi="Times New Roman"/>
                <w:color w:val="0F172A"/>
                <w:sz w:val="20"/>
              </w:rPr>
              <w:t>Payload validated; saved in MongoDB with isProcessed=false; job added to Redis; returns 201.</w:t>
            </w:r>
          </w:p>
        </w:tc>
        <w:tc>
          <w:tcPr>
            <w:tcW w:type="dxa" w:w="720"/>
            <w:tcMar>
              <w:top w:w="100" w:type="dxa"/>
              <w:bottom w:w="100" w:type="dxa"/>
              <w:left w:w="140" w:type="dxa"/>
              <w:right w:w="140" w:type="dxa"/>
            </w:tcMar>
            <w:vAlign w:val="center"/>
          </w:tcPr>
          <w:p>
            <w:pPr>
              <w:spacing w:before="0" w:after="0"/>
              <w:jc w:val="center"/>
            </w:pPr>
            <w:r>
              <w:rPr>
                <w:rFonts w:ascii="Times New Roman" w:hAnsi="Times New Roman"/>
                <w:color w:val="0F172A"/>
                <w:sz w:val="20"/>
              </w:rPr>
              <w:t>Pass</w:t>
            </w:r>
          </w:p>
        </w:tc>
      </w:tr>
      <w:tr>
        <w:trPr>
          <w:cantSplit/>
        </w:trPr>
        <w:tc>
          <w:tcPr>
            <w:tcW w:type="dxa" w:w="1296"/>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TC-03b</w:t>
            </w:r>
          </w:p>
        </w:tc>
        <w:tc>
          <w:tcPr>
            <w:tcW w:type="dxa" w:w="316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Ingest log with malformed IP or missing port.</w:t>
            </w:r>
          </w:p>
        </w:tc>
        <w:tc>
          <w:tcPr>
            <w:tcW w:type="dxa" w:w="3744"/>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ValidationPipe rejects request; returns 400 Bad Request with field-level error messages.</w:t>
            </w:r>
          </w:p>
        </w:tc>
        <w:tc>
          <w:tcPr>
            <w:tcW w:type="dxa" w:w="720"/>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Pass</w:t>
            </w:r>
          </w:p>
        </w:tc>
      </w:tr>
      <w:tr>
        <w:trPr>
          <w:cantSplit/>
        </w:trPr>
        <w:tc>
          <w:tcPr>
            <w:tcW w:type="dxa" w:w="1296"/>
            <w:tcMar>
              <w:top w:w="100" w:type="dxa"/>
              <w:bottom w:w="100" w:type="dxa"/>
              <w:left w:w="140" w:type="dxa"/>
              <w:right w:w="140" w:type="dxa"/>
            </w:tcMar>
            <w:vAlign w:val="center"/>
          </w:tcPr>
          <w:p>
            <w:pPr>
              <w:spacing w:before="0" w:after="0"/>
              <w:jc w:val="center"/>
            </w:pPr>
            <w:r>
              <w:rPr>
                <w:rFonts w:ascii="Times New Roman" w:hAnsi="Times New Roman"/>
                <w:color w:val="0F172A"/>
                <w:sz w:val="20"/>
              </w:rPr>
              <w:t>TC-04a</w:t>
            </w:r>
          </w:p>
        </w:tc>
        <w:tc>
          <w:tcPr>
            <w:tcW w:type="dxa" w:w="3168"/>
            <w:tcMar>
              <w:top w:w="100" w:type="dxa"/>
              <w:bottom w:w="100" w:type="dxa"/>
              <w:left w:w="140" w:type="dxa"/>
              <w:right w:w="140" w:type="dxa"/>
            </w:tcMar>
            <w:vAlign w:val="center"/>
          </w:tcPr>
          <w:p>
            <w:pPr>
              <w:spacing w:before="0" w:after="0"/>
              <w:jc w:val="left"/>
            </w:pPr>
            <w:r>
              <w:rPr>
                <w:rFonts w:ascii="Times New Roman" w:hAnsi="Times New Roman"/>
                <w:color w:val="0F172A"/>
                <w:sz w:val="20"/>
              </w:rPr>
              <w:t>ML engine analyzes benign web traffic log.</w:t>
            </w:r>
          </w:p>
        </w:tc>
        <w:tc>
          <w:tcPr>
            <w:tcW w:type="dxa" w:w="3744"/>
            <w:tcMar>
              <w:top w:w="100" w:type="dxa"/>
              <w:bottom w:w="100" w:type="dxa"/>
              <w:left w:w="140" w:type="dxa"/>
              <w:right w:w="140" w:type="dxa"/>
            </w:tcMar>
            <w:vAlign w:val="center"/>
          </w:tcPr>
          <w:p>
            <w:pPr>
              <w:spacing w:before="0" w:after="0"/>
              <w:jc w:val="left"/>
            </w:pPr>
            <w:r>
              <w:rPr>
                <w:rFonts w:ascii="Times New Roman" w:hAnsi="Times New Roman"/>
                <w:color w:val="0F172A"/>
                <w:sz w:val="20"/>
              </w:rPr>
              <w:t>Isolation Forest &amp; OCSVM compute anomaly score &lt; 0.2; Threat Score &lt; 40; no alert generated.</w:t>
            </w:r>
          </w:p>
        </w:tc>
        <w:tc>
          <w:tcPr>
            <w:tcW w:type="dxa" w:w="720"/>
            <w:tcMar>
              <w:top w:w="100" w:type="dxa"/>
              <w:bottom w:w="100" w:type="dxa"/>
              <w:left w:w="140" w:type="dxa"/>
              <w:right w:w="140" w:type="dxa"/>
            </w:tcMar>
            <w:vAlign w:val="center"/>
          </w:tcPr>
          <w:p>
            <w:pPr>
              <w:spacing w:before="0" w:after="0"/>
              <w:jc w:val="center"/>
            </w:pPr>
            <w:r>
              <w:rPr>
                <w:rFonts w:ascii="Times New Roman" w:hAnsi="Times New Roman"/>
                <w:color w:val="0F172A"/>
                <w:sz w:val="20"/>
              </w:rPr>
              <w:t>Pass</w:t>
            </w:r>
          </w:p>
        </w:tc>
      </w:tr>
      <w:tr>
        <w:trPr>
          <w:cantSplit/>
        </w:trPr>
        <w:tc>
          <w:tcPr>
            <w:tcW w:type="dxa" w:w="1296"/>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TC-04b</w:t>
            </w:r>
          </w:p>
        </w:tc>
        <w:tc>
          <w:tcPr>
            <w:tcW w:type="dxa" w:w="316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ML engine analyzes port scan / brute force event.</w:t>
            </w:r>
          </w:p>
        </w:tc>
        <w:tc>
          <w:tcPr>
            <w:tcW w:type="dxa" w:w="3744"/>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Ensemble flags anomaly (score &gt; 0.85); Threat Score &gt;= 60; SHAP reasons generated; Alert created.</w:t>
            </w:r>
          </w:p>
        </w:tc>
        <w:tc>
          <w:tcPr>
            <w:tcW w:type="dxa" w:w="720"/>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Pass</w:t>
            </w:r>
          </w:p>
        </w:tc>
      </w:tr>
      <w:tr>
        <w:trPr>
          <w:cantSplit/>
        </w:trPr>
        <w:tc>
          <w:tcPr>
            <w:tcW w:type="dxa" w:w="1296"/>
            <w:tcMar>
              <w:top w:w="100" w:type="dxa"/>
              <w:bottom w:w="100" w:type="dxa"/>
              <w:left w:w="140" w:type="dxa"/>
              <w:right w:w="140" w:type="dxa"/>
            </w:tcMar>
            <w:vAlign w:val="center"/>
          </w:tcPr>
          <w:p>
            <w:pPr>
              <w:spacing w:before="0" w:after="0"/>
              <w:jc w:val="center"/>
            </w:pPr>
            <w:r>
              <w:rPr>
                <w:rFonts w:ascii="Times New Roman" w:hAnsi="Times New Roman"/>
                <w:color w:val="0F172A"/>
                <w:sz w:val="20"/>
              </w:rPr>
              <w:t>TC-04c</w:t>
            </w:r>
          </w:p>
        </w:tc>
        <w:tc>
          <w:tcPr>
            <w:tcW w:type="dxa" w:w="3168"/>
            <w:tcMar>
              <w:top w:w="100" w:type="dxa"/>
              <w:bottom w:w="100" w:type="dxa"/>
              <w:left w:w="140" w:type="dxa"/>
              <w:right w:w="140" w:type="dxa"/>
            </w:tcMar>
            <w:vAlign w:val="center"/>
          </w:tcPr>
          <w:p>
            <w:pPr>
              <w:spacing w:before="0" w:after="0"/>
              <w:jc w:val="left"/>
            </w:pPr>
            <w:r>
              <w:rPr>
                <w:rFonts w:ascii="Times New Roman" w:hAnsi="Times New Roman"/>
                <w:color w:val="0F172A"/>
                <w:sz w:val="20"/>
              </w:rPr>
              <w:t>FastAPI ML service is temporarily offline.</w:t>
            </w:r>
          </w:p>
        </w:tc>
        <w:tc>
          <w:tcPr>
            <w:tcW w:type="dxa" w:w="3744"/>
            <w:tcMar>
              <w:top w:w="100" w:type="dxa"/>
              <w:bottom w:w="100" w:type="dxa"/>
              <w:left w:w="140" w:type="dxa"/>
              <w:right w:w="140" w:type="dxa"/>
            </w:tcMar>
            <w:vAlign w:val="center"/>
          </w:tcPr>
          <w:p>
            <w:pPr>
              <w:spacing w:before="0" w:after="0"/>
              <w:jc w:val="left"/>
            </w:pPr>
            <w:r>
              <w:rPr>
                <w:rFonts w:ascii="Times New Roman" w:hAnsi="Times New Roman"/>
                <w:color w:val="0F172A"/>
                <w:sz w:val="20"/>
              </w:rPr>
              <w:t>BullMQ worker catches error, retries with exponential backoff; ingestion continues without crash.</w:t>
            </w:r>
          </w:p>
        </w:tc>
        <w:tc>
          <w:tcPr>
            <w:tcW w:type="dxa" w:w="720"/>
            <w:tcMar>
              <w:top w:w="100" w:type="dxa"/>
              <w:bottom w:w="100" w:type="dxa"/>
              <w:left w:w="140" w:type="dxa"/>
              <w:right w:w="140" w:type="dxa"/>
            </w:tcMar>
            <w:vAlign w:val="center"/>
          </w:tcPr>
          <w:p>
            <w:pPr>
              <w:spacing w:before="0" w:after="0"/>
              <w:jc w:val="center"/>
            </w:pPr>
            <w:r>
              <w:rPr>
                <w:rFonts w:ascii="Times New Roman" w:hAnsi="Times New Roman"/>
                <w:color w:val="0F172A"/>
                <w:sz w:val="20"/>
              </w:rPr>
              <w:t>Pass</w:t>
            </w:r>
          </w:p>
        </w:tc>
      </w:tr>
      <w:tr>
        <w:trPr>
          <w:cantSplit/>
        </w:trPr>
        <w:tc>
          <w:tcPr>
            <w:tcW w:type="dxa" w:w="1296"/>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TC-05a</w:t>
            </w:r>
          </w:p>
        </w:tc>
        <w:tc>
          <w:tcPr>
            <w:tcW w:type="dxa" w:w="316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Analyst updates alert status to 'INVESTIGATING'.</w:t>
            </w:r>
          </w:p>
        </w:tc>
        <w:tc>
          <w:tcPr>
            <w:tcW w:type="dxa" w:w="3744"/>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PostgreSQL alert status updated; audit log recorded; reflected immediately on SOC triage board.</w:t>
            </w:r>
          </w:p>
        </w:tc>
        <w:tc>
          <w:tcPr>
            <w:tcW w:type="dxa" w:w="720"/>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Pass</w:t>
            </w:r>
          </w:p>
        </w:tc>
      </w:tr>
      <w:tr>
        <w:trPr>
          <w:cantSplit/>
        </w:trPr>
        <w:tc>
          <w:tcPr>
            <w:tcW w:type="dxa" w:w="1296"/>
            <w:tcMar>
              <w:top w:w="100" w:type="dxa"/>
              <w:bottom w:w="100" w:type="dxa"/>
              <w:left w:w="140" w:type="dxa"/>
              <w:right w:w="140" w:type="dxa"/>
            </w:tcMar>
            <w:vAlign w:val="center"/>
          </w:tcPr>
          <w:p>
            <w:pPr>
              <w:spacing w:before="0" w:after="0"/>
              <w:jc w:val="center"/>
            </w:pPr>
            <w:r>
              <w:rPr>
                <w:rFonts w:ascii="Times New Roman" w:hAnsi="Times New Roman"/>
                <w:color w:val="0F172A"/>
                <w:sz w:val="20"/>
              </w:rPr>
              <w:t>TC-05b</w:t>
            </w:r>
          </w:p>
        </w:tc>
        <w:tc>
          <w:tcPr>
            <w:tcW w:type="dxa" w:w="3168"/>
            <w:tcMar>
              <w:top w:w="100" w:type="dxa"/>
              <w:bottom w:w="100" w:type="dxa"/>
              <w:left w:w="140" w:type="dxa"/>
              <w:right w:w="140" w:type="dxa"/>
            </w:tcMar>
            <w:vAlign w:val="center"/>
          </w:tcPr>
          <w:p>
            <w:pPr>
              <w:spacing w:before="0" w:after="0"/>
              <w:jc w:val="left"/>
            </w:pPr>
            <w:r>
              <w:rPr>
                <w:rFonts w:ascii="Times New Roman" w:hAnsi="Times New Roman"/>
                <w:color w:val="0F172A"/>
                <w:sz w:val="20"/>
              </w:rPr>
              <w:t>Viewer role attempts to resolve an alert via API.</w:t>
            </w:r>
          </w:p>
        </w:tc>
        <w:tc>
          <w:tcPr>
            <w:tcW w:type="dxa" w:w="3744"/>
            <w:tcMar>
              <w:top w:w="100" w:type="dxa"/>
              <w:bottom w:w="100" w:type="dxa"/>
              <w:left w:w="140" w:type="dxa"/>
              <w:right w:w="140" w:type="dxa"/>
            </w:tcMar>
            <w:vAlign w:val="center"/>
          </w:tcPr>
          <w:p>
            <w:pPr>
              <w:spacing w:before="0" w:after="0"/>
              <w:jc w:val="left"/>
            </w:pPr>
            <w:r>
              <w:rPr>
                <w:rFonts w:ascii="Times New Roman" w:hAnsi="Times New Roman"/>
                <w:color w:val="0F172A"/>
                <w:sz w:val="20"/>
              </w:rPr>
              <w:t>RolesGuard blocks request; returns 403 Forbidden 'Insufficient role permissions'.</w:t>
            </w:r>
          </w:p>
        </w:tc>
        <w:tc>
          <w:tcPr>
            <w:tcW w:type="dxa" w:w="720"/>
            <w:tcMar>
              <w:top w:w="100" w:type="dxa"/>
              <w:bottom w:w="100" w:type="dxa"/>
              <w:left w:w="140" w:type="dxa"/>
              <w:right w:w="140" w:type="dxa"/>
            </w:tcMar>
            <w:vAlign w:val="center"/>
          </w:tcPr>
          <w:p>
            <w:pPr>
              <w:spacing w:before="0" w:after="0"/>
              <w:jc w:val="center"/>
            </w:pPr>
            <w:r>
              <w:rPr>
                <w:rFonts w:ascii="Times New Roman" w:hAnsi="Times New Roman"/>
                <w:color w:val="0F172A"/>
                <w:sz w:val="20"/>
              </w:rPr>
              <w:t>Pass</w:t>
            </w:r>
          </w:p>
        </w:tc>
      </w:tr>
      <w:tr>
        <w:trPr>
          <w:cantSplit/>
        </w:trPr>
        <w:tc>
          <w:tcPr>
            <w:tcW w:type="dxa" w:w="1296"/>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TC-06a</w:t>
            </w:r>
          </w:p>
        </w:tc>
        <w:tc>
          <w:tcPr>
            <w:tcW w:type="dxa" w:w="316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Analyst blocks confirmed malicious IP address.</w:t>
            </w:r>
          </w:p>
        </w:tc>
        <w:tc>
          <w:tcPr>
            <w:tcW w:type="dxa" w:w="3744"/>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IP saved to blocked_ips table; audit record logged; subsequent traffic flagged as blocked.</w:t>
            </w:r>
          </w:p>
        </w:tc>
        <w:tc>
          <w:tcPr>
            <w:tcW w:type="dxa" w:w="720"/>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Pass</w:t>
            </w:r>
          </w:p>
        </w:tc>
      </w:tr>
      <w:tr>
        <w:trPr>
          <w:cantSplit/>
        </w:trPr>
        <w:tc>
          <w:tcPr>
            <w:tcW w:type="dxa" w:w="1296"/>
            <w:tcMar>
              <w:top w:w="100" w:type="dxa"/>
              <w:bottom w:w="100" w:type="dxa"/>
              <w:left w:w="140" w:type="dxa"/>
              <w:right w:w="140" w:type="dxa"/>
            </w:tcMar>
            <w:vAlign w:val="center"/>
          </w:tcPr>
          <w:p>
            <w:pPr>
              <w:spacing w:before="0" w:after="0"/>
              <w:jc w:val="center"/>
            </w:pPr>
            <w:r>
              <w:rPr>
                <w:rFonts w:ascii="Times New Roman" w:hAnsi="Times New Roman"/>
                <w:color w:val="0F172A"/>
                <w:sz w:val="20"/>
              </w:rPr>
              <w:t>TC-07a</w:t>
            </w:r>
          </w:p>
        </w:tc>
        <w:tc>
          <w:tcPr>
            <w:tcW w:type="dxa" w:w="3168"/>
            <w:tcMar>
              <w:top w:w="100" w:type="dxa"/>
              <w:bottom w:w="100" w:type="dxa"/>
              <w:left w:w="140" w:type="dxa"/>
              <w:right w:w="140" w:type="dxa"/>
            </w:tcMar>
            <w:vAlign w:val="center"/>
          </w:tcPr>
          <w:p>
            <w:pPr>
              <w:spacing w:before="0" w:after="0"/>
              <w:jc w:val="left"/>
            </w:pPr>
            <w:r>
              <w:rPr>
                <w:rFonts w:ascii="Times New Roman" w:hAnsi="Times New Roman"/>
                <w:color w:val="0F172A"/>
                <w:sz w:val="20"/>
              </w:rPr>
              <w:t>Predictive engine analyzes sequential reconnaissance.</w:t>
            </w:r>
          </w:p>
        </w:tc>
        <w:tc>
          <w:tcPr>
            <w:tcW w:type="dxa" w:w="3744"/>
            <w:tcMar>
              <w:top w:w="100" w:type="dxa"/>
              <w:bottom w:w="100" w:type="dxa"/>
              <w:left w:w="140" w:type="dxa"/>
              <w:right w:w="140" w:type="dxa"/>
            </w:tcMar>
            <w:vAlign w:val="center"/>
          </w:tcPr>
          <w:p>
            <w:pPr>
              <w:spacing w:before="0" w:after="0"/>
              <w:jc w:val="left"/>
            </w:pPr>
            <w:r>
              <w:rPr>
                <w:rFonts w:ascii="Times New Roman" w:hAnsi="Times New Roman"/>
                <w:color w:val="0F172A"/>
                <w:sz w:val="20"/>
              </w:rPr>
              <w:t>Calculates &gt; 80% confidence for impending exploitation; renders MITRE ATT&amp;CK card.</w:t>
            </w:r>
          </w:p>
        </w:tc>
        <w:tc>
          <w:tcPr>
            <w:tcW w:type="dxa" w:w="720"/>
            <w:tcMar>
              <w:top w:w="100" w:type="dxa"/>
              <w:bottom w:w="100" w:type="dxa"/>
              <w:left w:w="140" w:type="dxa"/>
              <w:right w:w="140" w:type="dxa"/>
            </w:tcMar>
            <w:vAlign w:val="center"/>
          </w:tcPr>
          <w:p>
            <w:pPr>
              <w:spacing w:before="0" w:after="0"/>
              <w:jc w:val="center"/>
            </w:pPr>
            <w:r>
              <w:rPr>
                <w:rFonts w:ascii="Times New Roman" w:hAnsi="Times New Roman"/>
                <w:color w:val="0F172A"/>
                <w:sz w:val="20"/>
              </w:rPr>
              <w:t>Pass</w:t>
            </w:r>
          </w:p>
        </w:tc>
      </w:tr>
      <w:tr>
        <w:trPr>
          <w:cantSplit/>
        </w:trPr>
        <w:tc>
          <w:tcPr>
            <w:tcW w:type="dxa" w:w="1296"/>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TC-08a</w:t>
            </w:r>
          </w:p>
        </w:tc>
        <w:tc>
          <w:tcPr>
            <w:tcW w:type="dxa" w:w="316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Admin views master SOC analytics &amp; KPI counters.</w:t>
            </w:r>
          </w:p>
        </w:tc>
        <w:tc>
          <w:tcPr>
            <w:tcW w:type="dxa" w:w="3744"/>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Real-time counts for Total Logs, Alerts, Critical Incidents, and Blocked IPs displayed accurately.</w:t>
            </w:r>
          </w:p>
        </w:tc>
        <w:tc>
          <w:tcPr>
            <w:tcW w:type="dxa" w:w="720"/>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Pass</w:t>
            </w:r>
          </w:p>
        </w:tc>
      </w:tr>
      <w:tr>
        <w:trPr>
          <w:cantSplit/>
        </w:trPr>
        <w:tc>
          <w:tcPr>
            <w:tcW w:type="dxa" w:w="1296"/>
            <w:tcMar>
              <w:top w:w="100" w:type="dxa"/>
              <w:bottom w:w="100" w:type="dxa"/>
              <w:left w:w="140" w:type="dxa"/>
              <w:right w:w="140" w:type="dxa"/>
            </w:tcMar>
            <w:vAlign w:val="center"/>
          </w:tcPr>
          <w:p>
            <w:pPr>
              <w:spacing w:before="0" w:after="0"/>
              <w:jc w:val="center"/>
            </w:pPr>
            <w:r>
              <w:rPr>
                <w:rFonts w:ascii="Times New Roman" w:hAnsi="Times New Roman"/>
                <w:color w:val="0F172A"/>
                <w:sz w:val="20"/>
              </w:rPr>
              <w:t>TC-09a</w:t>
            </w:r>
          </w:p>
        </w:tc>
        <w:tc>
          <w:tcPr>
            <w:tcW w:type="dxa" w:w="3168"/>
            <w:tcMar>
              <w:top w:w="100" w:type="dxa"/>
              <w:bottom w:w="100" w:type="dxa"/>
              <w:left w:w="140" w:type="dxa"/>
              <w:right w:w="140" w:type="dxa"/>
            </w:tcMar>
            <w:vAlign w:val="center"/>
          </w:tcPr>
          <w:p>
            <w:pPr>
              <w:spacing w:before="0" w:after="0"/>
              <w:jc w:val="left"/>
            </w:pPr>
            <w:r>
              <w:rPr>
                <w:rFonts w:ascii="Times New Roman" w:hAnsi="Times New Roman"/>
                <w:color w:val="0F172A"/>
                <w:sz w:val="20"/>
              </w:rPr>
              <w:t>Export executive compliance audit report.</w:t>
            </w:r>
          </w:p>
        </w:tc>
        <w:tc>
          <w:tcPr>
            <w:tcW w:type="dxa" w:w="3744"/>
            <w:tcMar>
              <w:top w:w="100" w:type="dxa"/>
              <w:bottom w:w="100" w:type="dxa"/>
              <w:left w:w="140" w:type="dxa"/>
              <w:right w:w="140" w:type="dxa"/>
            </w:tcMar>
            <w:vAlign w:val="center"/>
          </w:tcPr>
          <w:p>
            <w:pPr>
              <w:spacing w:before="0" w:after="0"/>
              <w:jc w:val="left"/>
            </w:pPr>
            <w:r>
              <w:rPr>
                <w:rFonts w:ascii="Times New Roman" w:hAnsi="Times New Roman"/>
                <w:color w:val="0F172A"/>
                <w:sz w:val="20"/>
              </w:rPr>
              <w:t>Generates formatted PDF compliance summary with incident trends and mitigation timelines.</w:t>
            </w:r>
          </w:p>
        </w:tc>
        <w:tc>
          <w:tcPr>
            <w:tcW w:type="dxa" w:w="720"/>
            <w:tcMar>
              <w:top w:w="100" w:type="dxa"/>
              <w:bottom w:w="100" w:type="dxa"/>
              <w:left w:w="140" w:type="dxa"/>
              <w:right w:w="140" w:type="dxa"/>
            </w:tcMar>
            <w:vAlign w:val="center"/>
          </w:tcPr>
          <w:p>
            <w:pPr>
              <w:spacing w:before="0" w:after="0"/>
              <w:jc w:val="center"/>
            </w:pPr>
            <w:r>
              <w:rPr>
                <w:rFonts w:ascii="Times New Roman" w:hAnsi="Times New Roman"/>
                <w:color w:val="0F172A"/>
                <w:sz w:val="20"/>
              </w:rPr>
              <w:t>Pass</w:t>
            </w:r>
          </w:p>
        </w:tc>
      </w:tr>
    </w:tbl>
    <w:p>
      <w:r>
        <w:br w:type="page"/>
      </w:r>
    </w:p>
    <w:p>
      <w:pPr>
        <w:spacing w:before="280" w:after="80"/>
        <w:jc w:val="center"/>
      </w:pPr>
      <w:r>
        <w:rPr>
          <w:rFonts w:ascii="Times New Roman" w:hAnsi="Times New Roman"/>
          <w:b/>
          <w:sz w:val="36"/>
        </w:rPr>
        <w:t>CHAPTER 8</w:t>
      </w:r>
    </w:p>
    <w:p>
      <w:pPr>
        <w:spacing w:before="0" w:after="320"/>
        <w:jc w:val="center"/>
      </w:pPr>
      <w:r>
        <w:rPr>
          <w:rFonts w:ascii="Times New Roman" w:hAnsi="Times New Roman"/>
          <w:b/>
          <w:sz w:val="36"/>
        </w:rPr>
        <w:t>SYSTEM DESIGN</w:t>
      </w:r>
    </w:p>
    <w:p>
      <w:pPr>
        <w:spacing w:before="0" w:after="60"/>
        <w:ind w:left="288"/>
      </w:pPr>
      <w:r>
        <w:rPr>
          <w:rFonts w:ascii="Times New Roman" w:hAnsi="Times New Roman"/>
          <w:b/>
          <w:sz w:val="24"/>
        </w:rPr>
        <w:t>●  ARCHITECTURE DIAGRAM</w:t>
      </w:r>
    </w:p>
    <w:p>
      <w:pPr>
        <w:spacing w:before="0" w:after="60"/>
        <w:ind w:left="288"/>
      </w:pPr>
      <w:r>
        <w:rPr>
          <w:rFonts w:ascii="Times New Roman" w:hAnsi="Times New Roman"/>
          <w:b/>
          <w:sz w:val="24"/>
        </w:rPr>
        <w:t>●  CLASS DIAGRAM</w:t>
      </w:r>
    </w:p>
    <w:p>
      <w:pPr>
        <w:spacing w:before="0" w:after="60"/>
        <w:ind w:left="288"/>
      </w:pPr>
      <w:r>
        <w:rPr>
          <w:rFonts w:ascii="Times New Roman" w:hAnsi="Times New Roman"/>
          <w:b/>
          <w:sz w:val="24"/>
        </w:rPr>
        <w:t>●  USE-CASE DIAGRAM</w:t>
      </w:r>
    </w:p>
    <w:p>
      <w:pPr>
        <w:spacing w:before="0" w:after="60"/>
        <w:ind w:left="288"/>
      </w:pPr>
      <w:r>
        <w:rPr>
          <w:rFonts w:ascii="Times New Roman" w:hAnsi="Times New Roman"/>
          <w:b/>
          <w:sz w:val="24"/>
        </w:rPr>
        <w:t>●  ACTIVITY DIAGRAM</w:t>
      </w:r>
    </w:p>
    <w:p>
      <w:pPr>
        <w:spacing w:before="0" w:after="60"/>
        <w:ind w:left="288"/>
      </w:pPr>
      <w:r>
        <w:rPr>
          <w:rFonts w:ascii="Times New Roman" w:hAnsi="Times New Roman"/>
          <w:b/>
          <w:sz w:val="24"/>
        </w:rPr>
        <w:t>●  DATA FLOW DIAGRAMS</w:t>
      </w:r>
    </w:p>
    <w:p>
      <w:pPr>
        <w:spacing w:before="0" w:after="60"/>
        <w:ind w:left="288"/>
      </w:pPr>
      <w:r>
        <w:rPr>
          <w:rFonts w:ascii="Times New Roman" w:hAnsi="Times New Roman"/>
          <w:b/>
          <w:sz w:val="24"/>
        </w:rPr>
        <w:t>●  ER DIAGRAM &amp; DATA DICTIONARY</w:t>
      </w:r>
    </w:p>
    <w:p>
      <w:pPr>
        <w:spacing w:before="120" w:after="120"/>
      </w:pPr>
    </w:p>
    <w:p>
      <w:pPr>
        <w:keepNext/>
        <w:spacing w:before="280" w:after="80"/>
      </w:pPr>
      <w:r>
        <w:rPr>
          <w:rFonts w:ascii="Times New Roman" w:hAnsi="Times New Roman"/>
          <w:b/>
          <w:sz w:val="28"/>
        </w:rPr>
        <w:t>8.0 MULTI-TIER SYSTEM ARCHITECTURE</w:t>
      </w:r>
    </w:p>
    <w:p>
      <w:pPr>
        <w:spacing w:before="0" w:after="120" w:line="276" w:lineRule="auto"/>
        <w:jc w:val="both"/>
      </w:pPr>
      <w:r>
        <w:rPr>
          <w:rFonts w:ascii="Times New Roman" w:hAnsi="Times New Roman"/>
          <w:sz w:val="24"/>
        </w:rPr>
        <w:t>CyberShield-AI employs a decoupled, cloud-native multi-tier architecture separating the Presentation Layer (Next.js 16 + React 19 + Recharts + Leaflet), Application Services Layer (NestJS 11 REST API Server, BullMQ Queue Worker, and FastAPI ML Intelligence Microservice), and Data Persistence Layer (PostgreSQL 16, MongoDB 7, Redis 7, and Serialized Joblib Model Storage):</w:t>
      </w:r>
    </w:p>
    <w:p>
      <w:pPr>
        <w:keepNext/>
        <w:spacing w:before="160" w:after="80"/>
        <w:jc w:val="center"/>
      </w:pPr>
      <w:r>
        <w:drawing>
          <wp:inline xmlns:a="http://schemas.openxmlformats.org/drawingml/2006/main" xmlns:pic="http://schemas.openxmlformats.org/drawingml/2006/picture">
            <wp:extent cx="5303520" cy="3696393"/>
            <wp:docPr id="19" name="Picture 19"/>
            <wp:cNvGraphicFramePr>
              <a:graphicFrameLocks noChangeAspect="1"/>
            </wp:cNvGraphicFramePr>
            <a:graphic>
              <a:graphicData uri="http://schemas.openxmlformats.org/drawingml/2006/picture">
                <pic:pic>
                  <pic:nvPicPr>
                    <pic:cNvPr id="0" name="fig_8_0_architecture.png"/>
                    <pic:cNvPicPr/>
                  </pic:nvPicPr>
                  <pic:blipFill>
                    <a:blip r:embed="rId26"/>
                    <a:stretch>
                      <a:fillRect/>
                    </a:stretch>
                  </pic:blipFill>
                  <pic:spPr>
                    <a:xfrm>
                      <a:off x="0" y="0"/>
                      <a:ext cx="5303520" cy="3696393"/>
                    </a:xfrm>
                    <a:prstGeom prst="rect"/>
                  </pic:spPr>
                </pic:pic>
              </a:graphicData>
            </a:graphic>
          </wp:inline>
        </w:drawing>
      </w:r>
    </w:p>
    <w:p>
      <w:pPr>
        <w:keepNext/>
        <w:spacing w:before="40" w:after="160"/>
        <w:jc w:val="center"/>
      </w:pPr>
      <w:r>
        <w:rPr>
          <w:rFonts w:ascii="Times New Roman" w:hAnsi="Times New Roman"/>
          <w:b/>
          <w:i/>
          <w:sz w:val="21"/>
        </w:rPr>
        <w:t>Fig. 8.0: Multi-Tier System Architecture of CyberShield-AI Platform</w:t>
      </w:r>
    </w:p>
    <w:p>
      <w:pPr>
        <w:keepNext/>
        <w:spacing w:before="280" w:after="80"/>
      </w:pPr>
      <w:r>
        <w:rPr>
          <w:rFonts w:ascii="Times New Roman" w:hAnsi="Times New Roman"/>
          <w:b/>
          <w:sz w:val="28"/>
        </w:rPr>
        <w:t>8.1 CLASS DIAGRAM</w:t>
      </w:r>
    </w:p>
    <w:p>
      <w:pPr>
        <w:spacing w:before="0" w:after="120" w:line="276" w:lineRule="auto"/>
        <w:jc w:val="both"/>
      </w:pPr>
      <w:r>
        <w:rPr>
          <w:rFonts w:ascii="Times New Roman" w:hAnsi="Times New Roman"/>
          <w:sz w:val="24"/>
        </w:rPr>
        <w:t>The Class Diagram models structural system entities, data attributes, member operations, and relationships across users, security logs, incident alerts, threat scores, ML models, and containment records:</w:t>
      </w:r>
    </w:p>
    <w:p>
      <w:pPr>
        <w:keepNext/>
        <w:spacing w:before="160" w:after="80"/>
        <w:jc w:val="center"/>
      </w:pPr>
      <w:r>
        <w:drawing>
          <wp:inline xmlns:a="http://schemas.openxmlformats.org/drawingml/2006/main" xmlns:pic="http://schemas.openxmlformats.org/drawingml/2006/picture">
            <wp:extent cx="5303520" cy="3964247"/>
            <wp:docPr id="20" name="Picture 20"/>
            <wp:cNvGraphicFramePr>
              <a:graphicFrameLocks noChangeAspect="1"/>
            </wp:cNvGraphicFramePr>
            <a:graphic>
              <a:graphicData uri="http://schemas.openxmlformats.org/drawingml/2006/picture">
                <pic:pic>
                  <pic:nvPicPr>
                    <pic:cNvPr id="0" name="fig_8_1_class_diagram.png"/>
                    <pic:cNvPicPr/>
                  </pic:nvPicPr>
                  <pic:blipFill>
                    <a:blip r:embed="rId27"/>
                    <a:stretch>
                      <a:fillRect/>
                    </a:stretch>
                  </pic:blipFill>
                  <pic:spPr>
                    <a:xfrm>
                      <a:off x="0" y="0"/>
                      <a:ext cx="5303520" cy="3964247"/>
                    </a:xfrm>
                    <a:prstGeom prst="rect"/>
                  </pic:spPr>
                </pic:pic>
              </a:graphicData>
            </a:graphic>
          </wp:inline>
        </w:drawing>
      </w:r>
    </w:p>
    <w:p>
      <w:pPr>
        <w:keepNext/>
        <w:spacing w:before="40" w:after="160"/>
        <w:jc w:val="center"/>
      </w:pPr>
      <w:r>
        <w:rPr>
          <w:rFonts w:ascii="Times New Roman" w:hAnsi="Times New Roman"/>
          <w:b/>
          <w:i/>
          <w:sz w:val="21"/>
        </w:rPr>
        <w:t>Fig. 8.1: Class Diagram of CyberShield-AI Architecture</w:t>
      </w:r>
    </w:p>
    <w:p>
      <w:pPr>
        <w:keepNext/>
        <w:spacing w:before="280" w:after="80"/>
      </w:pPr>
      <w:r>
        <w:rPr>
          <w:rFonts w:ascii="Times New Roman" w:hAnsi="Times New Roman"/>
          <w:b/>
          <w:sz w:val="28"/>
        </w:rPr>
        <w:t>8.2 USE-CASE DIAGRAM</w:t>
      </w:r>
    </w:p>
    <w:p>
      <w:pPr>
        <w:spacing w:before="0" w:after="120" w:line="276" w:lineRule="auto"/>
        <w:jc w:val="both"/>
      </w:pPr>
      <w:r>
        <w:rPr>
          <w:rFonts w:ascii="Times New Roman" w:hAnsi="Times New Roman"/>
          <w:sz w:val="24"/>
        </w:rPr>
        <w:t>The Use-Case Diagram depicts the interactions between primary actors (Security Analyst, System Administrator, and External Network Sensors) and system boundary features:</w:t>
      </w:r>
    </w:p>
    <w:p>
      <w:pPr>
        <w:keepNext/>
        <w:spacing w:before="160" w:after="80"/>
        <w:jc w:val="center"/>
      </w:pPr>
      <w:r>
        <w:drawing>
          <wp:inline xmlns:a="http://schemas.openxmlformats.org/drawingml/2006/main" xmlns:pic="http://schemas.openxmlformats.org/drawingml/2006/picture">
            <wp:extent cx="5303520" cy="3964247"/>
            <wp:docPr id="21" name="Picture 21"/>
            <wp:cNvGraphicFramePr>
              <a:graphicFrameLocks noChangeAspect="1"/>
            </wp:cNvGraphicFramePr>
            <a:graphic>
              <a:graphicData uri="http://schemas.openxmlformats.org/drawingml/2006/picture">
                <pic:pic>
                  <pic:nvPicPr>
                    <pic:cNvPr id="0" name="fig_8_2_use_case.png"/>
                    <pic:cNvPicPr/>
                  </pic:nvPicPr>
                  <pic:blipFill>
                    <a:blip r:embed="rId28"/>
                    <a:stretch>
                      <a:fillRect/>
                    </a:stretch>
                  </pic:blipFill>
                  <pic:spPr>
                    <a:xfrm>
                      <a:off x="0" y="0"/>
                      <a:ext cx="5303520" cy="3964247"/>
                    </a:xfrm>
                    <a:prstGeom prst="rect"/>
                  </pic:spPr>
                </pic:pic>
              </a:graphicData>
            </a:graphic>
          </wp:inline>
        </w:drawing>
      </w:r>
    </w:p>
    <w:p>
      <w:pPr>
        <w:keepNext/>
        <w:spacing w:before="40" w:after="160"/>
        <w:jc w:val="center"/>
      </w:pPr>
      <w:r>
        <w:rPr>
          <w:rFonts w:ascii="Times New Roman" w:hAnsi="Times New Roman"/>
          <w:b/>
          <w:i/>
          <w:sz w:val="21"/>
        </w:rPr>
        <w:t>Fig. 8.2: Use-Case Diagram of CyberShield-AI Platform</w:t>
      </w:r>
    </w:p>
    <w:p>
      <w:pPr>
        <w:keepNext/>
        <w:spacing w:before="280" w:after="80"/>
      </w:pPr>
      <w:r>
        <w:rPr>
          <w:rFonts w:ascii="Times New Roman" w:hAnsi="Times New Roman"/>
          <w:b/>
          <w:sz w:val="28"/>
        </w:rPr>
        <w:t>8.3 ACTIVITY DIAGRAM</w:t>
      </w:r>
    </w:p>
    <w:p>
      <w:pPr>
        <w:spacing w:before="0" w:after="120" w:line="276" w:lineRule="auto"/>
        <w:jc w:val="both"/>
      </w:pPr>
      <w:r>
        <w:rPr>
          <w:rFonts w:ascii="Times New Roman" w:hAnsi="Times New Roman"/>
          <w:sz w:val="24"/>
        </w:rPr>
        <w:t>The Activity Diagram models the end-to-end workflow from log ingestion to Redis queuing, FastAPI ML anomaly scoring, SHAP reason generation, PostgreSQL alert creation, analyst triage, and IP containment:</w:t>
      </w:r>
    </w:p>
    <w:p>
      <w:pPr>
        <w:keepNext/>
        <w:spacing w:before="160" w:after="80"/>
        <w:jc w:val="center"/>
      </w:pPr>
      <w:r>
        <w:drawing>
          <wp:inline xmlns:a="http://schemas.openxmlformats.org/drawingml/2006/main" xmlns:pic="http://schemas.openxmlformats.org/drawingml/2006/picture">
            <wp:extent cx="5303520" cy="4232102"/>
            <wp:docPr id="22" name="Picture 22"/>
            <wp:cNvGraphicFramePr>
              <a:graphicFrameLocks noChangeAspect="1"/>
            </wp:cNvGraphicFramePr>
            <a:graphic>
              <a:graphicData uri="http://schemas.openxmlformats.org/drawingml/2006/picture">
                <pic:pic>
                  <pic:nvPicPr>
                    <pic:cNvPr id="0" name="fig_8_3_activity.png"/>
                    <pic:cNvPicPr/>
                  </pic:nvPicPr>
                  <pic:blipFill>
                    <a:blip r:embed="rId29"/>
                    <a:stretch>
                      <a:fillRect/>
                    </a:stretch>
                  </pic:blipFill>
                  <pic:spPr>
                    <a:xfrm>
                      <a:off x="0" y="0"/>
                      <a:ext cx="5303520" cy="4232102"/>
                    </a:xfrm>
                    <a:prstGeom prst="rect"/>
                  </pic:spPr>
                </pic:pic>
              </a:graphicData>
            </a:graphic>
          </wp:inline>
        </w:drawing>
      </w:r>
    </w:p>
    <w:p>
      <w:pPr>
        <w:keepNext/>
        <w:spacing w:before="40" w:after="160"/>
        <w:jc w:val="center"/>
      </w:pPr>
      <w:r>
        <w:rPr>
          <w:rFonts w:ascii="Times New Roman" w:hAnsi="Times New Roman"/>
          <w:b/>
          <w:i/>
          <w:sz w:val="21"/>
        </w:rPr>
        <w:t>Fig. 8.3: Activity Diagram (End-to-End Cyber Threat Ingestion Lifecycle)</w:t>
      </w:r>
    </w:p>
    <w:p>
      <w:pPr>
        <w:keepNext/>
        <w:spacing w:before="280" w:after="80"/>
      </w:pPr>
      <w:r>
        <w:rPr>
          <w:rFonts w:ascii="Times New Roman" w:hAnsi="Times New Roman"/>
          <w:b/>
          <w:sz w:val="28"/>
        </w:rPr>
        <w:t>8.4 DATA FLOW DIAGRAM (DFD)</w:t>
      </w:r>
    </w:p>
    <w:p>
      <w:pPr>
        <w:spacing w:before="0" w:after="120" w:line="276" w:lineRule="auto"/>
        <w:jc w:val="both"/>
      </w:pPr>
      <w:r>
        <w:rPr>
          <w:rFonts w:ascii="Times New Roman" w:hAnsi="Times New Roman"/>
          <w:sz w:val="24"/>
        </w:rPr>
        <w:t>The Level 0 Context Diagram depicts data exchanges between external entities (Security Analyst, System Administrator, Network Log Sources) and the central CyberShield-AI system boundary:</w:t>
      </w:r>
    </w:p>
    <w:p>
      <w:pPr>
        <w:keepNext/>
        <w:spacing w:before="160" w:after="80"/>
        <w:jc w:val="center"/>
      </w:pPr>
      <w:r>
        <w:drawing>
          <wp:inline xmlns:a="http://schemas.openxmlformats.org/drawingml/2006/main" xmlns:pic="http://schemas.openxmlformats.org/drawingml/2006/picture">
            <wp:extent cx="5303520" cy="3160684"/>
            <wp:docPr id="23" name="Picture 23"/>
            <wp:cNvGraphicFramePr>
              <a:graphicFrameLocks noChangeAspect="1"/>
            </wp:cNvGraphicFramePr>
            <a:graphic>
              <a:graphicData uri="http://schemas.openxmlformats.org/drawingml/2006/picture">
                <pic:pic>
                  <pic:nvPicPr>
                    <pic:cNvPr id="0" name="fig_8_4_a_dfd0.png"/>
                    <pic:cNvPicPr/>
                  </pic:nvPicPr>
                  <pic:blipFill>
                    <a:blip r:embed="rId30"/>
                    <a:stretch>
                      <a:fillRect/>
                    </a:stretch>
                  </pic:blipFill>
                  <pic:spPr>
                    <a:xfrm>
                      <a:off x="0" y="0"/>
                      <a:ext cx="5303520" cy="3160684"/>
                    </a:xfrm>
                    <a:prstGeom prst="rect"/>
                  </pic:spPr>
                </pic:pic>
              </a:graphicData>
            </a:graphic>
          </wp:inline>
        </w:drawing>
      </w:r>
    </w:p>
    <w:p>
      <w:pPr>
        <w:keepNext/>
        <w:spacing w:before="40" w:after="160"/>
        <w:jc w:val="center"/>
      </w:pPr>
      <w:r>
        <w:rPr>
          <w:rFonts w:ascii="Times New Roman" w:hAnsi="Times New Roman"/>
          <w:b/>
          <w:i/>
          <w:sz w:val="21"/>
        </w:rPr>
        <w:t>Fig. 8.4 (a): Data Flow Diagram (DFD Level 0 Context Diagram)</w:t>
      </w:r>
    </w:p>
    <w:p>
      <w:pPr>
        <w:spacing w:before="0" w:after="120" w:line="276" w:lineRule="auto"/>
        <w:jc w:val="both"/>
      </w:pPr>
      <w:r>
        <w:rPr>
          <w:rFonts w:ascii="Times New Roman" w:hAnsi="Times New Roman"/>
          <w:sz w:val="24"/>
        </w:rPr>
        <w:t>The Level 1 Data Flow Diagram decomposes the system into its five primary functional subsystems (Authentication, Ingestion, ML Threat Engine, Alert Triage, SOC Aggregator) and maps connections to four persistent data stores:</w:t>
      </w:r>
    </w:p>
    <w:p>
      <w:pPr>
        <w:keepNext/>
        <w:spacing w:before="160" w:after="80"/>
        <w:jc w:val="center"/>
      </w:pPr>
      <w:r>
        <w:drawing>
          <wp:inline xmlns:a="http://schemas.openxmlformats.org/drawingml/2006/main" xmlns:pic="http://schemas.openxmlformats.org/drawingml/2006/picture">
            <wp:extent cx="5303520" cy="3964247"/>
            <wp:docPr id="24" name="Picture 24"/>
            <wp:cNvGraphicFramePr>
              <a:graphicFrameLocks noChangeAspect="1"/>
            </wp:cNvGraphicFramePr>
            <a:graphic>
              <a:graphicData uri="http://schemas.openxmlformats.org/drawingml/2006/picture">
                <pic:pic>
                  <pic:nvPicPr>
                    <pic:cNvPr id="0" name="fig_8_4_b_dfd1.png"/>
                    <pic:cNvPicPr/>
                  </pic:nvPicPr>
                  <pic:blipFill>
                    <a:blip r:embed="rId31"/>
                    <a:stretch>
                      <a:fillRect/>
                    </a:stretch>
                  </pic:blipFill>
                  <pic:spPr>
                    <a:xfrm>
                      <a:off x="0" y="0"/>
                      <a:ext cx="5303520" cy="3964247"/>
                    </a:xfrm>
                    <a:prstGeom prst="rect"/>
                  </pic:spPr>
                </pic:pic>
              </a:graphicData>
            </a:graphic>
          </wp:inline>
        </w:drawing>
      </w:r>
    </w:p>
    <w:p>
      <w:pPr>
        <w:keepNext/>
        <w:spacing w:before="40" w:after="160"/>
        <w:jc w:val="center"/>
      </w:pPr>
      <w:r>
        <w:rPr>
          <w:rFonts w:ascii="Times New Roman" w:hAnsi="Times New Roman"/>
          <w:b/>
          <w:i/>
          <w:sz w:val="21"/>
        </w:rPr>
        <w:t>Fig. 8.4 (b): Data Flow Diagram (DFD Level 1 Subsystem Decomposition)</w:t>
      </w:r>
    </w:p>
    <w:p>
      <w:pPr>
        <w:keepNext/>
        <w:spacing w:before="280" w:after="80"/>
      </w:pPr>
      <w:r>
        <w:rPr>
          <w:rFonts w:ascii="Times New Roman" w:hAnsi="Times New Roman"/>
          <w:b/>
          <w:sz w:val="28"/>
        </w:rPr>
        <w:t>8.5 ENTITY-RELATIONSHIP (ER) DIAGRAM</w:t>
      </w:r>
    </w:p>
    <w:p>
      <w:pPr>
        <w:spacing w:before="0" w:after="120" w:line="276" w:lineRule="auto"/>
        <w:jc w:val="both"/>
      </w:pPr>
      <w:r>
        <w:rPr>
          <w:rFonts w:ascii="Times New Roman" w:hAnsi="Times New Roman"/>
          <w:sz w:val="24"/>
        </w:rPr>
        <w:t>Fig. 8.5.1 specifies standard Chen notation symbols, while Fig. 8.5.2 models the complete entity-relationship schema connecting users, security logs, incident alerts, threat scores, and containment records:</w:t>
      </w:r>
    </w:p>
    <w:p>
      <w:pPr>
        <w:keepNext/>
        <w:spacing w:before="160" w:after="80"/>
        <w:jc w:val="center"/>
      </w:pPr>
      <w:r>
        <w:drawing>
          <wp:inline xmlns:a="http://schemas.openxmlformats.org/drawingml/2006/main" xmlns:pic="http://schemas.openxmlformats.org/drawingml/2006/picture">
            <wp:extent cx="4389120" cy="3833535"/>
            <wp:docPr id="25" name="Picture 25"/>
            <wp:cNvGraphicFramePr>
              <a:graphicFrameLocks noChangeAspect="1"/>
            </wp:cNvGraphicFramePr>
            <a:graphic>
              <a:graphicData uri="http://schemas.openxmlformats.org/drawingml/2006/picture">
                <pic:pic>
                  <pic:nvPicPr>
                    <pic:cNvPr id="0" name="fig_8_5_1_er_symbols.png"/>
                    <pic:cNvPicPr/>
                  </pic:nvPicPr>
                  <pic:blipFill>
                    <a:blip r:embed="rId32"/>
                    <a:stretch>
                      <a:fillRect/>
                    </a:stretch>
                  </pic:blipFill>
                  <pic:spPr>
                    <a:xfrm>
                      <a:off x="0" y="0"/>
                      <a:ext cx="4389120" cy="3833535"/>
                    </a:xfrm>
                    <a:prstGeom prst="rect"/>
                  </pic:spPr>
                </pic:pic>
              </a:graphicData>
            </a:graphic>
          </wp:inline>
        </w:drawing>
      </w:r>
    </w:p>
    <w:p>
      <w:pPr>
        <w:keepNext/>
        <w:spacing w:before="40" w:after="160"/>
        <w:jc w:val="center"/>
      </w:pPr>
      <w:r>
        <w:rPr>
          <w:rFonts w:ascii="Times New Roman" w:hAnsi="Times New Roman"/>
          <w:b/>
          <w:i/>
          <w:sz w:val="21"/>
        </w:rPr>
        <w:t>Fig. 8.5.1: ER Diagram Symbols &amp; Conventions</w:t>
      </w:r>
    </w:p>
    <w:p>
      <w:pPr>
        <w:keepNext/>
        <w:spacing w:before="160" w:after="80"/>
        <w:jc w:val="center"/>
      </w:pPr>
      <w:r>
        <w:drawing>
          <wp:inline xmlns:a="http://schemas.openxmlformats.org/drawingml/2006/main" xmlns:pic="http://schemas.openxmlformats.org/drawingml/2006/picture">
            <wp:extent cx="5303520" cy="3964247"/>
            <wp:docPr id="26" name="Picture 26"/>
            <wp:cNvGraphicFramePr>
              <a:graphicFrameLocks noChangeAspect="1"/>
            </wp:cNvGraphicFramePr>
            <a:graphic>
              <a:graphicData uri="http://schemas.openxmlformats.org/drawingml/2006/picture">
                <pic:pic>
                  <pic:nvPicPr>
                    <pic:cNvPr id="0" name="fig_8_5_2_er_diagram.png"/>
                    <pic:cNvPicPr/>
                  </pic:nvPicPr>
                  <pic:blipFill>
                    <a:blip r:embed="rId33"/>
                    <a:stretch>
                      <a:fillRect/>
                    </a:stretch>
                  </pic:blipFill>
                  <pic:spPr>
                    <a:xfrm>
                      <a:off x="0" y="0"/>
                      <a:ext cx="5303520" cy="3964247"/>
                    </a:xfrm>
                    <a:prstGeom prst="rect"/>
                  </pic:spPr>
                </pic:pic>
              </a:graphicData>
            </a:graphic>
          </wp:inline>
        </w:drawing>
      </w:r>
    </w:p>
    <w:p>
      <w:pPr>
        <w:keepNext/>
        <w:spacing w:before="40" w:after="160"/>
        <w:jc w:val="center"/>
      </w:pPr>
      <w:r>
        <w:rPr>
          <w:rFonts w:ascii="Times New Roman" w:hAnsi="Times New Roman"/>
          <w:b/>
          <w:i/>
          <w:sz w:val="21"/>
        </w:rPr>
        <w:t>Fig. 8.5.2: Entity-Relationship (ER) Diagram of CyberShield-AI</w:t>
      </w:r>
    </w:p>
    <w:p>
      <w:pPr>
        <w:keepNext/>
        <w:spacing w:before="280" w:after="80"/>
      </w:pPr>
      <w:r>
        <w:rPr>
          <w:rFonts w:ascii="Times New Roman" w:hAnsi="Times New Roman"/>
          <w:b/>
          <w:sz w:val="28"/>
        </w:rPr>
        <w:t>8.6 DATA DICTIONARY</w:t>
      </w:r>
    </w:p>
    <w:p>
      <w:pPr>
        <w:keepNext/>
        <w:spacing w:before="200" w:after="60"/>
      </w:pPr>
      <w:r>
        <w:rPr>
          <w:rFonts w:ascii="Times New Roman" w:hAnsi="Times New Roman"/>
          <w:b/>
          <w:sz w:val="24"/>
        </w:rPr>
        <w:t>Table 8.6.1: Data Dictionary - User Entity (PostgreSQL)</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57"/>
        <w:gridCol w:w="2257"/>
        <w:gridCol w:w="2257"/>
        <w:gridCol w:w="2257"/>
      </w:tblGrid>
      <w:tr>
        <w:trPr>
          <w:tblHeader/>
          <w:cantSplit/>
        </w:trPr>
        <w:tc>
          <w:tcPr>
            <w:tcW w:type="dxa" w:w="1728"/>
            <w:shd w:fill="2B6CB0"/>
            <w:tcMar>
              <w:top w:w="140" w:type="dxa"/>
              <w:bottom w:w="140" w:type="dxa"/>
              <w:left w:w="140" w:type="dxa"/>
              <w:right w:w="140" w:type="dxa"/>
            </w:tcMar>
            <w:vAlign w:val="center"/>
          </w:tcPr>
          <w:p>
            <w:pPr>
              <w:spacing w:before="0" w:after="0"/>
              <w:jc w:val="center"/>
            </w:pPr>
            <w:r>
              <w:rPr>
                <w:rFonts w:ascii="Times New Roman" w:hAnsi="Times New Roman"/>
                <w:b/>
                <w:color w:val="FFFFFF"/>
                <w:sz w:val="21"/>
              </w:rPr>
              <w:t>Field Name</w:t>
            </w:r>
          </w:p>
        </w:tc>
        <w:tc>
          <w:tcPr>
            <w:tcW w:type="dxa" w:w="1728"/>
            <w:shd w:fill="2B6CB0"/>
            <w:tcMar>
              <w:top w:w="140" w:type="dxa"/>
              <w:bottom w:w="140" w:type="dxa"/>
              <w:left w:w="140" w:type="dxa"/>
              <w:right w:w="140" w:type="dxa"/>
            </w:tcMar>
            <w:vAlign w:val="center"/>
          </w:tcPr>
          <w:p>
            <w:pPr>
              <w:spacing w:before="0" w:after="0"/>
              <w:jc w:val="center"/>
            </w:pPr>
            <w:r>
              <w:rPr>
                <w:rFonts w:ascii="Times New Roman" w:hAnsi="Times New Roman"/>
                <w:b/>
                <w:color w:val="FFFFFF"/>
                <w:sz w:val="21"/>
              </w:rPr>
              <w:t>Data Type</w:t>
            </w:r>
          </w:p>
        </w:tc>
        <w:tc>
          <w:tcPr>
            <w:tcW w:type="dxa" w:w="2304"/>
            <w:shd w:fill="2B6CB0"/>
            <w:tcMar>
              <w:top w:w="140" w:type="dxa"/>
              <w:bottom w:w="140" w:type="dxa"/>
              <w:left w:w="140" w:type="dxa"/>
              <w:right w:w="140" w:type="dxa"/>
            </w:tcMar>
            <w:vAlign w:val="center"/>
          </w:tcPr>
          <w:p>
            <w:pPr>
              <w:spacing w:before="0" w:after="0"/>
              <w:jc w:val="center"/>
            </w:pPr>
            <w:r>
              <w:rPr>
                <w:rFonts w:ascii="Times New Roman" w:hAnsi="Times New Roman"/>
                <w:b/>
                <w:color w:val="FFFFFF"/>
                <w:sz w:val="21"/>
              </w:rPr>
              <w:t>Constraints</w:t>
            </w:r>
          </w:p>
        </w:tc>
        <w:tc>
          <w:tcPr>
            <w:tcW w:type="dxa" w:w="3168"/>
            <w:shd w:fill="2B6CB0"/>
            <w:tcMar>
              <w:top w:w="140" w:type="dxa"/>
              <w:bottom w:w="140" w:type="dxa"/>
              <w:left w:w="140" w:type="dxa"/>
              <w:right w:w="140" w:type="dxa"/>
            </w:tcMar>
            <w:vAlign w:val="center"/>
          </w:tcPr>
          <w:p>
            <w:pPr>
              <w:spacing w:before="0" w:after="0"/>
              <w:jc w:val="center"/>
            </w:pPr>
            <w:r>
              <w:rPr>
                <w:rFonts w:ascii="Times New Roman" w:hAnsi="Times New Roman"/>
                <w:b/>
                <w:color w:val="FFFFFF"/>
                <w:sz w:val="21"/>
              </w:rPr>
              <w:t>Description</w:t>
            </w:r>
          </w:p>
        </w:tc>
      </w:tr>
      <w:tr>
        <w:trPr>
          <w:cantSplit/>
        </w:trPr>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id</w:t>
            </w:r>
          </w:p>
        </w:tc>
        <w:tc>
          <w:tcPr>
            <w:tcW w:type="dxa" w:w="1728"/>
            <w:tcMar>
              <w:top w:w="100" w:type="dxa"/>
              <w:bottom w:w="100" w:type="dxa"/>
              <w:left w:w="140" w:type="dxa"/>
              <w:right w:w="140" w:type="dxa"/>
            </w:tcMar>
            <w:vAlign w:val="center"/>
          </w:tcPr>
          <w:p>
            <w:pPr>
              <w:spacing w:before="0" w:after="0"/>
              <w:jc w:val="left"/>
            </w:pPr>
            <w:r>
              <w:rPr>
                <w:rFonts w:ascii="Times New Roman" w:hAnsi="Times New Roman"/>
                <w:color w:val="0F172A"/>
                <w:sz w:val="20"/>
              </w:rPr>
              <w:t>UUID</w:t>
            </w:r>
          </w:p>
        </w:tc>
        <w:tc>
          <w:tcPr>
            <w:tcW w:type="dxa" w:w="2304"/>
            <w:tcMar>
              <w:top w:w="100" w:type="dxa"/>
              <w:bottom w:w="100" w:type="dxa"/>
              <w:left w:w="140" w:type="dxa"/>
              <w:right w:w="140" w:type="dxa"/>
            </w:tcMar>
            <w:vAlign w:val="center"/>
          </w:tcPr>
          <w:p>
            <w:pPr>
              <w:spacing w:before="0" w:after="0"/>
              <w:jc w:val="left"/>
            </w:pPr>
            <w:r>
              <w:rPr>
                <w:rFonts w:ascii="Times New Roman" w:hAnsi="Times New Roman"/>
                <w:color w:val="0F172A"/>
                <w:sz w:val="20"/>
              </w:rPr>
              <w:t>Primary Key, Auto-gen</w:t>
            </w:r>
          </w:p>
        </w:tc>
        <w:tc>
          <w:tcPr>
            <w:tcW w:type="dxa" w:w="3168"/>
            <w:tcMar>
              <w:top w:w="100" w:type="dxa"/>
              <w:bottom w:w="100" w:type="dxa"/>
              <w:left w:w="140" w:type="dxa"/>
              <w:right w:w="140" w:type="dxa"/>
            </w:tcMar>
            <w:vAlign w:val="center"/>
          </w:tcPr>
          <w:p>
            <w:pPr>
              <w:spacing w:before="0" w:after="0"/>
              <w:jc w:val="left"/>
            </w:pPr>
            <w:r>
              <w:rPr>
                <w:rFonts w:ascii="Times New Roman" w:hAnsi="Times New Roman"/>
                <w:color w:val="0F172A"/>
                <w:sz w:val="20"/>
              </w:rPr>
              <w:t>Unique system identifier for analyst/admin account.</w:t>
            </w:r>
          </w:p>
        </w:tc>
      </w:tr>
      <w:tr>
        <w:trPr>
          <w:cantSplit/>
        </w:trPr>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email</w:t>
            </w:r>
          </w:p>
        </w:tc>
        <w:tc>
          <w:tcPr>
            <w:tcW w:type="dxa" w:w="172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VarChar(255)</w:t>
            </w:r>
          </w:p>
        </w:tc>
        <w:tc>
          <w:tcPr>
            <w:tcW w:type="dxa" w:w="2304"/>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Unique, Not Null</w:t>
            </w:r>
          </w:p>
        </w:tc>
        <w:tc>
          <w:tcPr>
            <w:tcW w:type="dxa" w:w="316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Corporate email address used for login authentication.</w:t>
            </w:r>
          </w:p>
        </w:tc>
      </w:tr>
      <w:tr>
        <w:trPr>
          <w:cantSplit/>
        </w:trPr>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password</w:t>
            </w:r>
          </w:p>
        </w:tc>
        <w:tc>
          <w:tcPr>
            <w:tcW w:type="dxa" w:w="1728"/>
            <w:tcMar>
              <w:top w:w="100" w:type="dxa"/>
              <w:bottom w:w="100" w:type="dxa"/>
              <w:left w:w="140" w:type="dxa"/>
              <w:right w:w="140" w:type="dxa"/>
            </w:tcMar>
            <w:vAlign w:val="center"/>
          </w:tcPr>
          <w:p>
            <w:pPr>
              <w:spacing w:before="0" w:after="0"/>
              <w:jc w:val="left"/>
            </w:pPr>
            <w:r>
              <w:rPr>
                <w:rFonts w:ascii="Times New Roman" w:hAnsi="Times New Roman"/>
                <w:color w:val="0F172A"/>
                <w:sz w:val="20"/>
              </w:rPr>
              <w:t>VarChar(255)</w:t>
            </w:r>
          </w:p>
        </w:tc>
        <w:tc>
          <w:tcPr>
            <w:tcW w:type="dxa" w:w="2304"/>
            <w:tcMar>
              <w:top w:w="100" w:type="dxa"/>
              <w:bottom w:w="100" w:type="dxa"/>
              <w:left w:w="140" w:type="dxa"/>
              <w:right w:w="140" w:type="dxa"/>
            </w:tcMar>
            <w:vAlign w:val="center"/>
          </w:tcPr>
          <w:p>
            <w:pPr>
              <w:spacing w:before="0" w:after="0"/>
              <w:jc w:val="left"/>
            </w:pPr>
            <w:r>
              <w:rPr>
                <w:rFonts w:ascii="Times New Roman" w:hAnsi="Times New Roman"/>
                <w:color w:val="0F172A"/>
                <w:sz w:val="20"/>
              </w:rPr>
              <w:t>Not Null</w:t>
            </w:r>
          </w:p>
        </w:tc>
        <w:tc>
          <w:tcPr>
            <w:tcW w:type="dxa" w:w="3168"/>
            <w:tcMar>
              <w:top w:w="100" w:type="dxa"/>
              <w:bottom w:w="100" w:type="dxa"/>
              <w:left w:w="140" w:type="dxa"/>
              <w:right w:w="140" w:type="dxa"/>
            </w:tcMar>
            <w:vAlign w:val="center"/>
          </w:tcPr>
          <w:p>
            <w:pPr>
              <w:spacing w:before="0" w:after="0"/>
              <w:jc w:val="left"/>
            </w:pPr>
            <w:r>
              <w:rPr>
                <w:rFonts w:ascii="Times New Roman" w:hAnsi="Times New Roman"/>
                <w:color w:val="0F172A"/>
                <w:sz w:val="20"/>
              </w:rPr>
              <w:t>Bcrypt 12-round salted password hash.</w:t>
            </w:r>
          </w:p>
        </w:tc>
      </w:tr>
      <w:tr>
        <w:trPr>
          <w:cantSplit/>
        </w:trPr>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firstName</w:t>
            </w:r>
          </w:p>
        </w:tc>
        <w:tc>
          <w:tcPr>
            <w:tcW w:type="dxa" w:w="172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VarChar(100)</w:t>
            </w:r>
          </w:p>
        </w:tc>
        <w:tc>
          <w:tcPr>
            <w:tcW w:type="dxa" w:w="2304"/>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Not Null</w:t>
            </w:r>
          </w:p>
        </w:tc>
        <w:tc>
          <w:tcPr>
            <w:tcW w:type="dxa" w:w="316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First name of registered user.</w:t>
            </w:r>
          </w:p>
        </w:tc>
      </w:tr>
      <w:tr>
        <w:trPr>
          <w:cantSplit/>
        </w:trPr>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lastName</w:t>
            </w:r>
          </w:p>
        </w:tc>
        <w:tc>
          <w:tcPr>
            <w:tcW w:type="dxa" w:w="1728"/>
            <w:tcMar>
              <w:top w:w="100" w:type="dxa"/>
              <w:bottom w:w="100" w:type="dxa"/>
              <w:left w:w="140" w:type="dxa"/>
              <w:right w:w="140" w:type="dxa"/>
            </w:tcMar>
            <w:vAlign w:val="center"/>
          </w:tcPr>
          <w:p>
            <w:pPr>
              <w:spacing w:before="0" w:after="0"/>
              <w:jc w:val="left"/>
            </w:pPr>
            <w:r>
              <w:rPr>
                <w:rFonts w:ascii="Times New Roman" w:hAnsi="Times New Roman"/>
                <w:color w:val="0F172A"/>
                <w:sz w:val="20"/>
              </w:rPr>
              <w:t>VarChar(100)</w:t>
            </w:r>
          </w:p>
        </w:tc>
        <w:tc>
          <w:tcPr>
            <w:tcW w:type="dxa" w:w="2304"/>
            <w:tcMar>
              <w:top w:w="100" w:type="dxa"/>
              <w:bottom w:w="100" w:type="dxa"/>
              <w:left w:w="140" w:type="dxa"/>
              <w:right w:w="140" w:type="dxa"/>
            </w:tcMar>
            <w:vAlign w:val="center"/>
          </w:tcPr>
          <w:p>
            <w:pPr>
              <w:spacing w:before="0" w:after="0"/>
              <w:jc w:val="left"/>
            </w:pPr>
            <w:r>
              <w:rPr>
                <w:rFonts w:ascii="Times New Roman" w:hAnsi="Times New Roman"/>
                <w:color w:val="0F172A"/>
                <w:sz w:val="20"/>
              </w:rPr>
              <w:t>Not Null</w:t>
            </w:r>
          </w:p>
        </w:tc>
        <w:tc>
          <w:tcPr>
            <w:tcW w:type="dxa" w:w="3168"/>
            <w:tcMar>
              <w:top w:w="100" w:type="dxa"/>
              <w:bottom w:w="100" w:type="dxa"/>
              <w:left w:w="140" w:type="dxa"/>
              <w:right w:w="140" w:type="dxa"/>
            </w:tcMar>
            <w:vAlign w:val="center"/>
          </w:tcPr>
          <w:p>
            <w:pPr>
              <w:spacing w:before="0" w:after="0"/>
              <w:jc w:val="left"/>
            </w:pPr>
            <w:r>
              <w:rPr>
                <w:rFonts w:ascii="Times New Roman" w:hAnsi="Times New Roman"/>
                <w:color w:val="0F172A"/>
                <w:sz w:val="20"/>
              </w:rPr>
              <w:t>Last name of registered user.</w:t>
            </w:r>
          </w:p>
        </w:tc>
      </w:tr>
      <w:tr>
        <w:trPr>
          <w:cantSplit/>
        </w:trPr>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role</w:t>
            </w:r>
          </w:p>
        </w:tc>
        <w:tc>
          <w:tcPr>
            <w:tcW w:type="dxa" w:w="172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Enum</w:t>
            </w:r>
          </w:p>
        </w:tc>
        <w:tc>
          <w:tcPr>
            <w:tcW w:type="dxa" w:w="2304"/>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VIEWER, ANALYST, ADMIN</w:t>
            </w:r>
          </w:p>
        </w:tc>
        <w:tc>
          <w:tcPr>
            <w:tcW w:type="dxa" w:w="316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Role-based access permission level (Default: VIEWER).</w:t>
            </w:r>
          </w:p>
        </w:tc>
      </w:tr>
      <w:tr>
        <w:trPr>
          <w:cantSplit/>
        </w:trPr>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isActive</w:t>
            </w:r>
          </w:p>
        </w:tc>
        <w:tc>
          <w:tcPr>
            <w:tcW w:type="dxa" w:w="1728"/>
            <w:tcMar>
              <w:top w:w="100" w:type="dxa"/>
              <w:bottom w:w="100" w:type="dxa"/>
              <w:left w:w="140" w:type="dxa"/>
              <w:right w:w="140" w:type="dxa"/>
            </w:tcMar>
            <w:vAlign w:val="center"/>
          </w:tcPr>
          <w:p>
            <w:pPr>
              <w:spacing w:before="0" w:after="0"/>
              <w:jc w:val="left"/>
            </w:pPr>
            <w:r>
              <w:rPr>
                <w:rFonts w:ascii="Times New Roman" w:hAnsi="Times New Roman"/>
                <w:color w:val="0F172A"/>
                <w:sz w:val="20"/>
              </w:rPr>
              <w:t>Boolean</w:t>
            </w:r>
          </w:p>
        </w:tc>
        <w:tc>
          <w:tcPr>
            <w:tcW w:type="dxa" w:w="2304"/>
            <w:tcMar>
              <w:top w:w="100" w:type="dxa"/>
              <w:bottom w:w="100" w:type="dxa"/>
              <w:left w:w="140" w:type="dxa"/>
              <w:right w:w="140" w:type="dxa"/>
            </w:tcMar>
            <w:vAlign w:val="center"/>
          </w:tcPr>
          <w:p>
            <w:pPr>
              <w:spacing w:before="0" w:after="0"/>
              <w:jc w:val="left"/>
            </w:pPr>
            <w:r>
              <w:rPr>
                <w:rFonts w:ascii="Times New Roman" w:hAnsi="Times New Roman"/>
                <w:color w:val="0F172A"/>
                <w:sz w:val="20"/>
              </w:rPr>
              <w:t>Default True</w:t>
            </w:r>
          </w:p>
        </w:tc>
        <w:tc>
          <w:tcPr>
            <w:tcW w:type="dxa" w:w="3168"/>
            <w:tcMar>
              <w:top w:w="100" w:type="dxa"/>
              <w:bottom w:w="100" w:type="dxa"/>
              <w:left w:w="140" w:type="dxa"/>
              <w:right w:w="140" w:type="dxa"/>
            </w:tcMar>
            <w:vAlign w:val="center"/>
          </w:tcPr>
          <w:p>
            <w:pPr>
              <w:spacing w:before="0" w:after="0"/>
              <w:jc w:val="left"/>
            </w:pPr>
            <w:r>
              <w:rPr>
                <w:rFonts w:ascii="Times New Roman" w:hAnsi="Times New Roman"/>
                <w:color w:val="0F172A"/>
                <w:sz w:val="20"/>
              </w:rPr>
              <w:t>Account status flag indicating if login is permitted.</w:t>
            </w:r>
          </w:p>
        </w:tc>
      </w:tr>
      <w:tr>
        <w:trPr>
          <w:cantSplit/>
        </w:trPr>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createdAt</w:t>
            </w:r>
          </w:p>
        </w:tc>
        <w:tc>
          <w:tcPr>
            <w:tcW w:type="dxa" w:w="172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DateTime</w:t>
            </w:r>
          </w:p>
        </w:tc>
        <w:tc>
          <w:tcPr>
            <w:tcW w:type="dxa" w:w="2304"/>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Default Now</w:t>
            </w:r>
          </w:p>
        </w:tc>
        <w:tc>
          <w:tcPr>
            <w:tcW w:type="dxa" w:w="316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Timestamp of account registration.</w:t>
            </w:r>
          </w:p>
        </w:tc>
      </w:tr>
      <w:tr>
        <w:trPr>
          <w:cantSplit/>
        </w:trPr>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updatedAt</w:t>
            </w:r>
          </w:p>
        </w:tc>
        <w:tc>
          <w:tcPr>
            <w:tcW w:type="dxa" w:w="1728"/>
            <w:tcMar>
              <w:top w:w="100" w:type="dxa"/>
              <w:bottom w:w="100" w:type="dxa"/>
              <w:left w:w="140" w:type="dxa"/>
              <w:right w:w="140" w:type="dxa"/>
            </w:tcMar>
            <w:vAlign w:val="center"/>
          </w:tcPr>
          <w:p>
            <w:pPr>
              <w:spacing w:before="0" w:after="0"/>
              <w:jc w:val="left"/>
            </w:pPr>
            <w:r>
              <w:rPr>
                <w:rFonts w:ascii="Times New Roman" w:hAnsi="Times New Roman"/>
                <w:color w:val="0F172A"/>
                <w:sz w:val="20"/>
              </w:rPr>
              <w:t>DateTime</w:t>
            </w:r>
          </w:p>
        </w:tc>
        <w:tc>
          <w:tcPr>
            <w:tcW w:type="dxa" w:w="2304"/>
            <w:tcMar>
              <w:top w:w="100" w:type="dxa"/>
              <w:bottom w:w="100" w:type="dxa"/>
              <w:left w:w="140" w:type="dxa"/>
              <w:right w:w="140" w:type="dxa"/>
            </w:tcMar>
            <w:vAlign w:val="center"/>
          </w:tcPr>
          <w:p>
            <w:pPr>
              <w:spacing w:before="0" w:after="0"/>
              <w:jc w:val="left"/>
            </w:pPr>
            <w:r>
              <w:rPr>
                <w:rFonts w:ascii="Times New Roman" w:hAnsi="Times New Roman"/>
                <w:color w:val="0F172A"/>
                <w:sz w:val="20"/>
              </w:rPr>
              <w:t>Auto Update</w:t>
            </w:r>
          </w:p>
        </w:tc>
        <w:tc>
          <w:tcPr>
            <w:tcW w:type="dxa" w:w="3168"/>
            <w:tcMar>
              <w:top w:w="100" w:type="dxa"/>
              <w:bottom w:w="100" w:type="dxa"/>
              <w:left w:w="140" w:type="dxa"/>
              <w:right w:w="140" w:type="dxa"/>
            </w:tcMar>
            <w:vAlign w:val="center"/>
          </w:tcPr>
          <w:p>
            <w:pPr>
              <w:spacing w:before="0" w:after="0"/>
              <w:jc w:val="left"/>
            </w:pPr>
            <w:r>
              <w:rPr>
                <w:rFonts w:ascii="Times New Roman" w:hAnsi="Times New Roman"/>
                <w:color w:val="0F172A"/>
                <w:sz w:val="20"/>
              </w:rPr>
              <w:t>Timestamp of last profile update.</w:t>
            </w:r>
          </w:p>
        </w:tc>
      </w:tr>
    </w:tbl>
    <w:p>
      <w:pPr>
        <w:keepNext/>
        <w:spacing w:before="200" w:after="60"/>
      </w:pPr>
      <w:r>
        <w:rPr>
          <w:rFonts w:ascii="Times New Roman" w:hAnsi="Times New Roman"/>
          <w:b/>
          <w:sz w:val="24"/>
        </w:rPr>
        <w:t>Table 8.6.2: Data Dictionary - Security Log Document (MongoDB)</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57"/>
        <w:gridCol w:w="2257"/>
        <w:gridCol w:w="2257"/>
        <w:gridCol w:w="2257"/>
      </w:tblGrid>
      <w:tr>
        <w:trPr>
          <w:tblHeader/>
          <w:cantSplit/>
        </w:trPr>
        <w:tc>
          <w:tcPr>
            <w:tcW w:type="dxa" w:w="1728"/>
            <w:shd w:fill="2B6CB0"/>
            <w:tcMar>
              <w:top w:w="140" w:type="dxa"/>
              <w:bottom w:w="140" w:type="dxa"/>
              <w:left w:w="140" w:type="dxa"/>
              <w:right w:w="140" w:type="dxa"/>
            </w:tcMar>
            <w:vAlign w:val="center"/>
          </w:tcPr>
          <w:p>
            <w:pPr>
              <w:spacing w:before="0" w:after="0"/>
              <w:jc w:val="center"/>
            </w:pPr>
            <w:r>
              <w:rPr>
                <w:rFonts w:ascii="Times New Roman" w:hAnsi="Times New Roman"/>
                <w:b/>
                <w:color w:val="FFFFFF"/>
                <w:sz w:val="21"/>
              </w:rPr>
              <w:t>Field Name</w:t>
            </w:r>
          </w:p>
        </w:tc>
        <w:tc>
          <w:tcPr>
            <w:tcW w:type="dxa" w:w="1728"/>
            <w:shd w:fill="2B6CB0"/>
            <w:tcMar>
              <w:top w:w="140" w:type="dxa"/>
              <w:bottom w:w="140" w:type="dxa"/>
              <w:left w:w="140" w:type="dxa"/>
              <w:right w:w="140" w:type="dxa"/>
            </w:tcMar>
            <w:vAlign w:val="center"/>
          </w:tcPr>
          <w:p>
            <w:pPr>
              <w:spacing w:before="0" w:after="0"/>
              <w:jc w:val="center"/>
            </w:pPr>
            <w:r>
              <w:rPr>
                <w:rFonts w:ascii="Times New Roman" w:hAnsi="Times New Roman"/>
                <w:b/>
                <w:color w:val="FFFFFF"/>
                <w:sz w:val="21"/>
              </w:rPr>
              <w:t>Data Type</w:t>
            </w:r>
          </w:p>
        </w:tc>
        <w:tc>
          <w:tcPr>
            <w:tcW w:type="dxa" w:w="2304"/>
            <w:shd w:fill="2B6CB0"/>
            <w:tcMar>
              <w:top w:w="140" w:type="dxa"/>
              <w:bottom w:w="140" w:type="dxa"/>
              <w:left w:w="140" w:type="dxa"/>
              <w:right w:w="140" w:type="dxa"/>
            </w:tcMar>
            <w:vAlign w:val="center"/>
          </w:tcPr>
          <w:p>
            <w:pPr>
              <w:spacing w:before="0" w:after="0"/>
              <w:jc w:val="center"/>
            </w:pPr>
            <w:r>
              <w:rPr>
                <w:rFonts w:ascii="Times New Roman" w:hAnsi="Times New Roman"/>
                <w:b/>
                <w:color w:val="FFFFFF"/>
                <w:sz w:val="21"/>
              </w:rPr>
              <w:t>Constraints</w:t>
            </w:r>
          </w:p>
        </w:tc>
        <w:tc>
          <w:tcPr>
            <w:tcW w:type="dxa" w:w="3168"/>
            <w:shd w:fill="2B6CB0"/>
            <w:tcMar>
              <w:top w:w="140" w:type="dxa"/>
              <w:bottom w:w="140" w:type="dxa"/>
              <w:left w:w="140" w:type="dxa"/>
              <w:right w:w="140" w:type="dxa"/>
            </w:tcMar>
            <w:vAlign w:val="center"/>
          </w:tcPr>
          <w:p>
            <w:pPr>
              <w:spacing w:before="0" w:after="0"/>
              <w:jc w:val="center"/>
            </w:pPr>
            <w:r>
              <w:rPr>
                <w:rFonts w:ascii="Times New Roman" w:hAnsi="Times New Roman"/>
                <w:b/>
                <w:color w:val="FFFFFF"/>
                <w:sz w:val="21"/>
              </w:rPr>
              <w:t>Description</w:t>
            </w:r>
          </w:p>
        </w:tc>
      </w:tr>
      <w:tr>
        <w:trPr>
          <w:cantSplit/>
        </w:trPr>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_id</w:t>
            </w:r>
          </w:p>
        </w:tc>
        <w:tc>
          <w:tcPr>
            <w:tcW w:type="dxa" w:w="1728"/>
            <w:tcMar>
              <w:top w:w="100" w:type="dxa"/>
              <w:bottom w:w="100" w:type="dxa"/>
              <w:left w:w="140" w:type="dxa"/>
              <w:right w:w="140" w:type="dxa"/>
            </w:tcMar>
            <w:vAlign w:val="center"/>
          </w:tcPr>
          <w:p>
            <w:pPr>
              <w:spacing w:before="0" w:after="0"/>
              <w:jc w:val="left"/>
            </w:pPr>
            <w:r>
              <w:rPr>
                <w:rFonts w:ascii="Times New Roman" w:hAnsi="Times New Roman"/>
                <w:color w:val="0F172A"/>
                <w:sz w:val="20"/>
              </w:rPr>
              <w:t>ObjectId</w:t>
            </w:r>
          </w:p>
        </w:tc>
        <w:tc>
          <w:tcPr>
            <w:tcW w:type="dxa" w:w="2304"/>
            <w:tcMar>
              <w:top w:w="100" w:type="dxa"/>
              <w:bottom w:w="100" w:type="dxa"/>
              <w:left w:w="140" w:type="dxa"/>
              <w:right w:w="140" w:type="dxa"/>
            </w:tcMar>
            <w:vAlign w:val="center"/>
          </w:tcPr>
          <w:p>
            <w:pPr>
              <w:spacing w:before="0" w:after="0"/>
              <w:jc w:val="left"/>
            </w:pPr>
            <w:r>
              <w:rPr>
                <w:rFonts w:ascii="Times New Roman" w:hAnsi="Times New Roman"/>
                <w:color w:val="0F172A"/>
                <w:sz w:val="20"/>
              </w:rPr>
              <w:t>Primary Key, Auto-gen</w:t>
            </w:r>
          </w:p>
        </w:tc>
        <w:tc>
          <w:tcPr>
            <w:tcW w:type="dxa" w:w="3168"/>
            <w:tcMar>
              <w:top w:w="100" w:type="dxa"/>
              <w:bottom w:w="100" w:type="dxa"/>
              <w:left w:w="140" w:type="dxa"/>
              <w:right w:w="140" w:type="dxa"/>
            </w:tcMar>
            <w:vAlign w:val="center"/>
          </w:tcPr>
          <w:p>
            <w:pPr>
              <w:spacing w:before="0" w:after="0"/>
              <w:jc w:val="left"/>
            </w:pPr>
            <w:r>
              <w:rPr>
                <w:rFonts w:ascii="Times New Roman" w:hAnsi="Times New Roman"/>
                <w:color w:val="0F172A"/>
                <w:sz w:val="20"/>
              </w:rPr>
              <w:t>Unique BSON document identifier in MongoDB.</w:t>
            </w:r>
          </w:p>
        </w:tc>
      </w:tr>
      <w:tr>
        <w:trPr>
          <w:cantSplit/>
        </w:trPr>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timestamp</w:t>
            </w:r>
          </w:p>
        </w:tc>
        <w:tc>
          <w:tcPr>
            <w:tcW w:type="dxa" w:w="172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DateTime</w:t>
            </w:r>
          </w:p>
        </w:tc>
        <w:tc>
          <w:tcPr>
            <w:tcW w:type="dxa" w:w="2304"/>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Not Null, Indexed</w:t>
            </w:r>
          </w:p>
        </w:tc>
        <w:tc>
          <w:tcPr>
            <w:tcW w:type="dxa" w:w="316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UTC timestamp when network event was generated.</w:t>
            </w:r>
          </w:p>
        </w:tc>
      </w:tr>
      <w:tr>
        <w:trPr>
          <w:cantSplit/>
        </w:trPr>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sourceIp</w:t>
            </w:r>
          </w:p>
        </w:tc>
        <w:tc>
          <w:tcPr>
            <w:tcW w:type="dxa" w:w="1728"/>
            <w:tcMar>
              <w:top w:w="100" w:type="dxa"/>
              <w:bottom w:w="100" w:type="dxa"/>
              <w:left w:w="140" w:type="dxa"/>
              <w:right w:w="140" w:type="dxa"/>
            </w:tcMar>
            <w:vAlign w:val="center"/>
          </w:tcPr>
          <w:p>
            <w:pPr>
              <w:spacing w:before="0" w:after="0"/>
              <w:jc w:val="left"/>
            </w:pPr>
            <w:r>
              <w:rPr>
                <w:rFonts w:ascii="Times New Roman" w:hAnsi="Times New Roman"/>
                <w:color w:val="0F172A"/>
                <w:sz w:val="20"/>
              </w:rPr>
              <w:t>String</w:t>
            </w:r>
          </w:p>
        </w:tc>
        <w:tc>
          <w:tcPr>
            <w:tcW w:type="dxa" w:w="2304"/>
            <w:tcMar>
              <w:top w:w="100" w:type="dxa"/>
              <w:bottom w:w="100" w:type="dxa"/>
              <w:left w:w="140" w:type="dxa"/>
              <w:right w:w="140" w:type="dxa"/>
            </w:tcMar>
            <w:vAlign w:val="center"/>
          </w:tcPr>
          <w:p>
            <w:pPr>
              <w:spacing w:before="0" w:after="0"/>
              <w:jc w:val="left"/>
            </w:pPr>
            <w:r>
              <w:rPr>
                <w:rFonts w:ascii="Times New Roman" w:hAnsi="Times New Roman"/>
                <w:color w:val="0F172A"/>
                <w:sz w:val="20"/>
              </w:rPr>
              <w:t>Not Null, Indexed</w:t>
            </w:r>
          </w:p>
        </w:tc>
        <w:tc>
          <w:tcPr>
            <w:tcW w:type="dxa" w:w="3168"/>
            <w:tcMar>
              <w:top w:w="100" w:type="dxa"/>
              <w:bottom w:w="100" w:type="dxa"/>
              <w:left w:w="140" w:type="dxa"/>
              <w:right w:w="140" w:type="dxa"/>
            </w:tcMar>
            <w:vAlign w:val="center"/>
          </w:tcPr>
          <w:p>
            <w:pPr>
              <w:spacing w:before="0" w:after="0"/>
              <w:jc w:val="left"/>
            </w:pPr>
            <w:r>
              <w:rPr>
                <w:rFonts w:ascii="Times New Roman" w:hAnsi="Times New Roman"/>
                <w:color w:val="0F172A"/>
                <w:sz w:val="20"/>
              </w:rPr>
              <w:t>Origin IPv4/IPv6 address of the network connection.</w:t>
            </w:r>
          </w:p>
        </w:tc>
      </w:tr>
      <w:tr>
        <w:trPr>
          <w:cantSplit/>
        </w:trPr>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destinationIp</w:t>
            </w:r>
          </w:p>
        </w:tc>
        <w:tc>
          <w:tcPr>
            <w:tcW w:type="dxa" w:w="172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String</w:t>
            </w:r>
          </w:p>
        </w:tc>
        <w:tc>
          <w:tcPr>
            <w:tcW w:type="dxa" w:w="2304"/>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Not Null</w:t>
            </w:r>
          </w:p>
        </w:tc>
        <w:tc>
          <w:tcPr>
            <w:tcW w:type="dxa" w:w="316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Target host IPv4/IPv6 address within the network.</w:t>
            </w:r>
          </w:p>
        </w:tc>
      </w:tr>
      <w:tr>
        <w:trPr>
          <w:cantSplit/>
        </w:trPr>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sourcePort</w:t>
            </w:r>
          </w:p>
        </w:tc>
        <w:tc>
          <w:tcPr>
            <w:tcW w:type="dxa" w:w="1728"/>
            <w:tcMar>
              <w:top w:w="100" w:type="dxa"/>
              <w:bottom w:w="100" w:type="dxa"/>
              <w:left w:w="140" w:type="dxa"/>
              <w:right w:w="140" w:type="dxa"/>
            </w:tcMar>
            <w:vAlign w:val="center"/>
          </w:tcPr>
          <w:p>
            <w:pPr>
              <w:spacing w:before="0" w:after="0"/>
              <w:jc w:val="left"/>
            </w:pPr>
            <w:r>
              <w:rPr>
                <w:rFonts w:ascii="Times New Roman" w:hAnsi="Times New Roman"/>
                <w:color w:val="0F172A"/>
                <w:sz w:val="20"/>
              </w:rPr>
              <w:t>Integer</w:t>
            </w:r>
          </w:p>
        </w:tc>
        <w:tc>
          <w:tcPr>
            <w:tcW w:type="dxa" w:w="2304"/>
            <w:tcMar>
              <w:top w:w="100" w:type="dxa"/>
              <w:bottom w:w="100" w:type="dxa"/>
              <w:left w:w="140" w:type="dxa"/>
              <w:right w:w="140" w:type="dxa"/>
            </w:tcMar>
            <w:vAlign w:val="center"/>
          </w:tcPr>
          <w:p>
            <w:pPr>
              <w:spacing w:before="0" w:after="0"/>
              <w:jc w:val="left"/>
            </w:pPr>
            <w:r>
              <w:rPr>
                <w:rFonts w:ascii="Times New Roman" w:hAnsi="Times New Roman"/>
                <w:color w:val="0F172A"/>
                <w:sz w:val="20"/>
              </w:rPr>
              <w:t>Range 0 to 65535</w:t>
            </w:r>
          </w:p>
        </w:tc>
        <w:tc>
          <w:tcPr>
            <w:tcW w:type="dxa" w:w="3168"/>
            <w:tcMar>
              <w:top w:w="100" w:type="dxa"/>
              <w:bottom w:w="100" w:type="dxa"/>
              <w:left w:w="140" w:type="dxa"/>
              <w:right w:w="140" w:type="dxa"/>
            </w:tcMar>
            <w:vAlign w:val="center"/>
          </w:tcPr>
          <w:p>
            <w:pPr>
              <w:spacing w:before="0" w:after="0"/>
              <w:jc w:val="left"/>
            </w:pPr>
            <w:r>
              <w:rPr>
                <w:rFonts w:ascii="Times New Roman" w:hAnsi="Times New Roman"/>
                <w:color w:val="0F172A"/>
                <w:sz w:val="20"/>
              </w:rPr>
              <w:t>Origin transport-layer port number.</w:t>
            </w:r>
          </w:p>
        </w:tc>
      </w:tr>
      <w:tr>
        <w:trPr>
          <w:cantSplit/>
        </w:trPr>
        <w:tc>
          <w:tcPr>
            <w:tcW w:type="dxa" w:w="172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destinationPort</w:t>
            </w:r>
          </w:p>
        </w:tc>
        <w:tc>
          <w:tcPr>
            <w:tcW w:type="dxa" w:w="172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Integer</w:t>
            </w:r>
          </w:p>
        </w:tc>
        <w:tc>
          <w:tcPr>
            <w:tcW w:type="dxa" w:w="2304"/>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Range 0 to 65535</w:t>
            </w:r>
          </w:p>
        </w:tc>
        <w:tc>
          <w:tcPr>
            <w:tcW w:type="dxa" w:w="316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Target service port number (e.g. 22, 80, 443).</w:t>
            </w:r>
          </w:p>
        </w:tc>
      </w:tr>
      <w:tr>
        <w:trPr>
          <w:cantSplit/>
        </w:trPr>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protocol</w:t>
            </w:r>
          </w:p>
        </w:tc>
        <w:tc>
          <w:tcPr>
            <w:tcW w:type="dxa" w:w="1728"/>
            <w:tcMar>
              <w:top w:w="100" w:type="dxa"/>
              <w:bottom w:w="100" w:type="dxa"/>
              <w:left w:w="140" w:type="dxa"/>
              <w:right w:w="140" w:type="dxa"/>
            </w:tcMar>
            <w:vAlign w:val="center"/>
          </w:tcPr>
          <w:p>
            <w:pPr>
              <w:spacing w:before="0" w:after="0"/>
              <w:jc w:val="left"/>
            </w:pPr>
            <w:r>
              <w:rPr>
                <w:rFonts w:ascii="Times New Roman" w:hAnsi="Times New Roman"/>
                <w:color w:val="0F172A"/>
                <w:sz w:val="20"/>
              </w:rPr>
              <w:t>Enum</w:t>
            </w:r>
          </w:p>
        </w:tc>
        <w:tc>
          <w:tcPr>
            <w:tcW w:type="dxa" w:w="2304"/>
            <w:tcMar>
              <w:top w:w="100" w:type="dxa"/>
              <w:bottom w:w="100" w:type="dxa"/>
              <w:left w:w="140" w:type="dxa"/>
              <w:right w:w="140" w:type="dxa"/>
            </w:tcMar>
            <w:vAlign w:val="center"/>
          </w:tcPr>
          <w:p>
            <w:pPr>
              <w:spacing w:before="0" w:after="0"/>
              <w:jc w:val="left"/>
            </w:pPr>
            <w:r>
              <w:rPr>
                <w:rFonts w:ascii="Times New Roman" w:hAnsi="Times New Roman"/>
                <w:color w:val="0F172A"/>
                <w:sz w:val="20"/>
              </w:rPr>
              <w:t>TCP, UDP, ICMP, DNS...</w:t>
            </w:r>
          </w:p>
        </w:tc>
        <w:tc>
          <w:tcPr>
            <w:tcW w:type="dxa" w:w="3168"/>
            <w:tcMar>
              <w:top w:w="100" w:type="dxa"/>
              <w:bottom w:w="100" w:type="dxa"/>
              <w:left w:w="140" w:type="dxa"/>
              <w:right w:w="140" w:type="dxa"/>
            </w:tcMar>
            <w:vAlign w:val="center"/>
          </w:tcPr>
          <w:p>
            <w:pPr>
              <w:spacing w:before="0" w:after="0"/>
              <w:jc w:val="left"/>
            </w:pPr>
            <w:r>
              <w:rPr>
                <w:rFonts w:ascii="Times New Roman" w:hAnsi="Times New Roman"/>
                <w:color w:val="0F172A"/>
                <w:sz w:val="20"/>
              </w:rPr>
              <w:t>Network transport protocol employed.</w:t>
            </w:r>
          </w:p>
        </w:tc>
      </w:tr>
      <w:tr>
        <w:trPr>
          <w:cantSplit/>
        </w:trPr>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action</w:t>
            </w:r>
          </w:p>
        </w:tc>
        <w:tc>
          <w:tcPr>
            <w:tcW w:type="dxa" w:w="172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Enum</w:t>
            </w:r>
          </w:p>
        </w:tc>
        <w:tc>
          <w:tcPr>
            <w:tcW w:type="dxa" w:w="2304"/>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ALLOW, DENY, DROP, ALERT</w:t>
            </w:r>
          </w:p>
        </w:tc>
        <w:tc>
          <w:tcPr>
            <w:tcW w:type="dxa" w:w="316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Action taken by boundary security device.</w:t>
            </w:r>
          </w:p>
        </w:tc>
      </w:tr>
      <w:tr>
        <w:trPr>
          <w:cantSplit/>
        </w:trPr>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severity</w:t>
            </w:r>
          </w:p>
        </w:tc>
        <w:tc>
          <w:tcPr>
            <w:tcW w:type="dxa" w:w="1728"/>
            <w:tcMar>
              <w:top w:w="100" w:type="dxa"/>
              <w:bottom w:w="100" w:type="dxa"/>
              <w:left w:w="140" w:type="dxa"/>
              <w:right w:w="140" w:type="dxa"/>
            </w:tcMar>
            <w:vAlign w:val="center"/>
          </w:tcPr>
          <w:p>
            <w:pPr>
              <w:spacing w:before="0" w:after="0"/>
              <w:jc w:val="left"/>
            </w:pPr>
            <w:r>
              <w:rPr>
                <w:rFonts w:ascii="Times New Roman" w:hAnsi="Times New Roman"/>
                <w:color w:val="0F172A"/>
                <w:sz w:val="20"/>
              </w:rPr>
              <w:t>Enum</w:t>
            </w:r>
          </w:p>
        </w:tc>
        <w:tc>
          <w:tcPr>
            <w:tcW w:type="dxa" w:w="2304"/>
            <w:tcMar>
              <w:top w:w="100" w:type="dxa"/>
              <w:bottom w:w="100" w:type="dxa"/>
              <w:left w:w="140" w:type="dxa"/>
              <w:right w:w="140" w:type="dxa"/>
            </w:tcMar>
            <w:vAlign w:val="center"/>
          </w:tcPr>
          <w:p>
            <w:pPr>
              <w:spacing w:before="0" w:after="0"/>
              <w:jc w:val="left"/>
            </w:pPr>
            <w:r>
              <w:rPr>
                <w:rFonts w:ascii="Times New Roman" w:hAnsi="Times New Roman"/>
                <w:color w:val="0F172A"/>
                <w:sz w:val="20"/>
              </w:rPr>
              <w:t>LOW, MEDIUM, HIGH, CRITICAL</w:t>
            </w:r>
          </w:p>
        </w:tc>
        <w:tc>
          <w:tcPr>
            <w:tcW w:type="dxa" w:w="3168"/>
            <w:tcMar>
              <w:top w:w="100" w:type="dxa"/>
              <w:bottom w:w="100" w:type="dxa"/>
              <w:left w:w="140" w:type="dxa"/>
              <w:right w:w="140" w:type="dxa"/>
            </w:tcMar>
            <w:vAlign w:val="center"/>
          </w:tcPr>
          <w:p>
            <w:pPr>
              <w:spacing w:before="0" w:after="0"/>
              <w:jc w:val="left"/>
            </w:pPr>
            <w:r>
              <w:rPr>
                <w:rFonts w:ascii="Times New Roman" w:hAnsi="Times New Roman"/>
                <w:color w:val="0F172A"/>
                <w:sz w:val="20"/>
              </w:rPr>
              <w:t>Severity classification of the raw log record.</w:t>
            </w:r>
          </w:p>
        </w:tc>
      </w:tr>
      <w:tr>
        <w:trPr>
          <w:cantSplit/>
        </w:trPr>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isProcessed</w:t>
            </w:r>
          </w:p>
        </w:tc>
        <w:tc>
          <w:tcPr>
            <w:tcW w:type="dxa" w:w="172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Boolean</w:t>
            </w:r>
          </w:p>
        </w:tc>
        <w:tc>
          <w:tcPr>
            <w:tcW w:type="dxa" w:w="2304"/>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Default False, Indexed</w:t>
            </w:r>
          </w:p>
        </w:tc>
        <w:tc>
          <w:tcPr>
            <w:tcW w:type="dxa" w:w="316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Flag indicating whether ML threat scoring has executed.</w:t>
            </w:r>
          </w:p>
        </w:tc>
      </w:tr>
    </w:tbl>
    <w:p>
      <w:pPr>
        <w:keepNext/>
        <w:spacing w:before="200" w:after="60"/>
      </w:pPr>
      <w:r>
        <w:rPr>
          <w:rFonts w:ascii="Times New Roman" w:hAnsi="Times New Roman"/>
          <w:b/>
          <w:sz w:val="24"/>
        </w:rPr>
        <w:t>Table 8.6.3: Data Dictionary - Incident Alert Entity (PostgreSQL)</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57"/>
        <w:gridCol w:w="2257"/>
        <w:gridCol w:w="2257"/>
        <w:gridCol w:w="2257"/>
      </w:tblGrid>
      <w:tr>
        <w:trPr>
          <w:tblHeader/>
          <w:cantSplit/>
        </w:trPr>
        <w:tc>
          <w:tcPr>
            <w:tcW w:type="dxa" w:w="1728"/>
            <w:shd w:fill="2B6CB0"/>
            <w:tcMar>
              <w:top w:w="140" w:type="dxa"/>
              <w:bottom w:w="140" w:type="dxa"/>
              <w:left w:w="140" w:type="dxa"/>
              <w:right w:w="140" w:type="dxa"/>
            </w:tcMar>
            <w:vAlign w:val="center"/>
          </w:tcPr>
          <w:p>
            <w:pPr>
              <w:spacing w:before="0" w:after="0"/>
              <w:jc w:val="center"/>
            </w:pPr>
            <w:r>
              <w:rPr>
                <w:rFonts w:ascii="Times New Roman" w:hAnsi="Times New Roman"/>
                <w:b/>
                <w:color w:val="FFFFFF"/>
                <w:sz w:val="21"/>
              </w:rPr>
              <w:t>Field Name</w:t>
            </w:r>
          </w:p>
        </w:tc>
        <w:tc>
          <w:tcPr>
            <w:tcW w:type="dxa" w:w="1728"/>
            <w:shd w:fill="2B6CB0"/>
            <w:tcMar>
              <w:top w:w="140" w:type="dxa"/>
              <w:bottom w:w="140" w:type="dxa"/>
              <w:left w:w="140" w:type="dxa"/>
              <w:right w:w="140" w:type="dxa"/>
            </w:tcMar>
            <w:vAlign w:val="center"/>
          </w:tcPr>
          <w:p>
            <w:pPr>
              <w:spacing w:before="0" w:after="0"/>
              <w:jc w:val="center"/>
            </w:pPr>
            <w:r>
              <w:rPr>
                <w:rFonts w:ascii="Times New Roman" w:hAnsi="Times New Roman"/>
                <w:b/>
                <w:color w:val="FFFFFF"/>
                <w:sz w:val="21"/>
              </w:rPr>
              <w:t>Data Type</w:t>
            </w:r>
          </w:p>
        </w:tc>
        <w:tc>
          <w:tcPr>
            <w:tcW w:type="dxa" w:w="2304"/>
            <w:shd w:fill="2B6CB0"/>
            <w:tcMar>
              <w:top w:w="140" w:type="dxa"/>
              <w:bottom w:w="140" w:type="dxa"/>
              <w:left w:w="140" w:type="dxa"/>
              <w:right w:w="140" w:type="dxa"/>
            </w:tcMar>
            <w:vAlign w:val="center"/>
          </w:tcPr>
          <w:p>
            <w:pPr>
              <w:spacing w:before="0" w:after="0"/>
              <w:jc w:val="center"/>
            </w:pPr>
            <w:r>
              <w:rPr>
                <w:rFonts w:ascii="Times New Roman" w:hAnsi="Times New Roman"/>
                <w:b/>
                <w:color w:val="FFFFFF"/>
                <w:sz w:val="21"/>
              </w:rPr>
              <w:t>Constraints</w:t>
            </w:r>
          </w:p>
        </w:tc>
        <w:tc>
          <w:tcPr>
            <w:tcW w:type="dxa" w:w="3168"/>
            <w:shd w:fill="2B6CB0"/>
            <w:tcMar>
              <w:top w:w="140" w:type="dxa"/>
              <w:bottom w:w="140" w:type="dxa"/>
              <w:left w:w="140" w:type="dxa"/>
              <w:right w:w="140" w:type="dxa"/>
            </w:tcMar>
            <w:vAlign w:val="center"/>
          </w:tcPr>
          <w:p>
            <w:pPr>
              <w:spacing w:before="0" w:after="0"/>
              <w:jc w:val="center"/>
            </w:pPr>
            <w:r>
              <w:rPr>
                <w:rFonts w:ascii="Times New Roman" w:hAnsi="Times New Roman"/>
                <w:b/>
                <w:color w:val="FFFFFF"/>
                <w:sz w:val="21"/>
              </w:rPr>
              <w:t>Description</w:t>
            </w:r>
          </w:p>
        </w:tc>
      </w:tr>
      <w:tr>
        <w:trPr>
          <w:cantSplit/>
        </w:trPr>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id</w:t>
            </w:r>
          </w:p>
        </w:tc>
        <w:tc>
          <w:tcPr>
            <w:tcW w:type="dxa" w:w="1728"/>
            <w:tcMar>
              <w:top w:w="100" w:type="dxa"/>
              <w:bottom w:w="100" w:type="dxa"/>
              <w:left w:w="140" w:type="dxa"/>
              <w:right w:w="140" w:type="dxa"/>
            </w:tcMar>
            <w:vAlign w:val="center"/>
          </w:tcPr>
          <w:p>
            <w:pPr>
              <w:spacing w:before="0" w:after="0"/>
              <w:jc w:val="left"/>
            </w:pPr>
            <w:r>
              <w:rPr>
                <w:rFonts w:ascii="Times New Roman" w:hAnsi="Times New Roman"/>
                <w:color w:val="0F172A"/>
                <w:sz w:val="20"/>
              </w:rPr>
              <w:t>UUID</w:t>
            </w:r>
          </w:p>
        </w:tc>
        <w:tc>
          <w:tcPr>
            <w:tcW w:type="dxa" w:w="2304"/>
            <w:tcMar>
              <w:top w:w="100" w:type="dxa"/>
              <w:bottom w:w="100" w:type="dxa"/>
              <w:left w:w="140" w:type="dxa"/>
              <w:right w:w="140" w:type="dxa"/>
            </w:tcMar>
            <w:vAlign w:val="center"/>
          </w:tcPr>
          <w:p>
            <w:pPr>
              <w:spacing w:before="0" w:after="0"/>
              <w:jc w:val="left"/>
            </w:pPr>
            <w:r>
              <w:rPr>
                <w:rFonts w:ascii="Times New Roman" w:hAnsi="Times New Roman"/>
                <w:color w:val="0F172A"/>
                <w:sz w:val="20"/>
              </w:rPr>
              <w:t>Primary Key, Auto-gen</w:t>
            </w:r>
          </w:p>
        </w:tc>
        <w:tc>
          <w:tcPr>
            <w:tcW w:type="dxa" w:w="3168"/>
            <w:tcMar>
              <w:top w:w="100" w:type="dxa"/>
              <w:bottom w:w="100" w:type="dxa"/>
              <w:left w:w="140" w:type="dxa"/>
              <w:right w:w="140" w:type="dxa"/>
            </w:tcMar>
            <w:vAlign w:val="center"/>
          </w:tcPr>
          <w:p>
            <w:pPr>
              <w:spacing w:before="0" w:after="0"/>
              <w:jc w:val="left"/>
            </w:pPr>
            <w:r>
              <w:rPr>
                <w:rFonts w:ascii="Times New Roman" w:hAnsi="Times New Roman"/>
                <w:color w:val="0F172A"/>
                <w:sz w:val="20"/>
              </w:rPr>
              <w:t>Unique incident ticket identifier in PostgreSQL.</w:t>
            </w:r>
          </w:p>
        </w:tc>
      </w:tr>
      <w:tr>
        <w:trPr>
          <w:cantSplit/>
        </w:trPr>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type</w:t>
            </w:r>
          </w:p>
        </w:tc>
        <w:tc>
          <w:tcPr>
            <w:tcW w:type="dxa" w:w="172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Enum</w:t>
            </w:r>
          </w:p>
        </w:tc>
        <w:tc>
          <w:tcPr>
            <w:tcW w:type="dxa" w:w="2304"/>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BRUTE_FORCE, DDOS, MALWARE...</w:t>
            </w:r>
          </w:p>
        </w:tc>
        <w:tc>
          <w:tcPr>
            <w:tcW w:type="dxa" w:w="316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Categorized security incident type.</w:t>
            </w:r>
          </w:p>
        </w:tc>
      </w:tr>
      <w:tr>
        <w:trPr>
          <w:cantSplit/>
        </w:trPr>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severity</w:t>
            </w:r>
          </w:p>
        </w:tc>
        <w:tc>
          <w:tcPr>
            <w:tcW w:type="dxa" w:w="1728"/>
            <w:tcMar>
              <w:top w:w="100" w:type="dxa"/>
              <w:bottom w:w="100" w:type="dxa"/>
              <w:left w:w="140" w:type="dxa"/>
              <w:right w:w="140" w:type="dxa"/>
            </w:tcMar>
            <w:vAlign w:val="center"/>
          </w:tcPr>
          <w:p>
            <w:pPr>
              <w:spacing w:before="0" w:after="0"/>
              <w:jc w:val="left"/>
            </w:pPr>
            <w:r>
              <w:rPr>
                <w:rFonts w:ascii="Times New Roman" w:hAnsi="Times New Roman"/>
                <w:color w:val="0F172A"/>
                <w:sz w:val="20"/>
              </w:rPr>
              <w:t>Enum</w:t>
            </w:r>
          </w:p>
        </w:tc>
        <w:tc>
          <w:tcPr>
            <w:tcW w:type="dxa" w:w="2304"/>
            <w:tcMar>
              <w:top w:w="100" w:type="dxa"/>
              <w:bottom w:w="100" w:type="dxa"/>
              <w:left w:w="140" w:type="dxa"/>
              <w:right w:w="140" w:type="dxa"/>
            </w:tcMar>
            <w:vAlign w:val="center"/>
          </w:tcPr>
          <w:p>
            <w:pPr>
              <w:spacing w:before="0" w:after="0"/>
              <w:jc w:val="left"/>
            </w:pPr>
            <w:r>
              <w:rPr>
                <w:rFonts w:ascii="Times New Roman" w:hAnsi="Times New Roman"/>
                <w:color w:val="0F172A"/>
                <w:sz w:val="20"/>
              </w:rPr>
              <w:t>LOW, MEDIUM, HIGH, CRITICAL</w:t>
            </w:r>
          </w:p>
        </w:tc>
        <w:tc>
          <w:tcPr>
            <w:tcW w:type="dxa" w:w="3168"/>
            <w:tcMar>
              <w:top w:w="100" w:type="dxa"/>
              <w:bottom w:w="100" w:type="dxa"/>
              <w:left w:w="140" w:type="dxa"/>
              <w:right w:w="140" w:type="dxa"/>
            </w:tcMar>
            <w:vAlign w:val="center"/>
          </w:tcPr>
          <w:p>
            <w:pPr>
              <w:spacing w:before="0" w:after="0"/>
              <w:jc w:val="left"/>
            </w:pPr>
            <w:r>
              <w:rPr>
                <w:rFonts w:ascii="Times New Roman" w:hAnsi="Times New Roman"/>
                <w:color w:val="0F172A"/>
                <w:sz w:val="20"/>
              </w:rPr>
              <w:t>Incident urgency level determined by ThreatScore.</w:t>
            </w:r>
          </w:p>
        </w:tc>
      </w:tr>
      <w:tr>
        <w:trPr>
          <w:cantSplit/>
        </w:trPr>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status</w:t>
            </w:r>
          </w:p>
        </w:tc>
        <w:tc>
          <w:tcPr>
            <w:tcW w:type="dxa" w:w="172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Enum</w:t>
            </w:r>
          </w:p>
        </w:tc>
        <w:tc>
          <w:tcPr>
            <w:tcW w:type="dxa" w:w="2304"/>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NEW, INVESTIGATING, RESOLVED...</w:t>
            </w:r>
          </w:p>
        </w:tc>
        <w:tc>
          <w:tcPr>
            <w:tcW w:type="dxa" w:w="316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Current lifecycle state of the incident ticket.</w:t>
            </w:r>
          </w:p>
        </w:tc>
      </w:tr>
      <w:tr>
        <w:trPr>
          <w:cantSplit/>
        </w:trPr>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title</w:t>
            </w:r>
          </w:p>
        </w:tc>
        <w:tc>
          <w:tcPr>
            <w:tcW w:type="dxa" w:w="1728"/>
            <w:tcMar>
              <w:top w:w="100" w:type="dxa"/>
              <w:bottom w:w="100" w:type="dxa"/>
              <w:left w:w="140" w:type="dxa"/>
              <w:right w:w="140" w:type="dxa"/>
            </w:tcMar>
            <w:vAlign w:val="center"/>
          </w:tcPr>
          <w:p>
            <w:pPr>
              <w:spacing w:before="0" w:after="0"/>
              <w:jc w:val="left"/>
            </w:pPr>
            <w:r>
              <w:rPr>
                <w:rFonts w:ascii="Times New Roman" w:hAnsi="Times New Roman"/>
                <w:color w:val="0F172A"/>
                <w:sz w:val="20"/>
              </w:rPr>
              <w:t>VarChar(255)</w:t>
            </w:r>
          </w:p>
        </w:tc>
        <w:tc>
          <w:tcPr>
            <w:tcW w:type="dxa" w:w="2304"/>
            <w:tcMar>
              <w:top w:w="100" w:type="dxa"/>
              <w:bottom w:w="100" w:type="dxa"/>
              <w:left w:w="140" w:type="dxa"/>
              <w:right w:w="140" w:type="dxa"/>
            </w:tcMar>
            <w:vAlign w:val="center"/>
          </w:tcPr>
          <w:p>
            <w:pPr>
              <w:spacing w:before="0" w:after="0"/>
              <w:jc w:val="left"/>
            </w:pPr>
            <w:r>
              <w:rPr>
                <w:rFonts w:ascii="Times New Roman" w:hAnsi="Times New Roman"/>
                <w:color w:val="0F172A"/>
                <w:sz w:val="20"/>
              </w:rPr>
              <w:t>Not Null</w:t>
            </w:r>
          </w:p>
        </w:tc>
        <w:tc>
          <w:tcPr>
            <w:tcW w:type="dxa" w:w="3168"/>
            <w:tcMar>
              <w:top w:w="100" w:type="dxa"/>
              <w:bottom w:w="100" w:type="dxa"/>
              <w:left w:w="140" w:type="dxa"/>
              <w:right w:w="140" w:type="dxa"/>
            </w:tcMar>
            <w:vAlign w:val="center"/>
          </w:tcPr>
          <w:p>
            <w:pPr>
              <w:spacing w:before="0" w:after="0"/>
              <w:jc w:val="left"/>
            </w:pPr>
            <w:r>
              <w:rPr>
                <w:rFonts w:ascii="Times New Roman" w:hAnsi="Times New Roman"/>
                <w:color w:val="0F172A"/>
                <w:sz w:val="20"/>
              </w:rPr>
              <w:t>Concise summary title of the security incident.</w:t>
            </w:r>
          </w:p>
        </w:tc>
      </w:tr>
      <w:tr>
        <w:trPr>
          <w:cantSplit/>
        </w:trPr>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sourceIp</w:t>
            </w:r>
          </w:p>
        </w:tc>
        <w:tc>
          <w:tcPr>
            <w:tcW w:type="dxa" w:w="172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VarChar(45)</w:t>
            </w:r>
          </w:p>
        </w:tc>
        <w:tc>
          <w:tcPr>
            <w:tcW w:type="dxa" w:w="2304"/>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Not Null, Indexed</w:t>
            </w:r>
          </w:p>
        </w:tc>
        <w:tc>
          <w:tcPr>
            <w:tcW w:type="dxa" w:w="316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Malicious or anomalous origin IP address.</w:t>
            </w:r>
          </w:p>
        </w:tc>
      </w:tr>
      <w:tr>
        <w:trPr>
          <w:cantSplit/>
        </w:trPr>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threatScore</w:t>
            </w:r>
          </w:p>
        </w:tc>
        <w:tc>
          <w:tcPr>
            <w:tcW w:type="dxa" w:w="1728"/>
            <w:tcMar>
              <w:top w:w="100" w:type="dxa"/>
              <w:bottom w:w="100" w:type="dxa"/>
              <w:left w:w="140" w:type="dxa"/>
              <w:right w:w="140" w:type="dxa"/>
            </w:tcMar>
            <w:vAlign w:val="center"/>
          </w:tcPr>
          <w:p>
            <w:pPr>
              <w:spacing w:before="0" w:after="0"/>
              <w:jc w:val="left"/>
            </w:pPr>
            <w:r>
              <w:rPr>
                <w:rFonts w:ascii="Times New Roman" w:hAnsi="Times New Roman"/>
                <w:color w:val="0F172A"/>
                <w:sz w:val="20"/>
              </w:rPr>
              <w:t>Float</w:t>
            </w:r>
          </w:p>
        </w:tc>
        <w:tc>
          <w:tcPr>
            <w:tcW w:type="dxa" w:w="2304"/>
            <w:tcMar>
              <w:top w:w="100" w:type="dxa"/>
              <w:bottom w:w="100" w:type="dxa"/>
              <w:left w:w="140" w:type="dxa"/>
              <w:right w:w="140" w:type="dxa"/>
            </w:tcMar>
            <w:vAlign w:val="center"/>
          </w:tcPr>
          <w:p>
            <w:pPr>
              <w:spacing w:before="0" w:after="0"/>
              <w:jc w:val="left"/>
            </w:pPr>
            <w:r>
              <w:rPr>
                <w:rFonts w:ascii="Times New Roman" w:hAnsi="Times New Roman"/>
                <w:color w:val="0F172A"/>
                <w:sz w:val="20"/>
              </w:rPr>
              <w:t>Range 0.0 to 100.0</w:t>
            </w:r>
          </w:p>
        </w:tc>
        <w:tc>
          <w:tcPr>
            <w:tcW w:type="dxa" w:w="3168"/>
            <w:tcMar>
              <w:top w:w="100" w:type="dxa"/>
              <w:bottom w:w="100" w:type="dxa"/>
              <w:left w:w="140" w:type="dxa"/>
              <w:right w:w="140" w:type="dxa"/>
            </w:tcMar>
            <w:vAlign w:val="center"/>
          </w:tcPr>
          <w:p>
            <w:pPr>
              <w:spacing w:before="0" w:after="0"/>
              <w:jc w:val="left"/>
            </w:pPr>
            <w:r>
              <w:rPr>
                <w:rFonts w:ascii="Times New Roman" w:hAnsi="Times New Roman"/>
                <w:color w:val="0F172A"/>
                <w:sz w:val="20"/>
              </w:rPr>
              <w:t>Composite risk score computed by ML ensemble.</w:t>
            </w:r>
          </w:p>
        </w:tc>
      </w:tr>
      <w:tr>
        <w:trPr>
          <w:cantSplit/>
        </w:trPr>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reasons</w:t>
            </w:r>
          </w:p>
        </w:tc>
        <w:tc>
          <w:tcPr>
            <w:tcW w:type="dxa" w:w="172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JsonB</w:t>
            </w:r>
          </w:p>
        </w:tc>
        <w:tc>
          <w:tcPr>
            <w:tcW w:type="dxa" w:w="2304"/>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Not Null</w:t>
            </w:r>
          </w:p>
        </w:tc>
        <w:tc>
          <w:tcPr>
            <w:tcW w:type="dxa" w:w="316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Array of SHAP feature attribution strings.</w:t>
            </w:r>
          </w:p>
        </w:tc>
      </w:tr>
      <w:tr>
        <w:trPr>
          <w:cantSplit/>
        </w:trPr>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assignedToId</w:t>
            </w:r>
          </w:p>
        </w:tc>
        <w:tc>
          <w:tcPr>
            <w:tcW w:type="dxa" w:w="1728"/>
            <w:tcMar>
              <w:top w:w="100" w:type="dxa"/>
              <w:bottom w:w="100" w:type="dxa"/>
              <w:left w:w="140" w:type="dxa"/>
              <w:right w:w="140" w:type="dxa"/>
            </w:tcMar>
            <w:vAlign w:val="center"/>
          </w:tcPr>
          <w:p>
            <w:pPr>
              <w:spacing w:before="0" w:after="0"/>
              <w:jc w:val="left"/>
            </w:pPr>
            <w:r>
              <w:rPr>
                <w:rFonts w:ascii="Times New Roman" w:hAnsi="Times New Roman"/>
                <w:color w:val="0F172A"/>
                <w:sz w:val="20"/>
              </w:rPr>
              <w:t>UUID</w:t>
            </w:r>
          </w:p>
        </w:tc>
        <w:tc>
          <w:tcPr>
            <w:tcW w:type="dxa" w:w="2304"/>
            <w:tcMar>
              <w:top w:w="100" w:type="dxa"/>
              <w:bottom w:w="100" w:type="dxa"/>
              <w:left w:w="140" w:type="dxa"/>
              <w:right w:w="140" w:type="dxa"/>
            </w:tcMar>
            <w:vAlign w:val="center"/>
          </w:tcPr>
          <w:p>
            <w:pPr>
              <w:spacing w:before="0" w:after="0"/>
              <w:jc w:val="left"/>
            </w:pPr>
            <w:r>
              <w:rPr>
                <w:rFonts w:ascii="Times New Roman" w:hAnsi="Times New Roman"/>
                <w:color w:val="0F172A"/>
                <w:sz w:val="20"/>
              </w:rPr>
              <w:t>Foreign Key -&gt; User.id</w:t>
            </w:r>
          </w:p>
        </w:tc>
        <w:tc>
          <w:tcPr>
            <w:tcW w:type="dxa" w:w="3168"/>
            <w:tcMar>
              <w:top w:w="100" w:type="dxa"/>
              <w:bottom w:w="100" w:type="dxa"/>
              <w:left w:w="140" w:type="dxa"/>
              <w:right w:w="140" w:type="dxa"/>
            </w:tcMar>
            <w:vAlign w:val="center"/>
          </w:tcPr>
          <w:p>
            <w:pPr>
              <w:spacing w:before="0" w:after="0"/>
              <w:jc w:val="left"/>
            </w:pPr>
            <w:r>
              <w:rPr>
                <w:rFonts w:ascii="Times New Roman" w:hAnsi="Times New Roman"/>
                <w:color w:val="0F172A"/>
                <w:sz w:val="20"/>
              </w:rPr>
              <w:t>Reference to assigned investigating SOC analyst.</w:t>
            </w:r>
          </w:p>
        </w:tc>
      </w:tr>
      <w:tr>
        <w:trPr>
          <w:cantSplit/>
        </w:trPr>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createdAt</w:t>
            </w:r>
          </w:p>
        </w:tc>
        <w:tc>
          <w:tcPr>
            <w:tcW w:type="dxa" w:w="172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DateTime</w:t>
            </w:r>
          </w:p>
        </w:tc>
        <w:tc>
          <w:tcPr>
            <w:tcW w:type="dxa" w:w="2304"/>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Default Now, Indexed</w:t>
            </w:r>
          </w:p>
        </w:tc>
        <w:tc>
          <w:tcPr>
            <w:tcW w:type="dxa" w:w="316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Timestamp when incident alert was triggered.</w:t>
            </w:r>
          </w:p>
        </w:tc>
      </w:tr>
    </w:tbl>
    <w:p>
      <w:pPr>
        <w:keepNext/>
        <w:spacing w:before="200" w:after="60"/>
      </w:pPr>
      <w:r>
        <w:rPr>
          <w:rFonts w:ascii="Times New Roman" w:hAnsi="Times New Roman"/>
          <w:b/>
          <w:sz w:val="24"/>
        </w:rPr>
        <w:t>Table 8.6.4: Data Dictionary - Threat Score Entity (PostgreSQL)</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57"/>
        <w:gridCol w:w="2257"/>
        <w:gridCol w:w="2257"/>
        <w:gridCol w:w="2257"/>
      </w:tblGrid>
      <w:tr>
        <w:trPr>
          <w:tblHeader/>
          <w:cantSplit/>
        </w:trPr>
        <w:tc>
          <w:tcPr>
            <w:tcW w:type="dxa" w:w="1728"/>
            <w:shd w:fill="2B6CB0"/>
            <w:tcMar>
              <w:top w:w="140" w:type="dxa"/>
              <w:bottom w:w="140" w:type="dxa"/>
              <w:left w:w="140" w:type="dxa"/>
              <w:right w:w="140" w:type="dxa"/>
            </w:tcMar>
            <w:vAlign w:val="center"/>
          </w:tcPr>
          <w:p>
            <w:pPr>
              <w:spacing w:before="0" w:after="0"/>
              <w:jc w:val="center"/>
            </w:pPr>
            <w:r>
              <w:rPr>
                <w:rFonts w:ascii="Times New Roman" w:hAnsi="Times New Roman"/>
                <w:b/>
                <w:color w:val="FFFFFF"/>
                <w:sz w:val="21"/>
              </w:rPr>
              <w:t>Field Name</w:t>
            </w:r>
          </w:p>
        </w:tc>
        <w:tc>
          <w:tcPr>
            <w:tcW w:type="dxa" w:w="1728"/>
            <w:shd w:fill="2B6CB0"/>
            <w:tcMar>
              <w:top w:w="140" w:type="dxa"/>
              <w:bottom w:w="140" w:type="dxa"/>
              <w:left w:w="140" w:type="dxa"/>
              <w:right w:w="140" w:type="dxa"/>
            </w:tcMar>
            <w:vAlign w:val="center"/>
          </w:tcPr>
          <w:p>
            <w:pPr>
              <w:spacing w:before="0" w:after="0"/>
              <w:jc w:val="center"/>
            </w:pPr>
            <w:r>
              <w:rPr>
                <w:rFonts w:ascii="Times New Roman" w:hAnsi="Times New Roman"/>
                <w:b/>
                <w:color w:val="FFFFFF"/>
                <w:sz w:val="21"/>
              </w:rPr>
              <w:t>Data Type</w:t>
            </w:r>
          </w:p>
        </w:tc>
        <w:tc>
          <w:tcPr>
            <w:tcW w:type="dxa" w:w="2304"/>
            <w:shd w:fill="2B6CB0"/>
            <w:tcMar>
              <w:top w:w="140" w:type="dxa"/>
              <w:bottom w:w="140" w:type="dxa"/>
              <w:left w:w="140" w:type="dxa"/>
              <w:right w:w="140" w:type="dxa"/>
            </w:tcMar>
            <w:vAlign w:val="center"/>
          </w:tcPr>
          <w:p>
            <w:pPr>
              <w:spacing w:before="0" w:after="0"/>
              <w:jc w:val="center"/>
            </w:pPr>
            <w:r>
              <w:rPr>
                <w:rFonts w:ascii="Times New Roman" w:hAnsi="Times New Roman"/>
                <w:b/>
                <w:color w:val="FFFFFF"/>
                <w:sz w:val="21"/>
              </w:rPr>
              <w:t>Constraints</w:t>
            </w:r>
          </w:p>
        </w:tc>
        <w:tc>
          <w:tcPr>
            <w:tcW w:type="dxa" w:w="3168"/>
            <w:shd w:fill="2B6CB0"/>
            <w:tcMar>
              <w:top w:w="140" w:type="dxa"/>
              <w:bottom w:w="140" w:type="dxa"/>
              <w:left w:w="140" w:type="dxa"/>
              <w:right w:w="140" w:type="dxa"/>
            </w:tcMar>
            <w:vAlign w:val="center"/>
          </w:tcPr>
          <w:p>
            <w:pPr>
              <w:spacing w:before="0" w:after="0"/>
              <w:jc w:val="center"/>
            </w:pPr>
            <w:r>
              <w:rPr>
                <w:rFonts w:ascii="Times New Roman" w:hAnsi="Times New Roman"/>
                <w:b/>
                <w:color w:val="FFFFFF"/>
                <w:sz w:val="21"/>
              </w:rPr>
              <w:t>Description</w:t>
            </w:r>
          </w:p>
        </w:tc>
      </w:tr>
      <w:tr>
        <w:trPr>
          <w:cantSplit/>
        </w:trPr>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id</w:t>
            </w:r>
          </w:p>
        </w:tc>
        <w:tc>
          <w:tcPr>
            <w:tcW w:type="dxa" w:w="1728"/>
            <w:tcMar>
              <w:top w:w="100" w:type="dxa"/>
              <w:bottom w:w="100" w:type="dxa"/>
              <w:left w:w="140" w:type="dxa"/>
              <w:right w:w="140" w:type="dxa"/>
            </w:tcMar>
            <w:vAlign w:val="center"/>
          </w:tcPr>
          <w:p>
            <w:pPr>
              <w:spacing w:before="0" w:after="0"/>
              <w:jc w:val="left"/>
            </w:pPr>
            <w:r>
              <w:rPr>
                <w:rFonts w:ascii="Times New Roman" w:hAnsi="Times New Roman"/>
                <w:color w:val="0F172A"/>
                <w:sz w:val="20"/>
              </w:rPr>
              <w:t>UUID</w:t>
            </w:r>
          </w:p>
        </w:tc>
        <w:tc>
          <w:tcPr>
            <w:tcW w:type="dxa" w:w="2304"/>
            <w:tcMar>
              <w:top w:w="100" w:type="dxa"/>
              <w:bottom w:w="100" w:type="dxa"/>
              <w:left w:w="140" w:type="dxa"/>
              <w:right w:w="140" w:type="dxa"/>
            </w:tcMar>
            <w:vAlign w:val="center"/>
          </w:tcPr>
          <w:p>
            <w:pPr>
              <w:spacing w:before="0" w:after="0"/>
              <w:jc w:val="left"/>
            </w:pPr>
            <w:r>
              <w:rPr>
                <w:rFonts w:ascii="Times New Roman" w:hAnsi="Times New Roman"/>
                <w:color w:val="0F172A"/>
                <w:sz w:val="20"/>
              </w:rPr>
              <w:t>Primary Key, Auto-gen</w:t>
            </w:r>
          </w:p>
        </w:tc>
        <w:tc>
          <w:tcPr>
            <w:tcW w:type="dxa" w:w="3168"/>
            <w:tcMar>
              <w:top w:w="100" w:type="dxa"/>
              <w:bottom w:w="100" w:type="dxa"/>
              <w:left w:w="140" w:type="dxa"/>
              <w:right w:w="140" w:type="dxa"/>
            </w:tcMar>
            <w:vAlign w:val="center"/>
          </w:tcPr>
          <w:p>
            <w:pPr>
              <w:spacing w:before="0" w:after="0"/>
              <w:jc w:val="left"/>
            </w:pPr>
            <w:r>
              <w:rPr>
                <w:rFonts w:ascii="Times New Roman" w:hAnsi="Times New Roman"/>
                <w:color w:val="0F172A"/>
                <w:sz w:val="20"/>
              </w:rPr>
              <w:t>Unique risk score entity reference number.</w:t>
            </w:r>
          </w:p>
        </w:tc>
      </w:tr>
      <w:tr>
        <w:trPr>
          <w:cantSplit/>
        </w:trPr>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entityType</w:t>
            </w:r>
          </w:p>
        </w:tc>
        <w:tc>
          <w:tcPr>
            <w:tcW w:type="dxa" w:w="172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Enum</w:t>
            </w:r>
          </w:p>
        </w:tc>
        <w:tc>
          <w:tcPr>
            <w:tcW w:type="dxa" w:w="2304"/>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IP, USER, SESSION</w:t>
            </w:r>
          </w:p>
        </w:tc>
        <w:tc>
          <w:tcPr>
            <w:tcW w:type="dxa" w:w="316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Type of entity evaluated for security risk.</w:t>
            </w:r>
          </w:p>
        </w:tc>
      </w:tr>
      <w:tr>
        <w:trPr>
          <w:cantSplit/>
        </w:trPr>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entityValue</w:t>
            </w:r>
          </w:p>
        </w:tc>
        <w:tc>
          <w:tcPr>
            <w:tcW w:type="dxa" w:w="1728"/>
            <w:tcMar>
              <w:top w:w="100" w:type="dxa"/>
              <w:bottom w:w="100" w:type="dxa"/>
              <w:left w:w="140" w:type="dxa"/>
              <w:right w:w="140" w:type="dxa"/>
            </w:tcMar>
            <w:vAlign w:val="center"/>
          </w:tcPr>
          <w:p>
            <w:pPr>
              <w:spacing w:before="0" w:after="0"/>
              <w:jc w:val="left"/>
            </w:pPr>
            <w:r>
              <w:rPr>
                <w:rFonts w:ascii="Times New Roman" w:hAnsi="Times New Roman"/>
                <w:color w:val="0F172A"/>
                <w:sz w:val="20"/>
              </w:rPr>
              <w:t>VarChar(255)</w:t>
            </w:r>
          </w:p>
        </w:tc>
        <w:tc>
          <w:tcPr>
            <w:tcW w:type="dxa" w:w="2304"/>
            <w:tcMar>
              <w:top w:w="100" w:type="dxa"/>
              <w:bottom w:w="100" w:type="dxa"/>
              <w:left w:w="140" w:type="dxa"/>
              <w:right w:w="140" w:type="dxa"/>
            </w:tcMar>
            <w:vAlign w:val="center"/>
          </w:tcPr>
          <w:p>
            <w:pPr>
              <w:spacing w:before="0" w:after="0"/>
              <w:jc w:val="left"/>
            </w:pPr>
            <w:r>
              <w:rPr>
                <w:rFonts w:ascii="Times New Roman" w:hAnsi="Times New Roman"/>
                <w:color w:val="0F172A"/>
                <w:sz w:val="20"/>
              </w:rPr>
              <w:t>Not Null, Indexed</w:t>
            </w:r>
          </w:p>
        </w:tc>
        <w:tc>
          <w:tcPr>
            <w:tcW w:type="dxa" w:w="3168"/>
            <w:tcMar>
              <w:top w:w="100" w:type="dxa"/>
              <w:bottom w:w="100" w:type="dxa"/>
              <w:left w:w="140" w:type="dxa"/>
              <w:right w:w="140" w:type="dxa"/>
            </w:tcMar>
            <w:vAlign w:val="center"/>
          </w:tcPr>
          <w:p>
            <w:pPr>
              <w:spacing w:before="0" w:after="0"/>
              <w:jc w:val="left"/>
            </w:pPr>
            <w:r>
              <w:rPr>
                <w:rFonts w:ascii="Times New Roman" w:hAnsi="Times New Roman"/>
                <w:color w:val="0F172A"/>
                <w:sz w:val="20"/>
              </w:rPr>
              <w:t>Identifier value of the entity (e.g. IP address or username).</w:t>
            </w:r>
          </w:p>
        </w:tc>
      </w:tr>
      <w:tr>
        <w:trPr>
          <w:cantSplit/>
        </w:trPr>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score</w:t>
            </w:r>
          </w:p>
        </w:tc>
        <w:tc>
          <w:tcPr>
            <w:tcW w:type="dxa" w:w="172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Float</w:t>
            </w:r>
          </w:p>
        </w:tc>
        <w:tc>
          <w:tcPr>
            <w:tcW w:type="dxa" w:w="2304"/>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Range 0.0 to 100.0</w:t>
            </w:r>
          </w:p>
        </w:tc>
        <w:tc>
          <w:tcPr>
            <w:tcW w:type="dxa" w:w="316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Composite normalized threat risk calculation.</w:t>
            </w:r>
          </w:p>
        </w:tc>
      </w:tr>
      <w:tr>
        <w:trPr>
          <w:cantSplit/>
        </w:trPr>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category</w:t>
            </w:r>
          </w:p>
        </w:tc>
        <w:tc>
          <w:tcPr>
            <w:tcW w:type="dxa" w:w="1728"/>
            <w:tcMar>
              <w:top w:w="100" w:type="dxa"/>
              <w:bottom w:w="100" w:type="dxa"/>
              <w:left w:w="140" w:type="dxa"/>
              <w:right w:w="140" w:type="dxa"/>
            </w:tcMar>
            <w:vAlign w:val="center"/>
          </w:tcPr>
          <w:p>
            <w:pPr>
              <w:spacing w:before="0" w:after="0"/>
              <w:jc w:val="left"/>
            </w:pPr>
            <w:r>
              <w:rPr>
                <w:rFonts w:ascii="Times New Roman" w:hAnsi="Times New Roman"/>
                <w:color w:val="0F172A"/>
                <w:sz w:val="20"/>
              </w:rPr>
              <w:t>Enum</w:t>
            </w:r>
          </w:p>
        </w:tc>
        <w:tc>
          <w:tcPr>
            <w:tcW w:type="dxa" w:w="2304"/>
            <w:tcMar>
              <w:top w:w="100" w:type="dxa"/>
              <w:bottom w:w="100" w:type="dxa"/>
              <w:left w:w="140" w:type="dxa"/>
              <w:right w:w="140" w:type="dxa"/>
            </w:tcMar>
            <w:vAlign w:val="center"/>
          </w:tcPr>
          <w:p>
            <w:pPr>
              <w:spacing w:before="0" w:after="0"/>
              <w:jc w:val="left"/>
            </w:pPr>
            <w:r>
              <w:rPr>
                <w:rFonts w:ascii="Times New Roman" w:hAnsi="Times New Roman"/>
                <w:color w:val="0F172A"/>
                <w:sz w:val="20"/>
              </w:rPr>
              <w:t>SAFE, LOW, MEDIUM, HIGH, CRITICAL</w:t>
            </w:r>
          </w:p>
        </w:tc>
        <w:tc>
          <w:tcPr>
            <w:tcW w:type="dxa" w:w="3168"/>
            <w:tcMar>
              <w:top w:w="100" w:type="dxa"/>
              <w:bottom w:w="100" w:type="dxa"/>
              <w:left w:w="140" w:type="dxa"/>
              <w:right w:w="140" w:type="dxa"/>
            </w:tcMar>
            <w:vAlign w:val="center"/>
          </w:tcPr>
          <w:p>
            <w:pPr>
              <w:spacing w:before="0" w:after="0"/>
              <w:jc w:val="left"/>
            </w:pPr>
            <w:r>
              <w:rPr>
                <w:rFonts w:ascii="Times New Roman" w:hAnsi="Times New Roman"/>
                <w:color w:val="0F172A"/>
                <w:sz w:val="20"/>
              </w:rPr>
              <w:t>Operational risk tier assigned to the entity.</w:t>
            </w:r>
          </w:p>
        </w:tc>
      </w:tr>
      <w:tr>
        <w:trPr>
          <w:cantSplit/>
        </w:trPr>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factors</w:t>
            </w:r>
          </w:p>
        </w:tc>
        <w:tc>
          <w:tcPr>
            <w:tcW w:type="dxa" w:w="172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JsonB</w:t>
            </w:r>
          </w:p>
        </w:tc>
        <w:tc>
          <w:tcPr>
            <w:tcW w:type="dxa" w:w="2304"/>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Not Null</w:t>
            </w:r>
          </w:p>
        </w:tc>
        <w:tc>
          <w:tcPr>
            <w:tcW w:type="dxa" w:w="316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Breakdown of individual anomaly and heuristic weights.</w:t>
            </w:r>
          </w:p>
        </w:tc>
      </w:tr>
      <w:tr>
        <w:trPr>
          <w:cantSplit/>
        </w:trPr>
        <w:tc>
          <w:tcPr>
            <w:tcW w:type="dxa" w:w="1728"/>
            <w:tcMar>
              <w:top w:w="100" w:type="dxa"/>
              <w:bottom w:w="100" w:type="dxa"/>
              <w:left w:w="140" w:type="dxa"/>
              <w:right w:w="140" w:type="dxa"/>
            </w:tcMar>
            <w:vAlign w:val="center"/>
          </w:tcPr>
          <w:p>
            <w:pPr>
              <w:spacing w:before="0" w:after="0"/>
              <w:jc w:val="center"/>
            </w:pPr>
            <w:r>
              <w:rPr>
                <w:rFonts w:ascii="Times New Roman" w:hAnsi="Times New Roman"/>
                <w:color w:val="0F172A"/>
                <w:sz w:val="20"/>
              </w:rPr>
              <w:t>confidence</w:t>
            </w:r>
          </w:p>
        </w:tc>
        <w:tc>
          <w:tcPr>
            <w:tcW w:type="dxa" w:w="1728"/>
            <w:tcMar>
              <w:top w:w="100" w:type="dxa"/>
              <w:bottom w:w="100" w:type="dxa"/>
              <w:left w:w="140" w:type="dxa"/>
              <w:right w:w="140" w:type="dxa"/>
            </w:tcMar>
            <w:vAlign w:val="center"/>
          </w:tcPr>
          <w:p>
            <w:pPr>
              <w:spacing w:before="0" w:after="0"/>
              <w:jc w:val="left"/>
            </w:pPr>
            <w:r>
              <w:rPr>
                <w:rFonts w:ascii="Times New Roman" w:hAnsi="Times New Roman"/>
                <w:color w:val="0F172A"/>
                <w:sz w:val="20"/>
              </w:rPr>
              <w:t>Float</w:t>
            </w:r>
          </w:p>
        </w:tc>
        <w:tc>
          <w:tcPr>
            <w:tcW w:type="dxa" w:w="2304"/>
            <w:tcMar>
              <w:top w:w="100" w:type="dxa"/>
              <w:bottom w:w="100" w:type="dxa"/>
              <w:left w:w="140" w:type="dxa"/>
              <w:right w:w="140" w:type="dxa"/>
            </w:tcMar>
            <w:vAlign w:val="center"/>
          </w:tcPr>
          <w:p>
            <w:pPr>
              <w:spacing w:before="0" w:after="0"/>
              <w:jc w:val="left"/>
            </w:pPr>
            <w:r>
              <w:rPr>
                <w:rFonts w:ascii="Times New Roman" w:hAnsi="Times New Roman"/>
                <w:color w:val="0F172A"/>
                <w:sz w:val="20"/>
              </w:rPr>
              <w:t>Range 0.0 to 1.0</w:t>
            </w:r>
          </w:p>
        </w:tc>
        <w:tc>
          <w:tcPr>
            <w:tcW w:type="dxa" w:w="3168"/>
            <w:tcMar>
              <w:top w:w="100" w:type="dxa"/>
              <w:bottom w:w="100" w:type="dxa"/>
              <w:left w:w="140" w:type="dxa"/>
              <w:right w:w="140" w:type="dxa"/>
            </w:tcMar>
            <w:vAlign w:val="center"/>
          </w:tcPr>
          <w:p>
            <w:pPr>
              <w:spacing w:before="0" w:after="0"/>
              <w:jc w:val="left"/>
            </w:pPr>
            <w:r>
              <w:rPr>
                <w:rFonts w:ascii="Times New Roman" w:hAnsi="Times New Roman"/>
                <w:color w:val="0F172A"/>
                <w:sz w:val="20"/>
              </w:rPr>
              <w:t>Statistical confidence probability of the ML model.</w:t>
            </w:r>
          </w:p>
        </w:tc>
      </w:tr>
      <w:tr>
        <w:trPr>
          <w:cantSplit/>
        </w:trPr>
        <w:tc>
          <w:tcPr>
            <w:tcW w:type="dxa" w:w="1728"/>
            <w:shd w:fill="F7FAFC"/>
            <w:tcMar>
              <w:top w:w="100" w:type="dxa"/>
              <w:bottom w:w="100" w:type="dxa"/>
              <w:left w:w="140" w:type="dxa"/>
              <w:right w:w="140" w:type="dxa"/>
            </w:tcMar>
            <w:vAlign w:val="center"/>
          </w:tcPr>
          <w:p>
            <w:pPr>
              <w:spacing w:before="0" w:after="0"/>
              <w:jc w:val="center"/>
            </w:pPr>
            <w:r>
              <w:rPr>
                <w:rFonts w:ascii="Times New Roman" w:hAnsi="Times New Roman"/>
                <w:color w:val="0F172A"/>
                <w:sz w:val="20"/>
              </w:rPr>
              <w:t>createdAt</w:t>
            </w:r>
          </w:p>
        </w:tc>
        <w:tc>
          <w:tcPr>
            <w:tcW w:type="dxa" w:w="172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DateTime</w:t>
            </w:r>
          </w:p>
        </w:tc>
        <w:tc>
          <w:tcPr>
            <w:tcW w:type="dxa" w:w="2304"/>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Default Now, Indexed</w:t>
            </w:r>
          </w:p>
        </w:tc>
        <w:tc>
          <w:tcPr>
            <w:tcW w:type="dxa" w:w="3168"/>
            <w:shd w:fill="F7FAFC"/>
            <w:tcMar>
              <w:top w:w="100" w:type="dxa"/>
              <w:bottom w:w="100" w:type="dxa"/>
              <w:left w:w="140" w:type="dxa"/>
              <w:right w:w="140" w:type="dxa"/>
            </w:tcMar>
            <w:vAlign w:val="center"/>
          </w:tcPr>
          <w:p>
            <w:pPr>
              <w:spacing w:before="0" w:after="0"/>
              <w:jc w:val="left"/>
            </w:pPr>
            <w:r>
              <w:rPr>
                <w:rFonts w:ascii="Times New Roman" w:hAnsi="Times New Roman"/>
                <w:color w:val="0F172A"/>
                <w:sz w:val="20"/>
              </w:rPr>
              <w:t>Timestamp when threat score was recorded.</w:t>
            </w:r>
          </w:p>
        </w:tc>
      </w:tr>
    </w:tbl>
    <w:p>
      <w:r>
        <w:br w:type="page"/>
      </w:r>
    </w:p>
    <w:p>
      <w:pPr>
        <w:spacing w:before="280" w:after="80"/>
        <w:jc w:val="center"/>
      </w:pPr>
      <w:r>
        <w:rPr>
          <w:rFonts w:ascii="Times New Roman" w:hAnsi="Times New Roman"/>
          <w:b/>
          <w:sz w:val="36"/>
        </w:rPr>
        <w:t>CHAPTER 9</w:t>
      </w:r>
    </w:p>
    <w:p>
      <w:pPr>
        <w:spacing w:before="0" w:after="320"/>
        <w:jc w:val="center"/>
      </w:pPr>
      <w:r>
        <w:rPr>
          <w:rFonts w:ascii="Times New Roman" w:hAnsi="Times New Roman"/>
          <w:b/>
          <w:sz w:val="36"/>
        </w:rPr>
        <w:t>LIMITATION AND FUTURE ENHANCEMENTS</w:t>
      </w:r>
    </w:p>
    <w:p>
      <w:pPr>
        <w:spacing w:before="0" w:after="60"/>
        <w:ind w:left="288"/>
      </w:pPr>
      <w:r>
        <w:rPr>
          <w:rFonts w:ascii="Times New Roman" w:hAnsi="Times New Roman"/>
          <w:b/>
          <w:sz w:val="24"/>
        </w:rPr>
        <w:t>●  LIMITATIONS</w:t>
      </w:r>
    </w:p>
    <w:p>
      <w:pPr>
        <w:spacing w:before="0" w:after="60"/>
        <w:ind w:left="288"/>
      </w:pPr>
      <w:r>
        <w:rPr>
          <w:rFonts w:ascii="Times New Roman" w:hAnsi="Times New Roman"/>
          <w:b/>
          <w:sz w:val="24"/>
        </w:rPr>
        <w:t>●  FUTURE ENHANCEMENTS</w:t>
      </w:r>
    </w:p>
    <w:p>
      <w:pPr>
        <w:spacing w:before="120" w:after="120"/>
      </w:pPr>
    </w:p>
    <w:p>
      <w:pPr>
        <w:keepNext/>
        <w:spacing w:before="280" w:after="80"/>
      </w:pPr>
      <w:r>
        <w:rPr>
          <w:rFonts w:ascii="Times New Roman" w:hAnsi="Times New Roman"/>
          <w:b/>
          <w:sz w:val="28"/>
        </w:rPr>
        <w:t>9.1 LIMITATIONS</w:t>
      </w:r>
    </w:p>
    <w:p>
      <w:pPr>
        <w:spacing w:before="0" w:after="80" w:line="276" w:lineRule="auto"/>
        <w:ind w:left="360"/>
        <w:jc w:val="both"/>
      </w:pPr>
      <w:r>
        <w:rPr>
          <w:rFonts w:ascii="Times New Roman" w:hAnsi="Times New Roman"/>
          <w:b/>
          <w:sz w:val="23"/>
        </w:rPr>
        <w:t xml:space="preserve">• 1. Unlabeled Zero-Day Validation: </w:t>
      </w:r>
      <w:r>
        <w:rPr>
          <w:rFonts w:ascii="Times New Roman" w:hAnsi="Times New Roman"/>
          <w:sz w:val="23"/>
        </w:rPr>
        <w:t>Because zero-day threats by definition lack historical ground truth, initial anomaly confidence scoring relies on unsupervised decision margins rather than labeled verification.</w:t>
      </w:r>
    </w:p>
    <w:p>
      <w:pPr>
        <w:spacing w:before="0" w:after="80" w:line="276" w:lineRule="auto"/>
        <w:ind w:left="360"/>
        <w:jc w:val="both"/>
      </w:pPr>
      <w:r>
        <w:rPr>
          <w:rFonts w:ascii="Times New Roman" w:hAnsi="Times New Roman"/>
          <w:b/>
          <w:sz w:val="23"/>
        </w:rPr>
        <w:t xml:space="preserve">• 2. Network Ingestion Bandwidth: </w:t>
      </w:r>
      <w:r>
        <w:rPr>
          <w:rFonts w:ascii="Times New Roman" w:hAnsi="Times New Roman"/>
          <w:sz w:val="23"/>
        </w:rPr>
        <w:t>Extreme peak bursts exceeding 50,000 logs/second require multi-node Redis clustering to avoid job queue memory saturation on resource-constrained hosts.</w:t>
      </w:r>
    </w:p>
    <w:p>
      <w:pPr>
        <w:spacing w:before="0" w:after="80" w:line="276" w:lineRule="auto"/>
        <w:ind w:left="360"/>
        <w:jc w:val="both"/>
      </w:pPr>
      <w:r>
        <w:rPr>
          <w:rFonts w:ascii="Times New Roman" w:hAnsi="Times New Roman"/>
          <w:b/>
          <w:sz w:val="23"/>
        </w:rPr>
        <w:t xml:space="preserve">• 3. Encrypted Payload Inspection: </w:t>
      </w:r>
      <w:r>
        <w:rPr>
          <w:rFonts w:ascii="Times New Roman" w:hAnsi="Times New Roman"/>
          <w:sz w:val="23"/>
        </w:rPr>
        <w:t>Deep payload analysis is restricted when network traffic utilizes end-to-end TLS 1.3 encryption, shifting detection weight to flow telemetry and port metadata.</w:t>
      </w:r>
    </w:p>
    <w:p>
      <w:pPr>
        <w:keepNext/>
        <w:spacing w:before="280" w:after="80"/>
      </w:pPr>
      <w:r>
        <w:rPr>
          <w:rFonts w:ascii="Times New Roman" w:hAnsi="Times New Roman"/>
          <w:b/>
          <w:sz w:val="28"/>
        </w:rPr>
        <w:t>9.2 FUTURE ENHANCEMENTS</w:t>
      </w:r>
    </w:p>
    <w:p>
      <w:pPr>
        <w:spacing w:before="0" w:after="80" w:line="276" w:lineRule="auto"/>
        <w:ind w:left="360"/>
        <w:jc w:val="both"/>
      </w:pPr>
      <w:r>
        <w:rPr>
          <w:rFonts w:ascii="Times New Roman" w:hAnsi="Times New Roman"/>
          <w:b/>
          <w:sz w:val="23"/>
        </w:rPr>
        <w:t xml:space="preserve">• 1. Automated SOAR Playbook Execution: </w:t>
      </w:r>
      <w:r>
        <w:rPr>
          <w:rFonts w:ascii="Times New Roman" w:hAnsi="Times New Roman"/>
          <w:sz w:val="23"/>
        </w:rPr>
        <w:t>Integrate automated Security Orchestration, Automation, and Response (SOAR) playbooks to dynamically reconfigure firewall ACLs and isolate infected endpoints.</w:t>
      </w:r>
    </w:p>
    <w:p>
      <w:pPr>
        <w:spacing w:before="0" w:after="80" w:line="276" w:lineRule="auto"/>
        <w:ind w:left="360"/>
        <w:jc w:val="both"/>
      </w:pPr>
      <w:r>
        <w:rPr>
          <w:rFonts w:ascii="Times New Roman" w:hAnsi="Times New Roman"/>
          <w:b/>
          <w:sz w:val="23"/>
        </w:rPr>
        <w:t xml:space="preserve">• 2. Large Language Model (LLM) Incident Summarization: </w:t>
      </w:r>
      <w:r>
        <w:rPr>
          <w:rFonts w:ascii="Times New Roman" w:hAnsi="Times New Roman"/>
          <w:sz w:val="23"/>
        </w:rPr>
        <w:t>Deploy local privacy-preserving LLMs (e.g., Llama 3) to generate natural language executive briefing summaries from multi-source incident logs.</w:t>
      </w:r>
    </w:p>
    <w:p>
      <w:pPr>
        <w:spacing w:before="0" w:after="80" w:line="276" w:lineRule="auto"/>
        <w:ind w:left="360"/>
        <w:jc w:val="both"/>
      </w:pPr>
      <w:r>
        <w:rPr>
          <w:rFonts w:ascii="Times New Roman" w:hAnsi="Times New Roman"/>
          <w:b/>
          <w:sz w:val="23"/>
        </w:rPr>
        <w:t xml:space="preserve">• 3. Graph Neural Network (GNN) Attack Graphing: </w:t>
      </w:r>
      <w:r>
        <w:rPr>
          <w:rFonts w:ascii="Times New Roman" w:hAnsi="Times New Roman"/>
          <w:sz w:val="23"/>
        </w:rPr>
        <w:t>Incorporate Graph Neural Networks to model lateral movement across enterprise Active Directory topologies and cloud identity graphs.</w:t>
      </w:r>
    </w:p>
    <w:p>
      <w:pPr>
        <w:spacing w:before="0" w:after="80" w:line="276" w:lineRule="auto"/>
        <w:ind w:left="360"/>
        <w:jc w:val="both"/>
      </w:pPr>
      <w:r>
        <w:rPr>
          <w:rFonts w:ascii="Times New Roman" w:hAnsi="Times New Roman"/>
          <w:b/>
          <w:sz w:val="23"/>
        </w:rPr>
        <w:t xml:space="preserve">• 4. Decentralized Threat Intelligence Sharing: </w:t>
      </w:r>
      <w:r>
        <w:rPr>
          <w:rFonts w:ascii="Times New Roman" w:hAnsi="Times New Roman"/>
          <w:sz w:val="23"/>
        </w:rPr>
        <w:t>Implement STIX/TAXII 2.1 protocol standards for federated, privacy-preserving threat intelligence exchange across partner organizations.</w:t>
      </w:r>
    </w:p>
    <w:p>
      <w:r>
        <w:br w:type="page"/>
      </w:r>
    </w:p>
    <w:p>
      <w:pPr>
        <w:spacing w:before="280" w:after="80"/>
        <w:jc w:val="center"/>
      </w:pPr>
      <w:r>
        <w:rPr>
          <w:rFonts w:ascii="Times New Roman" w:hAnsi="Times New Roman"/>
          <w:b/>
          <w:sz w:val="36"/>
        </w:rPr>
        <w:t>CHAPTER 10</w:t>
      </w:r>
    </w:p>
    <w:p>
      <w:pPr>
        <w:spacing w:before="0" w:after="320"/>
        <w:jc w:val="center"/>
      </w:pPr>
      <w:r>
        <w:rPr>
          <w:rFonts w:ascii="Times New Roman" w:hAnsi="Times New Roman"/>
          <w:b/>
          <w:sz w:val="36"/>
        </w:rPr>
        <w:t>CONCLUSION</w:t>
      </w:r>
    </w:p>
    <w:p>
      <w:pPr>
        <w:spacing w:before="0" w:after="60"/>
        <w:ind w:left="288"/>
      </w:pPr>
      <w:r>
        <w:rPr>
          <w:rFonts w:ascii="Times New Roman" w:hAnsi="Times New Roman"/>
          <w:b/>
          <w:sz w:val="24"/>
        </w:rPr>
        <w:t>●  CONCLUSION</w:t>
      </w:r>
    </w:p>
    <w:p>
      <w:pPr>
        <w:spacing w:before="120" w:after="120"/>
      </w:pPr>
    </w:p>
    <w:p>
      <w:pPr>
        <w:keepNext/>
        <w:spacing w:before="280" w:after="80"/>
      </w:pPr>
      <w:r>
        <w:rPr>
          <w:rFonts w:ascii="Times New Roman" w:hAnsi="Times New Roman"/>
          <w:b/>
          <w:sz w:val="28"/>
        </w:rPr>
        <w:t>10.1 CONCLUSION</w:t>
      </w:r>
    </w:p>
    <w:p>
      <w:pPr>
        <w:spacing w:before="0" w:after="120" w:line="276" w:lineRule="auto"/>
        <w:jc w:val="both"/>
      </w:pPr>
      <w:r>
        <w:rPr>
          <w:rFonts w:ascii="Times New Roman" w:hAnsi="Times New Roman"/>
          <w:sz w:val="24"/>
        </w:rPr>
        <w:t>The CyberShield-AI Cyber Threat Intelligence, Detection, Analysis and Attack Prediction Platform demonstrates how modern cloud-native engineering, polyglot persistence, unsupervised machine learning ensembles, and explainable artificial intelligence can transform enterprise cybersecurity. Throughout the project lifecycle, the following milestones were achieved:</w:t>
      </w:r>
    </w:p>
    <w:p>
      <w:pPr>
        <w:spacing w:before="0" w:after="80" w:line="276" w:lineRule="auto"/>
        <w:ind w:left="360"/>
        <w:jc w:val="both"/>
      </w:pPr>
      <w:r>
        <w:rPr>
          <w:rFonts w:ascii="Times New Roman" w:hAnsi="Times New Roman"/>
          <w:b/>
          <w:sz w:val="23"/>
        </w:rPr>
        <w:t xml:space="preserve">• 1. End-to-End Intelligence Ecosystem: </w:t>
      </w:r>
      <w:r>
        <w:rPr>
          <w:rFonts w:ascii="Times New Roman" w:hAnsi="Times New Roman"/>
          <w:sz w:val="23"/>
        </w:rPr>
        <w:t>Successfully designed and deployed a responsive Next.js 16 and NestJS 11 platform connecting frontline SOC analysts, threat hunters, and administrators.</w:t>
      </w:r>
    </w:p>
    <w:p>
      <w:pPr>
        <w:spacing w:before="0" w:after="80" w:line="276" w:lineRule="auto"/>
        <w:ind w:left="360"/>
        <w:jc w:val="both"/>
      </w:pPr>
      <w:r>
        <w:rPr>
          <w:rFonts w:ascii="Times New Roman" w:hAnsi="Times New Roman"/>
          <w:b/>
          <w:sz w:val="23"/>
        </w:rPr>
        <w:t xml:space="preserve">• 2. Unsupervised ML Anomaly Detection: </w:t>
      </w:r>
      <w:r>
        <w:rPr>
          <w:rFonts w:ascii="Times New Roman" w:hAnsi="Times New Roman"/>
          <w:sz w:val="23"/>
        </w:rPr>
        <w:t>Engineered a high-performance Python FastAPI microservice combining Isolation Forest and One-Class SVM to detect novel cyber anomalies with sub-100ms latency.</w:t>
      </w:r>
    </w:p>
    <w:p>
      <w:pPr>
        <w:spacing w:before="0" w:after="80" w:line="276" w:lineRule="auto"/>
        <w:ind w:left="360"/>
        <w:jc w:val="both"/>
      </w:pPr>
      <w:r>
        <w:rPr>
          <w:rFonts w:ascii="Times New Roman" w:hAnsi="Times New Roman"/>
          <w:b/>
          <w:sz w:val="23"/>
        </w:rPr>
        <w:t xml:space="preserve">• 3. Explainable AI Attribution: </w:t>
      </w:r>
      <w:r>
        <w:rPr>
          <w:rFonts w:ascii="Times New Roman" w:hAnsi="Times New Roman"/>
          <w:sz w:val="23"/>
        </w:rPr>
        <w:t>Demystified machine learning predictions by pairing SHAP feature importance attributions with heuristic reasoning, eliminating black-box distrust.</w:t>
      </w:r>
    </w:p>
    <w:p>
      <w:pPr>
        <w:spacing w:before="0" w:after="80" w:line="276" w:lineRule="auto"/>
        <w:ind w:left="360"/>
        <w:jc w:val="both"/>
      </w:pPr>
      <w:r>
        <w:rPr>
          <w:rFonts w:ascii="Times New Roman" w:hAnsi="Times New Roman"/>
          <w:b/>
          <w:sz w:val="23"/>
        </w:rPr>
        <w:t xml:space="preserve">• 4. Predictive Kill-Chain Forecasting: </w:t>
      </w:r>
      <w:r>
        <w:rPr>
          <w:rFonts w:ascii="Times New Roman" w:hAnsi="Times New Roman"/>
          <w:sz w:val="23"/>
        </w:rPr>
        <w:t>Delivered multi-stage attack forecasting mapped to MITRE ATT&amp;CK tactics, allowing proactive containment before damage occurs.</w:t>
      </w:r>
    </w:p>
    <w:p>
      <w:pPr>
        <w:spacing w:before="0" w:after="80" w:line="276" w:lineRule="auto"/>
        <w:ind w:left="360"/>
        <w:jc w:val="both"/>
      </w:pPr>
      <w:r>
        <w:rPr>
          <w:rFonts w:ascii="Times New Roman" w:hAnsi="Times New Roman"/>
          <w:b/>
          <w:sz w:val="23"/>
        </w:rPr>
        <w:t xml:space="preserve">• 5. Rigorous Systematic Validation: </w:t>
      </w:r>
      <w:r>
        <w:rPr>
          <w:rFonts w:ascii="Times New Roman" w:hAnsi="Times New Roman"/>
          <w:sz w:val="23"/>
        </w:rPr>
        <w:t>Validated all functional, security, and machine learning modules through extensive black-box, white-box, and attack simulation test suites.</w:t>
      </w:r>
    </w:p>
    <w:p>
      <w:pPr>
        <w:spacing w:before="0" w:after="120" w:line="276" w:lineRule="auto"/>
        <w:jc w:val="both"/>
      </w:pPr>
      <w:r>
        <w:rPr>
          <w:rFonts w:ascii="Times New Roman" w:hAnsi="Times New Roman"/>
          <w:sz w:val="24"/>
        </w:rPr>
        <w:t>In conclusion, CyberShield-AI bridges the critical gap between overwhelming raw security data and actionable defensive intelligence, establishing a robust, scalable, and explainable foundation for next-generation cyber defense operations.</w:t>
      </w:r>
    </w:p>
    <w:p>
      <w:r>
        <w:br w:type="page"/>
      </w:r>
    </w:p>
    <w:p>
      <w:pPr>
        <w:spacing w:before="320" w:after="200"/>
        <w:jc w:val="center"/>
      </w:pPr>
      <w:r>
        <w:rPr>
          <w:rFonts w:ascii="Times New Roman" w:hAnsi="Times New Roman"/>
          <w:b/>
          <w:sz w:val="36"/>
        </w:rPr>
        <w:t>BIBLIOGRAPHY</w:t>
      </w:r>
    </w:p>
    <w:p>
      <w:pPr>
        <w:keepNext/>
        <w:spacing w:before="280" w:after="80"/>
      </w:pPr>
      <w:r>
        <w:rPr>
          <w:rFonts w:ascii="Times New Roman" w:hAnsi="Times New Roman"/>
          <w:b/>
          <w:sz w:val="28"/>
        </w:rPr>
        <w:t>REFERENCES</w:t>
      </w:r>
    </w:p>
    <w:p>
      <w:pPr>
        <w:spacing w:before="0" w:after="120" w:line="276" w:lineRule="auto"/>
        <w:jc w:val="both"/>
      </w:pPr>
      <w:r>
        <w:rPr>
          <w:rFonts w:ascii="Times New Roman" w:hAnsi="Times New Roman"/>
          <w:sz w:val="24"/>
        </w:rPr>
        <w:t>List of Web References &amp; Technical Documentation:</w:t>
      </w:r>
    </w:p>
    <w:p>
      <w:pPr>
        <w:spacing w:before="40" w:after="120" w:line="276" w:lineRule="auto"/>
        <w:jc w:val="both"/>
      </w:pPr>
      <w:r>
        <w:rPr>
          <w:rFonts w:ascii="Times New Roman" w:hAnsi="Times New Roman"/>
          <w:sz w:val="22"/>
        </w:rPr>
        <w:t>[1] Next.js Official Documentation &amp; App Router Architecture: https://nextjs.org/docs/ [ Accessed September 2026]</w:t>
      </w:r>
    </w:p>
    <w:p>
      <w:pPr>
        <w:spacing w:before="40" w:after="120" w:line="276" w:lineRule="auto"/>
        <w:jc w:val="both"/>
      </w:pPr>
      <w:r>
        <w:rPr>
          <w:rFonts w:ascii="Times New Roman" w:hAnsi="Times New Roman"/>
          <w:sz w:val="22"/>
        </w:rPr>
        <w:t>[2] NestJS Progressive TypeScript Framework Documentation: https://docs.nestjs.com/ [ Accessed September 2026]</w:t>
      </w:r>
    </w:p>
    <w:p>
      <w:pPr>
        <w:spacing w:before="40" w:after="120" w:line="276" w:lineRule="auto"/>
        <w:jc w:val="both"/>
      </w:pPr>
      <w:r>
        <w:rPr>
          <w:rFonts w:ascii="Times New Roman" w:hAnsi="Times New Roman"/>
          <w:sz w:val="22"/>
        </w:rPr>
        <w:t>[3] FastAPI High-Performance Python Web Framework: https://fastapi.tiangolo.com/ [ Accessed September 2026]</w:t>
      </w:r>
    </w:p>
    <w:p>
      <w:pPr>
        <w:spacing w:before="40" w:after="120" w:line="276" w:lineRule="auto"/>
        <w:jc w:val="both"/>
      </w:pPr>
      <w:r>
        <w:rPr>
          <w:rFonts w:ascii="Times New Roman" w:hAnsi="Times New Roman"/>
          <w:sz w:val="22"/>
        </w:rPr>
        <w:t>[4] Scikit-Learn Machine Learning in Python (Isolation Forest &amp; One-Class SVM): https://scikit-learn.org/stable/ [ Accessed September 2026]</w:t>
      </w:r>
    </w:p>
    <w:p>
      <w:pPr>
        <w:spacing w:before="40" w:after="120" w:line="276" w:lineRule="auto"/>
        <w:jc w:val="both"/>
      </w:pPr>
      <w:r>
        <w:rPr>
          <w:rFonts w:ascii="Times New Roman" w:hAnsi="Times New Roman"/>
          <w:sz w:val="22"/>
        </w:rPr>
        <w:t>[5] SHAP (SHapley Additive exPlanations) Interpretability Documentation: https://shap.readthedocs.io/ [ Accessed September 2026]</w:t>
      </w:r>
    </w:p>
    <w:p>
      <w:pPr>
        <w:spacing w:before="40" w:after="120" w:line="276" w:lineRule="auto"/>
        <w:jc w:val="both"/>
      </w:pPr>
      <w:r>
        <w:rPr>
          <w:rFonts w:ascii="Times New Roman" w:hAnsi="Times New Roman"/>
          <w:sz w:val="22"/>
        </w:rPr>
        <w:t>[6] Prisma ORM Documentation &amp; PostgreSQL Client: https://www.prisma.io/docs/ [ Accessed September 2026]</w:t>
      </w:r>
    </w:p>
    <w:p>
      <w:pPr>
        <w:spacing w:before="40" w:after="120" w:line="276" w:lineRule="auto"/>
        <w:jc w:val="both"/>
      </w:pPr>
      <w:r>
        <w:rPr>
          <w:rFonts w:ascii="Times New Roman" w:hAnsi="Times New Roman"/>
          <w:sz w:val="22"/>
        </w:rPr>
        <w:t>[7] MongoDB Manual &amp; Mongoose ODM: https://www.mongodb.com/docs/ [ Accessed September 2026]</w:t>
      </w:r>
    </w:p>
    <w:p>
      <w:pPr>
        <w:spacing w:before="40" w:after="120" w:line="276" w:lineRule="auto"/>
        <w:jc w:val="both"/>
      </w:pPr>
      <w:r>
        <w:rPr>
          <w:rFonts w:ascii="Times New Roman" w:hAnsi="Times New Roman"/>
          <w:sz w:val="22"/>
        </w:rPr>
        <w:t>[8] BullMQ Distributed Message Queue &amp; Redis Integration: https://docs.bullmq.io/ [ Accessed September 2026]</w:t>
      </w:r>
    </w:p>
    <w:p>
      <w:pPr>
        <w:spacing w:before="40" w:after="120" w:line="276" w:lineRule="auto"/>
        <w:jc w:val="both"/>
      </w:pPr>
      <w:r>
        <w:rPr>
          <w:rFonts w:ascii="Times New Roman" w:hAnsi="Times New Roman"/>
          <w:sz w:val="22"/>
        </w:rPr>
        <w:t>[9] Leaflet Open-Source Interactive Maps Library: https://leafletjs.com/ [ Accessed September 2026]</w:t>
      </w:r>
    </w:p>
    <w:p>
      <w:pPr>
        <w:spacing w:before="40" w:after="120" w:line="276" w:lineRule="auto"/>
        <w:jc w:val="both"/>
      </w:pPr>
      <w:r>
        <w:rPr>
          <w:rFonts w:ascii="Times New Roman" w:hAnsi="Times New Roman"/>
          <w:sz w:val="22"/>
        </w:rPr>
        <w:t>[10] MITRE ATT&amp;CK Enterprise Matrix &amp; Adversary Tactics: https://attack.mitre.org/ [ Accessed September 2026]</w:t>
      </w:r>
    </w:p>
    <w:p>
      <w:pPr>
        <w:spacing w:before="40" w:after="120" w:line="276" w:lineRule="auto"/>
        <w:jc w:val="both"/>
      </w:pPr>
      <w:r>
        <w:rPr>
          <w:rFonts w:ascii="Times New Roman" w:hAnsi="Times New Roman"/>
          <w:sz w:val="22"/>
        </w:rPr>
        <w:t>[11] Recharts Composable Charting Library for React: https://recharts.org/ [ Accessed September 2026]</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color w:val="71717A"/>
        <w:sz w:val="18"/>
      </w:rPr>
      <w:t>CyberShield-AI – AI-Powered Cyber Threat Intelligence Platform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