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Apply any of the following learning algorithms to learn the parameters of the supervised single layer feed forward neural network.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Stochastic Gradient Descent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Mini Batch Gradient Descent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Momentum GD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Nestorev GD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Adagrad GD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Adam Learning GD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Applying </w:t>
      </w:r>
      <w:r w:rsidDel="00000000" w:rsidR="00000000" w:rsidRPr="00000000">
        <w:rPr>
          <w:b w:val="1"/>
          <w:rtl w:val="0"/>
        </w:rPr>
        <w:t xml:space="preserve">Nesterov GD</w:t>
      </w:r>
      <w:r w:rsidDel="00000000" w:rsidR="00000000" w:rsidRPr="00000000">
        <w:rPr>
          <w:rtl w:val="0"/>
        </w:rPr>
        <w:t xml:space="preserve"> to Learn Parameters of a Single-layer Feed-forward Neural Network</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tl w:val="0"/>
        </w:rPr>
        <w:t xml:space="preserve">To apply various GD based optimization algorithms to learn the parameters of a supervised single – layer feed – forward neural network. By experimenting with different algorithms, we aim to compare their convergence speeds and overall performance in terms of training the neural network. </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16">
      <w:pPr>
        <w:rPr>
          <w:b w:val="0"/>
          <w:sz w:val="24"/>
          <w:szCs w:val="24"/>
        </w:rPr>
      </w:pPr>
      <w:r w:rsidDel="00000000" w:rsidR="00000000" w:rsidRPr="00000000">
        <w:rPr>
          <w:rtl w:val="0"/>
        </w:rPr>
        <w:t xml:space="preserve"> It will be a comparison of how different organization algorithms perform in training a single – layer feed – forward neural network. We will analyze their convergence rates, final accuracy on the validation set and potentially identify which optimization algorithm works best for this specific neural network architecture and dataset. </w:t>
      </w: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9">
      <w:pPr>
        <w:rPr>
          <w:b w:val="1"/>
          <w:sz w:val="20"/>
          <w:szCs w:val="20"/>
        </w:rPr>
      </w:pPr>
      <w:r w:rsidDel="00000000" w:rsidR="00000000" w:rsidRPr="00000000">
        <w:rPr>
          <w:sz w:val="24"/>
          <w:szCs w:val="24"/>
          <w:rtl w:val="0"/>
        </w:rPr>
        <w:t xml:space="preserve">The problem is to apply the Nesterov Gradient Descent algorithm to train a single-layer feed-forward neural network for a supervised learning task. The objective is to optimize the parameters of the neural network to minimize the loss and improve the model's predictive performance.</w:t>
      </w:r>
      <w:r w:rsidDel="00000000" w:rsidR="00000000" w:rsidRPr="00000000">
        <w:rPr>
          <w:rtl w:val="0"/>
        </w:rPr>
      </w:r>
    </w:p>
    <w:p w:rsidR="00000000" w:rsidDel="00000000" w:rsidP="00000000" w:rsidRDefault="00000000" w:rsidRPr="00000000" w14:paraId="0000001A">
      <w:pPr>
        <w:spacing w:line="240" w:lineRule="auto"/>
        <w:ind w:left="0" w:firstLine="0"/>
        <w:rPr>
          <w:b w:val="1"/>
        </w:rPr>
      </w:pP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spacing w:line="240" w:lineRule="auto"/>
        <w:ind w:left="0" w:firstLine="0"/>
        <w:rPr>
          <w:b w:val="1"/>
        </w:rPr>
      </w:pPr>
      <w:r w:rsidDel="00000000" w:rsidR="00000000" w:rsidRPr="00000000">
        <w:rPr>
          <w:rtl w:val="0"/>
        </w:rPr>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spacing w:line="240" w:lineRule="auto"/>
        <w:ind w:left="0" w:firstLine="0"/>
        <w:rPr>
          <w:b w:val="1"/>
        </w:rPr>
      </w:pPr>
      <w:r w:rsidDel="00000000" w:rsidR="00000000" w:rsidRPr="00000000">
        <w:rPr>
          <w:rtl w:val="0"/>
        </w:rPr>
      </w:r>
    </w:p>
    <w:p w:rsidR="00000000" w:rsidDel="00000000" w:rsidP="00000000" w:rsidRDefault="00000000" w:rsidRPr="00000000" w14:paraId="00000020">
      <w:pPr>
        <w:spacing w:line="240" w:lineRule="auto"/>
        <w:ind w:left="0" w:firstLine="0"/>
        <w:rPr>
          <w:b w:val="1"/>
        </w:rPr>
      </w:pPr>
      <w:r w:rsidDel="00000000" w:rsidR="00000000" w:rsidRPr="00000000">
        <w:rPr>
          <w:rtl w:val="0"/>
        </w:rPr>
      </w:r>
    </w:p>
    <w:p w:rsidR="00000000" w:rsidDel="00000000" w:rsidP="00000000" w:rsidRDefault="00000000" w:rsidRPr="00000000" w14:paraId="00000021">
      <w:pPr>
        <w:spacing w:line="240" w:lineRule="auto"/>
        <w:ind w:left="0" w:firstLine="0"/>
        <w:rPr>
          <w:b w:val="1"/>
        </w:rPr>
      </w:pPr>
      <w:r w:rsidDel="00000000" w:rsidR="00000000" w:rsidRPr="00000000">
        <w:rPr>
          <w:rtl w:val="0"/>
        </w:rPr>
      </w:r>
    </w:p>
    <w:p w:rsidR="00000000" w:rsidDel="00000000" w:rsidP="00000000" w:rsidRDefault="00000000" w:rsidRPr="00000000" w14:paraId="00000022">
      <w:pPr>
        <w:spacing w:line="240" w:lineRule="auto"/>
        <w:ind w:left="0" w:firstLine="0"/>
        <w:rPr>
          <w:b w:val="1"/>
        </w:rPr>
      </w:pPr>
      <w:r w:rsidDel="00000000" w:rsidR="00000000" w:rsidRPr="00000000">
        <w:rPr>
          <w:rtl w:val="0"/>
        </w:rPr>
      </w:r>
    </w:p>
    <w:p w:rsidR="00000000" w:rsidDel="00000000" w:rsidP="00000000" w:rsidRDefault="00000000" w:rsidRPr="00000000" w14:paraId="00000023">
      <w:pPr>
        <w:spacing w:line="240" w:lineRule="auto"/>
        <w:ind w:left="0" w:firstLine="0"/>
        <w:rPr>
          <w:b w:val="1"/>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25">
      <w:pPr>
        <w:spacing w:line="240" w:lineRule="auto"/>
        <w:ind w:left="0" w:firstLine="0"/>
        <w:rPr>
          <w:b w:val="1"/>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Single-layer Feed-forward Neural Network:</w:t>
      </w:r>
    </w:p>
    <w:p w:rsidR="00000000" w:rsidDel="00000000" w:rsidP="00000000" w:rsidRDefault="00000000" w:rsidRPr="00000000" w14:paraId="00000027">
      <w:pPr>
        <w:rPr>
          <w:sz w:val="24"/>
          <w:szCs w:val="24"/>
        </w:rPr>
      </w:pPr>
      <w:r w:rsidDel="00000000" w:rsidR="00000000" w:rsidRPr="00000000">
        <w:rPr>
          <w:sz w:val="24"/>
          <w:szCs w:val="24"/>
          <w:rtl w:val="0"/>
        </w:rPr>
        <w:t xml:space="preserve">A single-layer feed-forward neural network, also known as a perceptron, consists of an input layer and an output layer. It's the simplest form of a neural network and is typically used for binary classification tasks. The output is computed using a weighted sum of inputs and a thresholding function.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Nesterov Gradient Descent (Nestorov GD):</w:t>
      </w:r>
    </w:p>
    <w:p w:rsidR="00000000" w:rsidDel="00000000" w:rsidP="00000000" w:rsidRDefault="00000000" w:rsidRPr="00000000" w14:paraId="0000002A">
      <w:pPr>
        <w:rPr>
          <w:sz w:val="24"/>
          <w:szCs w:val="24"/>
        </w:rPr>
      </w:pPr>
      <w:r w:rsidDel="00000000" w:rsidR="00000000" w:rsidRPr="00000000">
        <w:rPr>
          <w:sz w:val="24"/>
          <w:szCs w:val="24"/>
          <w:rtl w:val="0"/>
        </w:rPr>
        <w:t xml:space="preserve">Nesterov</w:t>
      </w:r>
      <w:r w:rsidDel="00000000" w:rsidR="00000000" w:rsidRPr="00000000">
        <w:rPr>
          <w:sz w:val="24"/>
          <w:szCs w:val="24"/>
          <w:rtl w:val="0"/>
        </w:rPr>
        <w:t xml:space="preserve"> Gradient Descent is an extension of the standard gradient descent algorithm. It calculates the gradient not at the current parameters' location but at an intermediate point. This helps to accelerate convergence, especially in the presence of high curvature in the loss function.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update rule for Nestorov GD is as follows:</w:t>
      </w:r>
    </w:p>
    <w:p w:rsidR="00000000" w:rsidDel="00000000" w:rsidP="00000000" w:rsidRDefault="00000000" w:rsidRPr="00000000" w14:paraId="0000002C">
      <w:pPr>
        <w:rPr>
          <w:sz w:val="24"/>
          <w:szCs w:val="24"/>
        </w:rPr>
      </w:pPr>
      <w:sdt>
        <w:sdtPr>
          <w:tag w:val="goog_rdk_0"/>
        </w:sdtPr>
        <w:sdtContent>
          <w:r w:rsidDel="00000000" w:rsidR="00000000" w:rsidRPr="00000000">
            <w:rPr>
              <w:rFonts w:ascii="Cardo" w:cs="Cardo" w:eastAsia="Cardo" w:hAnsi="Cardo"/>
              <w:sz w:val="24"/>
              <w:szCs w:val="24"/>
              <w:rtl w:val="0"/>
            </w:rPr>
            <w:t xml:space="preserve">v=μv−α∇J(θ+μv)</w:t>
          </w:r>
        </w:sdtContent>
      </w:sdt>
    </w:p>
    <w:p w:rsidR="00000000" w:rsidDel="00000000" w:rsidP="00000000" w:rsidRDefault="00000000" w:rsidRPr="00000000" w14:paraId="0000002D">
      <w:pPr>
        <w:rPr>
          <w:sz w:val="24"/>
          <w:szCs w:val="24"/>
        </w:rPr>
      </w:pPr>
      <w:r w:rsidDel="00000000" w:rsidR="00000000" w:rsidRPr="00000000">
        <w:rPr>
          <w:sz w:val="24"/>
          <w:szCs w:val="24"/>
          <w:rtl w:val="0"/>
        </w:rPr>
        <w:t xml:space="preserve">θ=θ+v</w:t>
      </w:r>
    </w:p>
    <w:p w:rsidR="00000000" w:rsidDel="00000000" w:rsidP="00000000" w:rsidRDefault="00000000" w:rsidRPr="00000000" w14:paraId="0000002E">
      <w:pPr>
        <w:rPr>
          <w:sz w:val="24"/>
          <w:szCs w:val="24"/>
        </w:rPr>
      </w:pPr>
      <w:r w:rsidDel="00000000" w:rsidR="00000000" w:rsidRPr="00000000">
        <w:rPr>
          <w:sz w:val="24"/>
          <w:szCs w:val="24"/>
          <w:rtl w:val="0"/>
        </w:rPr>
        <w:t xml:space="preserve">where:</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α is the learning rate</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μ is the momentum term</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v is the velocity or momentum</w:t>
      </w:r>
    </w:p>
    <w:p w:rsidR="00000000" w:rsidDel="00000000" w:rsidP="00000000" w:rsidRDefault="00000000" w:rsidRPr="00000000" w14:paraId="00000032">
      <w:pPr>
        <w:numPr>
          <w:ilvl w:val="0"/>
          <w:numId w:val="2"/>
        </w:numPr>
        <w:ind w:left="720" w:hanging="360"/>
        <w:rPr>
          <w:sz w:val="24"/>
          <w:szCs w:val="24"/>
        </w:rPr>
      </w:pPr>
      <w:sdt>
        <w:sdtPr>
          <w:tag w:val="goog_rdk_1"/>
        </w:sdtPr>
        <w:sdtContent>
          <w:r w:rsidDel="00000000" w:rsidR="00000000" w:rsidRPr="00000000">
            <w:rPr>
              <w:rFonts w:ascii="Gungsuh" w:cs="Gungsuh" w:eastAsia="Gungsuh" w:hAnsi="Gungsuh"/>
              <w:sz w:val="24"/>
              <w:szCs w:val="24"/>
              <w:rtl w:val="0"/>
            </w:rPr>
            <w:t xml:space="preserve">∇J(θ) is the gradient of the loss function at</w:t>
          </w:r>
        </w:sdtContent>
      </w:sdt>
    </w:p>
    <w:p w:rsidR="00000000" w:rsidDel="00000000" w:rsidP="00000000" w:rsidRDefault="00000000" w:rsidRPr="00000000" w14:paraId="00000033">
      <w:pPr>
        <w:spacing w:line="240" w:lineRule="auto"/>
        <w:ind w:left="0" w:firstLine="0"/>
        <w:rPr>
          <w:b w:val="1"/>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Initialize Parameters: Initialize the weights and biases of the single-layer feed-forward neural network.</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Initialize Velocity: Set the initial velocity to zero.</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Compute Gradient: Compute the gradient of the loss function using the current parameters.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Update Velocity: Update the velocity using the Nestorov GD update rule.</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Update Parameters: Update the parameters using the velocity.</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Check Convergence: Check for convergence based on a stopping criterion (e.g., number of epochs, change in loss).</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Model Evaluation: Evaluate the trained model on a validation set to assess its performance.</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Results and Discussion: Analyze the training process, loss convergence, and model performance.</w:t>
      </w:r>
    </w:p>
    <w:p w:rsidR="00000000" w:rsidDel="00000000" w:rsidP="00000000" w:rsidRDefault="00000000" w:rsidRPr="00000000" w14:paraId="0000003D">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E">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F">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40">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41">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42">
      <w:pPr>
        <w:spacing w:line="240" w:lineRule="auto"/>
        <w:ind w:left="0" w:firstLine="0"/>
        <w:rPr>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44">
            <w:pPr>
              <w:spacing w:line="240" w:lineRule="auto"/>
              <w:ind w:left="0" w:firstLine="0"/>
              <w:jc w:val="center"/>
              <w:rPr>
                <w:b w:val="1"/>
                <w:sz w:val="24"/>
                <w:szCs w:val="24"/>
              </w:rPr>
            </w:pPr>
            <w:r w:rsidDel="00000000" w:rsidR="00000000" w:rsidRPr="00000000">
              <w:rPr>
                <w:b w:val="1"/>
              </w:rPr>
              <w:drawing>
                <wp:inline distB="114300" distT="114300" distL="114300" distR="114300">
                  <wp:extent cx="5342447" cy="4430092"/>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2447" cy="44300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4"/>
          <w:szCs w:val="24"/>
          <w:rtl w:val="0"/>
        </w:rPr>
        <w:t xml:space="preserve">After applying the Nest</w:t>
      </w:r>
      <w:r w:rsidDel="00000000" w:rsidR="00000000" w:rsidRPr="00000000">
        <w:rPr>
          <w:rtl w:val="0"/>
        </w:rPr>
        <w:t xml:space="preserve">e</w:t>
      </w:r>
      <w:r w:rsidDel="00000000" w:rsidR="00000000" w:rsidRPr="00000000">
        <w:rPr>
          <w:sz w:val="24"/>
          <w:szCs w:val="24"/>
          <w:rtl w:val="0"/>
        </w:rPr>
        <w:t xml:space="preserve">rov GD algorithm to train the single-layer feed-forward neural network, we observed accelerated convergence compared to standard gradient descent. The loss function decreased rapidly, indicating effective parameter updates. The model achieved competitive performance on the validation set, demonstrating the efficiency of Nestorov GD in optimizing the neural network parameters.</w:t>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application of </w:t>
      </w:r>
      <w:r w:rsidDel="00000000" w:rsidR="00000000" w:rsidRPr="00000000">
        <w:rPr>
          <w:rtl w:val="0"/>
        </w:rPr>
        <w:t xml:space="preserve">Nesterov</w:t>
      </w:r>
      <w:r w:rsidDel="00000000" w:rsidR="00000000" w:rsidRPr="00000000">
        <w:rPr>
          <w:sz w:val="24"/>
          <w:szCs w:val="24"/>
          <w:rtl w:val="0"/>
        </w:rPr>
        <w:t xml:space="preserve"> Gradient Descent to train a single-layer feed-forward neural network proved to be successful in optimizing the parameters efficiently. The algorithm's ability to accelerate convergence is crucial, especially for complex models or high-dimensional data. Nestorov GD showcases the importance of momentum in improving convergence speed and, consequently, the overall performance of the neural network. Further experiments and comparisons with other optimization algorithms could provide deeper insights and potential enhancements.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jc w:val="center"/>
        <w:rPr>
          <w:b w:val="1"/>
          <w:sz w:val="44"/>
          <w:szCs w:val="44"/>
        </w:rPr>
      </w:pPr>
      <w:r w:rsidDel="00000000" w:rsidR="00000000" w:rsidRPr="00000000">
        <w:rPr>
          <w:b w:val="1"/>
          <w:sz w:val="44"/>
          <w:szCs w:val="44"/>
          <w:rtl w:val="0"/>
        </w:rPr>
        <w:t xml:space="preserve">*****</w:t>
      </w:r>
    </w:p>
    <w:sectPr>
      <w:headerReference r:id="rId8" w:type="default"/>
      <w:footerReference r:id="rId9"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E">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F">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51">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52">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Deep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2A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fQlhrauy+u1qjGV6xTuENZtRqg==">CgMxLjAaEgoBMBINCgsIB0IHEgVDYXJkbxoUCgExEg8KDQgHQgkSB0d1bmdzdWg4AHIhMWpWbkJXTDdTSWhpSl80Ukh6Q2tPQ3MweXBNRVVSdTFM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