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rFonts w:ascii="Old Standard TT" w:cs="Old Standard TT" w:eastAsia="Old Standard TT" w:hAnsi="Old Standard TT"/>
          <w:sz w:val="40"/>
          <w:szCs w:val="40"/>
        </w:rPr>
      </w:pPr>
      <w:r w:rsidDel="00000000" w:rsidR="00000000" w:rsidRPr="00000000">
        <w:rPr>
          <w:rFonts w:ascii="Old Standard TT" w:cs="Old Standard TT" w:eastAsia="Old Standard TT" w:hAnsi="Old Standard TT"/>
          <w:sz w:val="40"/>
          <w:szCs w:val="40"/>
          <w:rtl w:val="0"/>
        </w:rPr>
        <w:t xml:space="preserve">DWM Experiment - 4</w:t>
      </w:r>
    </w:p>
    <w:p w:rsidR="00000000" w:rsidDel="00000000" w:rsidP="00000000" w:rsidRDefault="00000000" w:rsidRPr="00000000" w14:paraId="00000002">
      <w:pPr>
        <w:pStyle w:val="Heading1"/>
        <w:spacing w:after="0" w:before="64" w:lineRule="auto"/>
        <w:ind w:left="0" w:right="718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rtl w:val="0"/>
        </w:rPr>
        <w:t xml:space="preserve">Name:- Yash Sarang</w:t>
        <w:br w:type="textWrapping"/>
        <w:t xml:space="preserve">Roll No:- 47</w:t>
        <w:br w:type="textWrapping"/>
      </w:r>
      <w:r w:rsidDel="00000000" w:rsidR="00000000" w:rsidRPr="00000000">
        <w:rPr>
          <w:rFonts w:ascii="Old Standard TT" w:cs="Old Standard TT" w:eastAsia="Old Standard TT" w:hAnsi="Old Standard TT"/>
          <w:sz w:val="28"/>
          <w:szCs w:val="28"/>
          <w:rtl w:val="0"/>
        </w:rPr>
        <w:t xml:space="preserve">Class:- D11AD</w:t>
      </w:r>
    </w:p>
    <w:p w:rsidR="00000000" w:rsidDel="00000000" w:rsidP="00000000" w:rsidRDefault="00000000" w:rsidRPr="00000000" w14:paraId="00000003">
      <w:pPr>
        <w:ind w:firstLine="0"/>
        <w:rPr/>
      </w:pPr>
      <w:r w:rsidDel="00000000" w:rsidR="00000000" w:rsidRPr="00000000">
        <w:rPr>
          <w:rtl w:val="0"/>
        </w:rPr>
      </w:r>
    </w:p>
    <w:p w:rsidR="00000000" w:rsidDel="00000000" w:rsidP="00000000" w:rsidRDefault="00000000" w:rsidRPr="00000000" w14:paraId="00000004">
      <w:pPr>
        <w:ind w:firstLine="0"/>
        <w:rPr>
          <w:rFonts w:ascii="Old Standard TT" w:cs="Old Standard TT" w:eastAsia="Old Standard TT" w:hAnsi="Old Standard TT"/>
          <w:sz w:val="40"/>
          <w:szCs w:val="40"/>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ind w:firstLine="0"/>
        <w:rPr>
          <w:rFonts w:ascii="Old Standard TT" w:cs="Old Standard TT" w:eastAsia="Old Standard TT" w:hAnsi="Old Standard TT"/>
          <w:b w:val="1"/>
          <w:sz w:val="40"/>
          <w:szCs w:val="40"/>
          <w:u w:val="single"/>
        </w:rPr>
      </w:pPr>
      <w:r w:rsidDel="00000000" w:rsidR="00000000" w:rsidRPr="00000000">
        <w:rPr>
          <w:rtl w:val="0"/>
        </w:rPr>
      </w:r>
    </w:p>
    <w:p w:rsidR="00000000" w:rsidDel="00000000" w:rsidP="00000000" w:rsidRDefault="00000000" w:rsidRPr="00000000" w14:paraId="00000006">
      <w:pPr>
        <w:ind w:firstLine="0"/>
        <w:rPr>
          <w:rFonts w:ascii="Old Standard TT" w:cs="Old Standard TT" w:eastAsia="Old Standard TT" w:hAnsi="Old Standard TT"/>
          <w:b w:val="1"/>
          <w:sz w:val="40"/>
          <w:szCs w:val="40"/>
        </w:rPr>
      </w:pPr>
      <w:r w:rsidDel="00000000" w:rsidR="00000000" w:rsidRPr="00000000">
        <w:rPr>
          <w:rFonts w:ascii="Old Standard TT" w:cs="Old Standard TT" w:eastAsia="Old Standard TT" w:hAnsi="Old Standard TT"/>
          <w:b w:val="1"/>
          <w:sz w:val="40"/>
          <w:szCs w:val="40"/>
          <w:u w:val="single"/>
          <w:rtl w:val="0"/>
        </w:rPr>
        <w:t xml:space="preserve">Aim:</w:t>
      </w:r>
      <w:r w:rsidDel="00000000" w:rsidR="00000000" w:rsidRPr="00000000">
        <w:rPr>
          <w:rFonts w:ascii="Old Standard TT" w:cs="Old Standard TT" w:eastAsia="Old Standard TT" w:hAnsi="Old Standard TT"/>
          <w:b w:val="1"/>
          <w:sz w:val="40"/>
          <w:szCs w:val="40"/>
          <w:rtl w:val="0"/>
        </w:rPr>
        <w:t xml:space="preserve"> </w:t>
      </w:r>
    </w:p>
    <w:p w:rsidR="00000000" w:rsidDel="00000000" w:rsidP="00000000" w:rsidRDefault="00000000" w:rsidRPr="00000000" w14:paraId="00000007">
      <w:pPr>
        <w:rPr>
          <w:rFonts w:ascii="Old Standard TT" w:cs="Old Standard TT" w:eastAsia="Old Standard TT" w:hAnsi="Old Standard TT"/>
          <w:sz w:val="40"/>
          <w:szCs w:val="40"/>
        </w:rPr>
      </w:pPr>
      <w:r w:rsidDel="00000000" w:rsidR="00000000" w:rsidRPr="00000000">
        <w:rPr>
          <w:rFonts w:ascii="Old Standard TT" w:cs="Old Standard TT" w:eastAsia="Old Standard TT" w:hAnsi="Old Standard TT"/>
          <w:sz w:val="40"/>
          <w:szCs w:val="40"/>
          <w:rtl w:val="0"/>
        </w:rPr>
        <w:t xml:space="preserve">Introduction TO WEKA – A DataMining Tool.</w:t>
      </w:r>
    </w:p>
    <w:p w:rsidR="00000000" w:rsidDel="00000000" w:rsidP="00000000" w:rsidRDefault="00000000" w:rsidRPr="00000000" w14:paraId="00000008">
      <w:pPr>
        <w:rPr>
          <w:rFonts w:ascii="Old Standard TT" w:cs="Old Standard TT" w:eastAsia="Old Standard TT" w:hAnsi="Old Standard TT"/>
          <w:sz w:val="40"/>
          <w:szCs w:val="40"/>
        </w:rPr>
      </w:pPr>
      <w:r w:rsidDel="00000000" w:rsidR="00000000" w:rsidRPr="00000000">
        <w:rPr>
          <w:rtl w:val="0"/>
        </w:rPr>
      </w:r>
    </w:p>
    <w:p w:rsidR="00000000" w:rsidDel="00000000" w:rsidP="00000000" w:rsidRDefault="00000000" w:rsidRPr="00000000" w14:paraId="00000009">
      <w:pPr>
        <w:rPr>
          <w:rFonts w:ascii="Old Standard TT" w:cs="Old Standard TT" w:eastAsia="Old Standard TT" w:hAnsi="Old Standard TT"/>
          <w:sz w:val="40"/>
          <w:szCs w:val="4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ind w:left="0" w:firstLine="0"/>
        <w:rPr>
          <w:b w:val="1"/>
          <w:sz w:val="40"/>
          <w:szCs w:val="40"/>
          <w:u w:val="single"/>
        </w:rPr>
      </w:pPr>
      <w:r w:rsidDel="00000000" w:rsidR="00000000" w:rsidRPr="00000000">
        <w:rPr>
          <w:rtl w:val="0"/>
        </w:rPr>
      </w:r>
    </w:p>
    <w:p w:rsidR="00000000" w:rsidDel="00000000" w:rsidP="00000000" w:rsidRDefault="00000000" w:rsidRPr="00000000" w14:paraId="0000000B">
      <w:pPr>
        <w:ind w:left="0" w:firstLine="0"/>
        <w:rPr>
          <w:b w:val="1"/>
          <w:sz w:val="40"/>
          <w:szCs w:val="40"/>
          <w:u w:val="single"/>
        </w:rPr>
      </w:pPr>
      <w:r w:rsidDel="00000000" w:rsidR="00000000" w:rsidRPr="00000000">
        <w:rPr>
          <w:b w:val="1"/>
          <w:sz w:val="40"/>
          <w:szCs w:val="40"/>
          <w:u w:val="single"/>
          <w:rtl w:val="0"/>
        </w:rPr>
        <w:t xml:space="preserve">THEORY: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Old Standard TT" w:cs="Old Standard TT" w:eastAsia="Old Standard TT" w:hAnsi="Old Standard TT"/>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sz w:val="24"/>
          <w:szCs w:val="24"/>
          <w:rtl w:val="0"/>
        </w:rPr>
        <w:t xml:space="preserve"> </w:t>
        <w:tab/>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Weka is a collection of </w:t>
      </w:r>
      <w:r w:rsidDel="00000000" w:rsidR="00000000" w:rsidRPr="00000000">
        <w:rPr>
          <w:rFonts w:ascii="Old Standard TT" w:cs="Old Standard TT" w:eastAsia="Old Standard TT" w:hAnsi="Old Standard TT"/>
          <w:sz w:val="24"/>
          <w:szCs w:val="24"/>
          <w:rtl w:val="0"/>
        </w:rPr>
        <w:t xml:space="preserve">machine-learning</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algorithms for data mining tasks. The algorithms can either be applied directly to a dataset or called from your own Java code. Weka contains tools for data pre-processing, classification, regression, clustering, association rules, and </w:t>
      </w:r>
      <w:r w:rsidDel="00000000" w:rsidR="00000000" w:rsidRPr="00000000">
        <w:rPr>
          <w:rFonts w:ascii="Old Standard TT" w:cs="Old Standard TT" w:eastAsia="Old Standard TT" w:hAnsi="Old Standard TT"/>
          <w:sz w:val="24"/>
          <w:szCs w:val="24"/>
          <w:rtl w:val="0"/>
        </w:rPr>
        <w:t xml:space="preserve">visualization</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It is also well-suited for developing new </w:t>
      </w:r>
      <w:r w:rsidDel="00000000" w:rsidR="00000000" w:rsidRPr="00000000">
        <w:rPr>
          <w:rFonts w:ascii="Old Standard TT" w:cs="Old Standard TT" w:eastAsia="Old Standard TT" w:hAnsi="Old Standard TT"/>
          <w:sz w:val="24"/>
          <w:szCs w:val="24"/>
          <w:rtl w:val="0"/>
        </w:rPr>
        <w:t xml:space="preserve">machine-learning</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schemes.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sz w:val="24"/>
          <w:szCs w:val="24"/>
          <w:rtl w:val="0"/>
        </w:rPr>
        <w:t xml:space="preserve"> </w:t>
        <w:tab/>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The GUI Chooser consists of four buttons—one for each of the four major Weka applications—and four menus.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Old Standard TT" w:cs="Old Standard TT" w:eastAsia="Old Standard TT" w:hAnsi="Old Standard TT"/>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542290</wp:posOffset>
            </wp:positionH>
            <wp:positionV relativeFrom="paragraph">
              <wp:posOffset>106679</wp:posOffset>
            </wp:positionV>
            <wp:extent cx="5781675" cy="4057650"/>
            <wp:effectExtent b="0" l="0" r="0" t="0"/>
            <wp:wrapTopAndBottom distB="0" dist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81675" cy="405765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The buttons can be used to start the following applications</w:t>
      </w:r>
      <w:r w:rsidDel="00000000" w:rsidR="00000000" w:rsidRPr="00000000">
        <w:rPr>
          <w:rFonts w:ascii="Old Standard TT" w:cs="Old Standard TT" w:eastAsia="Old Standard TT" w:hAnsi="Old Standard TT"/>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Explorer: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An environment for exploring data with WEKA</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Experimenter: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An environment for performing experiments and </w:t>
      </w:r>
      <w:r w:rsidDel="00000000" w:rsidR="00000000" w:rsidRPr="00000000">
        <w:rPr>
          <w:rFonts w:ascii="Old Standard TT" w:cs="Old Standard TT" w:eastAsia="Old Standard TT" w:hAnsi="Old Standard TT"/>
          <w:sz w:val="24"/>
          <w:szCs w:val="24"/>
          <w:rtl w:val="0"/>
        </w:rPr>
        <w:t xml:space="preserve">conducting</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statistical tests between learning schemes.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KnowledgeFlow: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This environment supports essentially the same functions as Explorer but with a drag-and-drop interface. One advantage is that it supports incremental learning.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SimpleCLI: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Provides a simple command-line interface that allows direct execution of WEKA commands for operating systems that do not provide their own </w:t>
      </w:r>
      <w:r w:rsidDel="00000000" w:rsidR="00000000" w:rsidRPr="00000000">
        <w:rPr>
          <w:rFonts w:ascii="Old Standard TT" w:cs="Old Standard TT" w:eastAsia="Old Standard TT" w:hAnsi="Old Standard TT"/>
          <w:sz w:val="24"/>
          <w:szCs w:val="24"/>
          <w:rtl w:val="0"/>
        </w:rPr>
        <w:t xml:space="preserve">command-line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interface.</w:t>
      </w:r>
      <w:r w:rsidDel="00000000" w:rsidR="00000000" w:rsidRPr="00000000">
        <w:rPr>
          <w:rtl w:val="0"/>
        </w:rPr>
      </w:r>
    </w:p>
    <w:p w:rsidR="00000000" w:rsidDel="00000000" w:rsidP="00000000" w:rsidRDefault="00000000" w:rsidRPr="00000000" w14:paraId="00000016">
      <w:pPr>
        <w:pStyle w:val="Heading1"/>
        <w:ind w:left="0" w:firstLine="0"/>
        <w:rPr>
          <w:rFonts w:ascii="Old Standard TT" w:cs="Old Standard TT" w:eastAsia="Old Standard TT" w:hAnsi="Old Standard TT"/>
          <w:sz w:val="36"/>
          <w:szCs w:val="36"/>
          <w:u w:val="single"/>
        </w:rPr>
      </w:pPr>
      <w:r w:rsidDel="00000000" w:rsidR="00000000" w:rsidRPr="00000000">
        <w:rPr>
          <w:rtl w:val="0"/>
        </w:rPr>
      </w:r>
    </w:p>
    <w:p w:rsidR="00000000" w:rsidDel="00000000" w:rsidP="00000000" w:rsidRDefault="00000000" w:rsidRPr="00000000" w14:paraId="00000017">
      <w:pPr>
        <w:pStyle w:val="Heading1"/>
        <w:ind w:left="0" w:firstLine="0"/>
        <w:rPr>
          <w:rFonts w:ascii="Old Standard TT" w:cs="Old Standard TT" w:eastAsia="Old Standard TT" w:hAnsi="Old Standard TT"/>
          <w:b w:val="1"/>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sz w:val="36"/>
          <w:szCs w:val="36"/>
          <w:u w:val="single"/>
          <w:rtl w:val="0"/>
        </w:rPr>
        <w:t xml:space="preserve">Explorer: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At the very top of the window, just below the title bar, is a row of tabs. The tabs are as follows: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Preprocess</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Choose and modify the data being acted 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Classif</w:t>
      </w:r>
      <w:r w:rsidDel="00000000" w:rsidR="00000000" w:rsidRPr="00000000">
        <w:rPr>
          <w:rFonts w:ascii="Old Standard TT" w:cs="Old Standard TT" w:eastAsia="Old Standard TT" w:hAnsi="Old Standard TT"/>
          <w:b w:val="1"/>
          <w:sz w:val="24"/>
          <w:szCs w:val="24"/>
          <w:rtl w:val="0"/>
        </w:rPr>
        <w:t xml:space="preserve">y</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Train and test learning schemes that classify or perform regression.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Cluster</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Learn clusters for the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Associate</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Learn association rules for the data.</w:t>
      </w:r>
    </w:p>
    <w:p w:rsidR="00000000" w:rsidDel="00000000" w:rsidP="00000000" w:rsidRDefault="00000000" w:rsidRPr="00000000" w14:paraId="0000001E">
      <w:pPr>
        <w:spacing w:after="0" w:before="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sz w:val="24"/>
          <w:szCs w:val="24"/>
          <w:rtl w:val="0"/>
        </w:rPr>
        <w:t xml:space="preserve">Select attributes</w:t>
      </w:r>
      <w:r w:rsidDel="00000000" w:rsidR="00000000" w:rsidRPr="00000000">
        <w:rPr>
          <w:rFonts w:ascii="Old Standard TT" w:cs="Old Standard TT" w:eastAsia="Old Standard TT" w:hAnsi="Old Standard TT"/>
          <w:sz w:val="24"/>
          <w:szCs w:val="24"/>
          <w:rtl w:val="0"/>
        </w:rPr>
        <w:t xml:space="preserve">: Select the most relevant attributes in the data.</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Visuali</w:t>
      </w:r>
      <w:r w:rsidDel="00000000" w:rsidR="00000000" w:rsidRPr="00000000">
        <w:rPr>
          <w:rFonts w:ascii="Old Standard TT" w:cs="Old Standard TT" w:eastAsia="Old Standard TT" w:hAnsi="Old Standard TT"/>
          <w:b w:val="1"/>
          <w:sz w:val="24"/>
          <w:szCs w:val="24"/>
          <w:rtl w:val="0"/>
        </w:rPr>
        <w:t xml:space="preserve">z</w:t>
      </w: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e</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View an interactive 2D plot of the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left="0" w:firstLine="0"/>
        <w:rPr>
          <w:rFonts w:ascii="Old Standard TT" w:cs="Old Standard TT" w:eastAsia="Old Standard TT" w:hAnsi="Old Standard TT"/>
          <w:sz w:val="36"/>
          <w:szCs w:val="36"/>
          <w:u w:val="single"/>
        </w:rPr>
      </w:pPr>
      <w:r w:rsidDel="00000000" w:rsidR="00000000" w:rsidRPr="00000000">
        <w:rPr>
          <w:rtl w:val="0"/>
        </w:rPr>
      </w:r>
    </w:p>
    <w:p w:rsidR="00000000" w:rsidDel="00000000" w:rsidP="00000000" w:rsidRDefault="00000000" w:rsidRPr="00000000" w14:paraId="00000022">
      <w:pPr>
        <w:pStyle w:val="Heading1"/>
        <w:ind w:left="0" w:firstLine="0"/>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u w:val="single"/>
          <w:rtl w:val="0"/>
        </w:rPr>
        <w:t xml:space="preserve">Loading Data</w:t>
      </w:r>
      <w:r w:rsidDel="00000000" w:rsidR="00000000" w:rsidRPr="00000000">
        <w:rPr>
          <w:rFonts w:ascii="Old Standard TT" w:cs="Old Standard TT" w:eastAsia="Old Standard TT" w:hAnsi="Old Standard TT"/>
          <w:sz w:val="32"/>
          <w:szCs w:val="32"/>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The first four buttons at the top of the preprocess section enable you to load data into WEKA: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3"/>
        </w:tabs>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Open file</w:t>
      </w:r>
      <w:r w:rsidDel="00000000" w:rsidR="00000000" w:rsidRPr="00000000">
        <w:rPr>
          <w:rFonts w:ascii="Old Standard TT" w:cs="Old Standard TT" w:eastAsia="Old Standard TT" w:hAnsi="Old Standard TT"/>
          <w:b w:val="1"/>
          <w:sz w:val="24"/>
          <w:szCs w:val="24"/>
          <w:rtl w:val="0"/>
        </w:rPr>
        <w:t xml:space="preserve">: </w:t>
      </w:r>
      <w:r w:rsidDel="00000000" w:rsidR="00000000" w:rsidRPr="00000000">
        <w:rPr>
          <w:rFonts w:ascii="Old Standard TT" w:cs="Old Standard TT" w:eastAsia="Old Standard TT" w:hAnsi="Old Standard TT"/>
          <w:sz w:val="24"/>
          <w:szCs w:val="24"/>
          <w:rtl w:val="0"/>
        </w:rPr>
        <w:t xml:space="preserve">This brings</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up a dialog box allowing you to browse for the data file on the local file system.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Open URL</w:t>
      </w:r>
      <w:r w:rsidDel="00000000" w:rsidR="00000000" w:rsidRPr="00000000">
        <w:rPr>
          <w:rFonts w:ascii="Old Standard TT" w:cs="Old Standard TT" w:eastAsia="Old Standard TT" w:hAnsi="Old Standard TT"/>
          <w:b w:val="1"/>
          <w:sz w:val="24"/>
          <w:szCs w:val="24"/>
          <w:rtl w:val="0"/>
        </w:rPr>
        <w:t xml:space="preserve">: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Asks for a Uniform Resource Locator address for where the data is stored.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87"/>
        </w:tabs>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Open DB</w:t>
      </w:r>
      <w:r w:rsidDel="00000000" w:rsidR="00000000" w:rsidRPr="00000000">
        <w:rPr>
          <w:rFonts w:ascii="Old Standard TT" w:cs="Old Standard TT" w:eastAsia="Old Standard TT" w:hAnsi="Old Standard TT"/>
          <w:b w:val="1"/>
          <w:sz w:val="24"/>
          <w:szCs w:val="24"/>
          <w:rtl w:val="0"/>
        </w:rPr>
        <w:t xml:space="preserve">: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Reads data from a database. (Note that to make this work you might have to edit the file in</w:t>
      </w:r>
      <w:r w:rsidDel="00000000" w:rsidR="00000000" w:rsidRPr="00000000">
        <w:rPr>
          <w:rFonts w:ascii="Old Standard TT" w:cs="Old Standard TT" w:eastAsia="Old Standard TT" w:hAnsi="Old Standard TT"/>
          <w:sz w:val="24"/>
          <w:szCs w:val="24"/>
          <w:rtl w:val="0"/>
        </w:rPr>
        <w:t xml:space="preserve">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weka/experiment/DatabaseUtils.props.)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87"/>
        </w:tabs>
        <w:spacing w:after="0" w:before="0" w:line="240" w:lineRule="auto"/>
        <w:ind w:left="0" w:right="0"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87"/>
        </w:tabs>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Pr>
        <w:drawing>
          <wp:inline distB="0" distT="0" distL="0" distR="0">
            <wp:extent cx="5638165" cy="423926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8165" cy="42392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ld Standard TT" w:cs="Old Standard TT" w:eastAsia="Old Standard TT" w:hAnsi="Old Standard TT"/>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before="89"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6"/>
          <w:szCs w:val="26"/>
          <w:u w:val="single"/>
          <w:rtl w:val="0"/>
        </w:rPr>
        <w:t xml:space="preserve">The Current Relation: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Once some data has been loaded, the Preprocess panel shows a variety of information. The Current relation box (the “current relation” is the currently loaded data, which can be interpreted as a single relational table in database terminology) has three entries: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Relation</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name of the relation, as given in the file it was loaded from. Filters (described below) modify the name of a relation.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Instances</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number of instances (data points/records) in the data.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Attributes</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number of attributes (features) in the data.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When you click on different rows in the list of attributes, the fields change in the box to the right titled Selected attribute. This box displays the characteristics of the currently highlighted attribute in the list: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Name: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name of the attribute, </w:t>
      </w:r>
      <w:r w:rsidDel="00000000" w:rsidR="00000000" w:rsidRPr="00000000">
        <w:rPr>
          <w:rFonts w:ascii="Old Standard TT" w:cs="Old Standard TT" w:eastAsia="Old Standard TT" w:hAnsi="Old Standard TT"/>
          <w:sz w:val="24"/>
          <w:szCs w:val="24"/>
          <w:rtl w:val="0"/>
        </w:rPr>
        <w:t xml:space="preserve">is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the same as that given in the attribute list.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Type</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type of attribute, most commonly Nominal or Numeric.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6"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Missing</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number (and percentage) of instances in the data for which this attribute is missing (unspecified).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Distinct</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number of different values that the data contains for this attribute.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Unique</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 number (and percentage) of instances in the data having a value for this attribute that no other instances have.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Pr>
        <w:drawing>
          <wp:inline distB="0" distT="0" distL="0" distR="0">
            <wp:extent cx="6477635" cy="487108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7635" cy="48710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Old Standard TT" w:cs="Old Standard TT" w:eastAsia="Old Standard TT" w:hAnsi="Old Standard TT"/>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385"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sz w:val="24"/>
          <w:szCs w:val="24"/>
          <w:rtl w:val="0"/>
        </w:rPr>
        <w:t xml:space="preserve"> </w:t>
        <w:tab/>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Below these statistics is a list showing more information about the values stored in this attribute, which differ depending on its type. If the attribute is nominal, the list consists of each possible value for the</w:t>
      </w:r>
      <w:r w:rsidDel="00000000" w:rsidR="00000000" w:rsidRPr="00000000">
        <w:rPr>
          <w:rFonts w:ascii="Old Standard TT" w:cs="Old Standard TT" w:eastAsia="Old Standard TT" w:hAnsi="Old Standard TT"/>
          <w:sz w:val="24"/>
          <w:szCs w:val="24"/>
          <w:rtl w:val="0"/>
        </w:rPr>
        <w:t xml:space="preserve">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attribute along with the number of instances that have that value. If the attribute is numeric, the list gives four statistics describing the distribution of values in the data—the minimum, maximum, mean</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and standard deviation. And below these statistics</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there is a </w:t>
      </w:r>
      <w:r w:rsidDel="00000000" w:rsidR="00000000" w:rsidRPr="00000000">
        <w:rPr>
          <w:rFonts w:ascii="Old Standard TT" w:cs="Old Standard TT" w:eastAsia="Old Standard TT" w:hAnsi="Old Standard TT"/>
          <w:sz w:val="24"/>
          <w:szCs w:val="24"/>
          <w:rtl w:val="0"/>
        </w:rPr>
        <w:t xml:space="preserve">colored</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histogram, </w:t>
      </w:r>
      <w:r w:rsidDel="00000000" w:rsidR="00000000" w:rsidRPr="00000000">
        <w:rPr>
          <w:rFonts w:ascii="Old Standard TT" w:cs="Old Standard TT" w:eastAsia="Old Standard TT" w:hAnsi="Old Standard TT"/>
          <w:sz w:val="24"/>
          <w:szCs w:val="24"/>
          <w:rtl w:val="0"/>
        </w:rPr>
        <w:t xml:space="preserve">color-coded</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according to the attribute chosen as the Class using the box above the histogram. (This box will bring up a drop-down list of available selections when clicked.) Note that only nominal Class attributes will result in a</w:t>
      </w:r>
      <w:r w:rsidDel="00000000" w:rsidR="00000000" w:rsidRPr="00000000">
        <w:rPr>
          <w:rFonts w:ascii="Old Standard TT" w:cs="Old Standard TT" w:eastAsia="Old Standard TT" w:hAnsi="Old Standard TT"/>
          <w:sz w:val="24"/>
          <w:szCs w:val="24"/>
          <w:rtl w:val="0"/>
        </w:rPr>
        <w:t xml:space="preserve"> color-coding</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Finally, after pressing the Visualize All button, histograms for all the attributes in the data are shown in a separate window. Returning to the attribute list, to begin with</w:t>
      </w: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 all the tick boxes are unticked. They can be toggled on/off by clicking on them individually. The four buttons above can also be used to change the selection: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All boxes are ticked.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None. All boxes are cleared (unticked).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Invert. Boxes that are ticked become unticked and vice versa.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Pattern. Enables the user to select attributes based on a Perl 5 Regular Expression. E.g., .* id selects all attributes whose name ends with id.\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6"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sz w:val="24"/>
          <w:szCs w:val="24"/>
          <w:rtl w:val="0"/>
        </w:rPr>
        <w:t xml:space="preserve">Classification :- @relation weather.symbolic @attribute outlook {sunny, overcast, rainy} @attribute temperature {hot, mild, cool} @attribute humidity {high, normal} @attribute windy {TRUE, FALSE} @attribute play {yes, no} @data sunny,hot,high,FALSE,no sunny,hot,high,TRUE,no overcast,hot,high,FALSE,yes rainy,mild,high,FALSE,yes rainy,cool,normal,FALSE,yes rainy,cool,normal,TRUE,no overcast,cool,normal,TRUE,yes sunny,mild,high,FALSE,no sunny,cool,normal,FALSE,yes rainy,mild,normal,FALSE,yes sunny,mild,normal,TRUE,yes overcast,mild,high,TRUE,yes overcast,hot,normal,FALSE,yes rainy,mild,high,TRUE,no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u w:val="single"/>
          <w:rtl w:val="0"/>
        </w:rPr>
        <w:t xml:space="preserve">Mean absolute error:</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2"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In statistics, the mean absolute error is a quantity used to measure how close forecasts or predictions are to the eventual outcomes.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u w:val="single"/>
          <w:rtl w:val="0"/>
        </w:rPr>
        <w:t xml:space="preserve">Mean squared error:</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In statistics, the mean squared error or MSE of an estimator is one of many ways to quantify the amount by which an estimator differs from the true value of the quantity being estimated.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u w:val="single"/>
          <w:rtl w:val="0"/>
        </w:rPr>
        <w:t xml:space="preserve">Root relative squared error:</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The root relative squared error is relative to what it would have been if a simple predictor had been used.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left="0" w:firstLine="0"/>
        <w:rPr>
          <w:rFonts w:ascii="Old Standard TT" w:cs="Old Standard TT" w:eastAsia="Old Standard TT" w:hAnsi="Old Standard TT"/>
          <w:u w:val="single"/>
        </w:rPr>
      </w:pPr>
      <w:r w:rsidDel="00000000" w:rsidR="00000000" w:rsidRPr="00000000">
        <w:rPr>
          <w:rFonts w:ascii="Old Standard TT" w:cs="Old Standard TT" w:eastAsia="Old Standard TT" w:hAnsi="Old Standard TT"/>
          <w:u w:val="single"/>
          <w:rtl w:val="0"/>
        </w:rPr>
        <w:t xml:space="preserve">Confusion Matrix: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In Predictive Analytics, a Table of Confusion, also known as a confusion matrix, is a table with two rows and two columns that reports the number of True Negatives, False Positives,</w:t>
      </w:r>
      <w:r w:rsidDel="00000000" w:rsidR="00000000" w:rsidRPr="00000000">
        <w:rPr>
          <w:rFonts w:ascii="Old Standard TT" w:cs="Old Standard TT" w:eastAsia="Old Standard TT" w:hAnsi="Old Standard TT"/>
          <w:sz w:val="24"/>
          <w:szCs w:val="24"/>
          <w:rtl w:val="0"/>
        </w:rPr>
        <w:t xml:space="preserve"> </w:t>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False Negatives, and True Positives. The values along the diagonal path are correctly classified instances while those along the non-diagonal path are incorrectly classified instances.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4">
      <w:pPr>
        <w:pStyle w:val="Heading2"/>
        <w:ind w:left="0" w:firstLine="0"/>
        <w:rPr>
          <w:rFonts w:ascii="Old Standard TT" w:cs="Old Standard TT" w:eastAsia="Old Standard TT" w:hAnsi="Old Standard TT"/>
          <w:sz w:val="24"/>
          <w:szCs w:val="24"/>
        </w:rPr>
      </w:pPr>
      <w:bookmarkStart w:colFirst="0" w:colLast="0" w:name="_7me8lijo3z9i" w:id="0"/>
      <w:bookmarkEnd w:id="0"/>
      <w:r w:rsidDel="00000000" w:rsidR="00000000" w:rsidRPr="00000000">
        <w:rPr>
          <w:rFonts w:ascii="Old Standard TT" w:cs="Old Standard TT" w:eastAsia="Old Standard TT" w:hAnsi="Old Standard TT"/>
          <w:sz w:val="36"/>
          <w:szCs w:val="36"/>
          <w:rtl w:val="0"/>
        </w:rPr>
        <w:t xml:space="preserve">Weka Screens: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6"/>
          <w:szCs w:val="26"/>
          <w:u w:val="none"/>
          <w:shd w:fill="auto" w:val="clear"/>
          <w:vertAlign w:val="baseline"/>
        </w:rPr>
        <w:sectPr>
          <w:pgSz w:h="16838" w:w="11920" w:orient="portrait"/>
          <w:pgMar w:bottom="280" w:top="270" w:left="720" w:right="750" w:header="0" w:footer="0"/>
          <w:pgNumType w:start="1"/>
        </w:sectPr>
      </w:pPr>
      <w:r w:rsidDel="00000000" w:rsidR="00000000" w:rsidRPr="00000000">
        <w:rPr>
          <w:rFonts w:ascii="Old Standard TT" w:cs="Old Standard TT" w:eastAsia="Old Standard TT" w:hAnsi="Old Standard TT"/>
          <w:sz w:val="24"/>
          <w:szCs w:val="24"/>
        </w:rPr>
        <w:drawing>
          <wp:inline distB="0" distT="0" distL="0" distR="0">
            <wp:extent cx="6596063" cy="442024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96063" cy="4420244"/>
                    </a:xfrm>
                    <a:prstGeom prst="rect"/>
                    <a:ln/>
                  </pic:spPr>
                </pic:pic>
              </a:graphicData>
            </a:graphic>
          </wp:inline>
        </w:drawing>
      </w: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Pr>
        <w:drawing>
          <wp:inline distB="0" distT="0" distL="0" distR="0">
            <wp:extent cx="6595460" cy="5239017"/>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95460" cy="52390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24"/>
          <w:szCs w:val="24"/>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Pr>
        <w:drawing>
          <wp:inline distB="0" distT="0" distL="0" distR="0">
            <wp:extent cx="6599238" cy="494453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99238" cy="494453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A">
      <w:pPr>
        <w:rPr>
          <w:rFonts w:ascii="Old Standard TT" w:cs="Old Standard TT" w:eastAsia="Old Standard TT" w:hAnsi="Old Standard TT"/>
          <w:sz w:val="40"/>
          <w:szCs w:val="40"/>
          <w:u w:val="single"/>
        </w:rPr>
      </w:pPr>
      <w:r w:rsidDel="00000000" w:rsidR="00000000" w:rsidRPr="00000000">
        <w:rPr>
          <w:rFonts w:ascii="Old Standard TT" w:cs="Old Standard TT" w:eastAsia="Old Standard TT" w:hAnsi="Old Standard TT"/>
          <w:sz w:val="40"/>
          <w:szCs w:val="40"/>
          <w:u w:val="single"/>
          <w:rtl w:val="0"/>
        </w:rPr>
        <w:t xml:space="preserve">Conclusion:</w:t>
      </w:r>
    </w:p>
    <w:p w:rsidR="00000000" w:rsidDel="00000000" w:rsidP="00000000" w:rsidRDefault="00000000" w:rsidRPr="00000000" w14:paraId="0000005B">
      <w:pP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tab/>
      </w:r>
    </w:p>
    <w:p w:rsidR="00000000" w:rsidDel="00000000" w:rsidP="00000000" w:rsidRDefault="00000000" w:rsidRPr="00000000" w14:paraId="0000005C">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32"/>
          <w:szCs w:val="32"/>
          <w:rtl w:val="0"/>
        </w:rPr>
        <w:t xml:space="preserve"> </w:t>
        <w:tab/>
      </w:r>
      <w:r w:rsidDel="00000000" w:rsidR="00000000" w:rsidRPr="00000000">
        <w:rPr>
          <w:rFonts w:ascii="Old Standard TT" w:cs="Old Standard TT" w:eastAsia="Old Standard TT" w:hAnsi="Old Standard TT"/>
          <w:sz w:val="24"/>
          <w:szCs w:val="24"/>
          <w:rtl w:val="0"/>
        </w:rPr>
        <w:t xml:space="preserve">Hence we have learned to use open-source tools in Weka to Implement Classifiers and properly understand their application.</w:t>
      </w:r>
    </w:p>
    <w:p w:rsidR="00000000" w:rsidDel="00000000" w:rsidP="00000000" w:rsidRDefault="00000000" w:rsidRPr="00000000" w14:paraId="0000005D">
      <w:pPr>
        <w:ind w:left="147.36007690429688"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ind w:left="147.36007690429688" w:firstLine="0"/>
        <w:rPr>
          <w:rFonts w:ascii="Old Standard TT" w:cs="Old Standard TT" w:eastAsia="Old Standard TT" w:hAnsi="Old Standard TT"/>
          <w:sz w:val="24"/>
          <w:szCs w:val="24"/>
        </w:rPr>
      </w:pPr>
      <w:r w:rsidDel="00000000" w:rsidR="00000000" w:rsidRPr="00000000">
        <w:rPr>
          <w:rtl w:val="0"/>
        </w:rPr>
      </w:r>
    </w:p>
    <w:sectPr>
      <w:type w:val="nextPage"/>
      <w:pgSz w:h="16838" w:w="11920" w:orient="portrait"/>
      <w:pgMar w:bottom="280" w:top="1040" w:left="760" w:right="7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Old Standard 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right="0" w:firstLine="0"/>
    </w:pPr>
    <w:rPr>
      <w:rFonts w:ascii="Times New Roman" w:cs="Times New Roman" w:eastAsia="Times New Roman" w:hAnsi="Times New Roman"/>
      <w:b w:val="1"/>
      <w:sz w:val="28"/>
      <w:szCs w:val="28"/>
    </w:rPr>
  </w:style>
  <w:style w:type="paragraph" w:styleId="Heading2">
    <w:name w:val="heading 2"/>
    <w:basedOn w:val="Normal"/>
    <w:next w:val="Normal"/>
    <w:pPr>
      <w:ind w:left="103" w:right="0" w:firstLine="0"/>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